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C141B">
      <w:pPr>
        <w:pageBreakBefore/>
        <w:adjustRightInd w:val="0"/>
        <w:snapToGrid w:val="0"/>
        <w:spacing w:line="300" w:lineRule="auto"/>
        <w:jc w:val="center"/>
        <w:rPr>
          <w:rFonts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南京禄口国际机场空港科技有限公司采购招标文件</w:t>
      </w:r>
    </w:p>
    <w:p w14:paraId="2040DEBB">
      <w:pPr>
        <w:snapToGrid w:val="0"/>
        <w:spacing w:line="360" w:lineRule="auto"/>
        <w:jc w:val="center"/>
        <w:rPr>
          <w:rFonts w:ascii="宋体" w:hAnsi="宋体" w:eastAsia="宋体" w:cs="宋体"/>
          <w:b/>
          <w:color w:val="auto"/>
          <w:sz w:val="28"/>
          <w:szCs w:val="28"/>
          <w:highlight w:val="none"/>
        </w:rPr>
      </w:pPr>
    </w:p>
    <w:p w14:paraId="4C7CEBD8">
      <w:pPr>
        <w:snapToGrid w:val="0"/>
        <w:spacing w:line="360" w:lineRule="auto"/>
        <w:ind w:firstLine="422" w:firstLineChars="200"/>
        <w:rPr>
          <w:rFonts w:ascii="宋体" w:hAnsi="宋体" w:eastAsia="宋体" w:cs="宋体"/>
          <w:color w:val="auto"/>
          <w:szCs w:val="21"/>
          <w:highlight w:val="none"/>
        </w:rPr>
      </w:pPr>
      <w:r>
        <w:rPr>
          <w:rFonts w:hint="eastAsia" w:ascii="宋体" w:hAnsi="宋体" w:eastAsia="宋体" w:cs="宋体"/>
          <w:b/>
          <w:bCs/>
          <w:color w:val="auto"/>
          <w:szCs w:val="21"/>
          <w:highlight w:val="none"/>
        </w:rPr>
        <w:t>南京禄口国际机场空港科技有限公司</w:t>
      </w:r>
      <w:r>
        <w:rPr>
          <w:rFonts w:hint="eastAsia" w:ascii="宋体" w:hAnsi="宋体" w:eastAsia="宋体" w:cs="宋体"/>
          <w:color w:val="auto"/>
          <w:szCs w:val="21"/>
          <w:highlight w:val="none"/>
        </w:rPr>
        <w:t>拟通过挂网招标方式采购</w:t>
      </w:r>
      <w:r>
        <w:rPr>
          <w:rFonts w:hint="eastAsia" w:ascii="宋体" w:hAnsi="宋体" w:eastAsia="宋体" w:cs="宋体"/>
          <w:b/>
          <w:bCs/>
          <w:color w:val="auto"/>
          <w:szCs w:val="21"/>
          <w:highlight w:val="none"/>
        </w:rPr>
        <w:t>临沂启阳机场航站楼改扩建及附属工程弱电系统工程一标段行李RFID通道识别设备采购</w:t>
      </w:r>
      <w:r>
        <w:rPr>
          <w:rFonts w:hint="eastAsia" w:ascii="宋体" w:hAnsi="宋体" w:eastAsia="宋体" w:cs="宋体"/>
          <w:color w:val="auto"/>
          <w:szCs w:val="21"/>
          <w:highlight w:val="none"/>
        </w:rPr>
        <w:t>，现招请有意向且满足要求的投标人参加，为统一投标文件的编制标准，现明确如下事项：</w:t>
      </w:r>
    </w:p>
    <w:p w14:paraId="3B3C305A">
      <w:pPr>
        <w:snapToGrid w:val="0"/>
        <w:spacing w:line="360" w:lineRule="auto"/>
        <w:rPr>
          <w:rFonts w:ascii="宋体" w:hAnsi="宋体" w:eastAsia="宋体" w:cs="宋体"/>
          <w:color w:val="auto"/>
          <w:szCs w:val="21"/>
          <w:highlight w:val="none"/>
        </w:rPr>
      </w:pPr>
      <w:r>
        <w:rPr>
          <w:rFonts w:hint="eastAsia" w:ascii="宋体" w:hAnsi="宋体" w:eastAsia="宋体" w:cs="宋体"/>
          <w:b/>
          <w:color w:val="auto"/>
          <w:szCs w:val="21"/>
          <w:highlight w:val="none"/>
        </w:rPr>
        <w:t>招标项目内容：</w:t>
      </w:r>
    </w:p>
    <w:p w14:paraId="60DE998B">
      <w:pPr>
        <w:numPr>
          <w:ilvl w:val="0"/>
          <w:numId w:val="1"/>
        </w:numPr>
        <w:spacing w:line="360" w:lineRule="auto"/>
        <w:ind w:firstLine="420" w:firstLineChars="200"/>
        <w:rPr>
          <w:rFonts w:ascii="宋体" w:hAnsi="宋体" w:eastAsia="宋体" w:cs="宋体"/>
          <w:color w:val="auto"/>
          <w:highlight w:val="none"/>
        </w:rPr>
      </w:pPr>
      <w:r>
        <w:rPr>
          <w:rFonts w:hint="eastAsia" w:ascii="宋体" w:hAnsi="宋体" w:eastAsia="宋体" w:cs="宋体"/>
          <w:color w:val="auto"/>
          <w:highlight w:val="none"/>
        </w:rPr>
        <w:t>项目名称：</w:t>
      </w:r>
      <w:r>
        <w:rPr>
          <w:rFonts w:hint="eastAsia" w:ascii="宋体" w:hAnsi="宋体" w:eastAsia="宋体" w:cs="宋体"/>
          <w:b/>
          <w:bCs/>
          <w:color w:val="auto"/>
          <w:szCs w:val="21"/>
          <w:highlight w:val="none"/>
        </w:rPr>
        <w:t>临沂启阳机场航站楼改扩建及附属工程弱电系统工程一标段行李RFID通道识别设备采购</w:t>
      </w:r>
      <w:r>
        <w:rPr>
          <w:rFonts w:hint="eastAsia" w:ascii="宋体" w:hAnsi="宋体" w:eastAsia="宋体" w:cs="宋体"/>
          <w:color w:val="auto"/>
          <w:szCs w:val="21"/>
          <w:highlight w:val="none"/>
        </w:rPr>
        <w:t xml:space="preserve">          </w:t>
      </w:r>
    </w:p>
    <w:p w14:paraId="2953D5CA">
      <w:pPr>
        <w:widowControl/>
        <w:spacing w:line="360" w:lineRule="auto"/>
        <w:ind w:firstLine="420" w:firstLineChars="200"/>
        <w:jc w:val="left"/>
        <w:rPr>
          <w:rFonts w:ascii="宋体" w:hAnsi="宋体" w:eastAsia="宋体" w:cs="宋体"/>
          <w:b/>
          <w:bCs/>
          <w:color w:val="auto"/>
          <w:szCs w:val="21"/>
          <w:highlight w:val="none"/>
        </w:rPr>
      </w:pPr>
      <w:r>
        <w:rPr>
          <w:rFonts w:hint="eastAsia" w:ascii="宋体" w:hAnsi="宋体" w:eastAsia="宋体" w:cs="宋体"/>
          <w:color w:val="auto"/>
          <w:highlight w:val="none"/>
        </w:rPr>
        <w:t>招标范围：</w:t>
      </w:r>
      <w:r>
        <w:rPr>
          <w:rFonts w:hint="eastAsia" w:ascii="宋体" w:hAnsi="宋体" w:eastAsia="宋体" w:cs="宋体"/>
          <w:color w:val="auto"/>
          <w:szCs w:val="21"/>
          <w:highlight w:val="none"/>
        </w:rPr>
        <w:t>包括临沂启阳机场航站楼改扩建及附属工程弱电系统工程一标段行李RFID通道识别设备采购；具体范围及内容详见施工图，工程量详见招标文件附件工程量清单。</w:t>
      </w:r>
    </w:p>
    <w:p w14:paraId="548D15D2">
      <w:pPr>
        <w:numPr>
          <w:ilvl w:val="0"/>
          <w:numId w:val="1"/>
        </w:numPr>
        <w:spacing w:line="420" w:lineRule="exact"/>
        <w:ind w:firstLine="420" w:firstLineChars="200"/>
        <w:rPr>
          <w:rFonts w:ascii="宋体" w:hAnsi="宋体" w:eastAsia="宋体" w:cs="宋体"/>
          <w:color w:val="auto"/>
          <w:highlight w:val="none"/>
        </w:rPr>
      </w:pPr>
      <w:r>
        <w:rPr>
          <w:rFonts w:hint="eastAsia" w:ascii="宋体" w:hAnsi="宋体" w:eastAsia="宋体" w:cs="宋体"/>
          <w:color w:val="auto"/>
          <w:highlight w:val="none"/>
        </w:rPr>
        <w:t>最高投标限制总价：</w:t>
      </w:r>
    </w:p>
    <w:p w14:paraId="4B3D9FD7">
      <w:pPr>
        <w:snapToGrid w:val="0"/>
        <w:spacing w:line="360" w:lineRule="auto"/>
        <w:ind w:firstLine="422" w:firstLineChars="200"/>
        <w:rPr>
          <w:rFonts w:ascii="宋体" w:hAnsi="宋体" w:eastAsia="宋体" w:cs="宋体"/>
          <w:b/>
          <w:bCs/>
          <w:color w:val="auto"/>
          <w:szCs w:val="21"/>
          <w:highlight w:val="none"/>
        </w:rPr>
      </w:pPr>
      <w:r>
        <w:rPr>
          <w:rFonts w:hint="eastAsia" w:ascii="宋体" w:hAnsi="宋体" w:eastAsia="宋体" w:cs="宋体"/>
          <w:b/>
          <w:bCs/>
          <w:color w:val="auto"/>
          <w:szCs w:val="21"/>
          <w:highlight w:val="none"/>
        </w:rPr>
        <w:t>人民币伍拾伍万元整（¥ 550000.00元）；</w:t>
      </w:r>
    </w:p>
    <w:p w14:paraId="66833B93">
      <w:pPr>
        <w:snapToGrid w:val="0"/>
        <w:spacing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投标人的投标总报价大于最高投标限价的将否决其投标；</w:t>
      </w:r>
    </w:p>
    <w:p w14:paraId="07113B68">
      <w:pPr>
        <w:spacing w:line="360" w:lineRule="auto"/>
        <w:outlineLvl w:val="0"/>
        <w:rPr>
          <w:rFonts w:ascii="宋体" w:hAnsi="宋体" w:eastAsia="宋体" w:cs="宋体"/>
          <w:color w:val="auto"/>
          <w:szCs w:val="21"/>
          <w:highlight w:val="none"/>
        </w:rPr>
      </w:pPr>
      <w:r>
        <w:rPr>
          <w:rFonts w:hint="eastAsia" w:ascii="宋体" w:hAnsi="宋体" w:eastAsia="宋体" w:cs="宋体"/>
          <w:b/>
          <w:color w:val="auto"/>
          <w:szCs w:val="21"/>
          <w:highlight w:val="none"/>
        </w:rPr>
        <w:t>一、投标人资质要求：</w:t>
      </w:r>
    </w:p>
    <w:p w14:paraId="2A830B7F">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1、投</w:t>
      </w:r>
      <w:r>
        <w:rPr>
          <w:rFonts w:ascii="宋体" w:hAnsi="宋体" w:eastAsia="宋体" w:cs="宋体"/>
          <w:color w:val="auto"/>
          <w:szCs w:val="21"/>
          <w:highlight w:val="none"/>
        </w:rPr>
        <w:t>标人须是中华人民共和国境内正式注册并具有有效独立法人资格</w:t>
      </w:r>
      <w:r>
        <w:rPr>
          <w:rFonts w:hint="eastAsia" w:ascii="宋体" w:hAnsi="宋体" w:eastAsia="宋体" w:cs="宋体"/>
          <w:color w:val="auto"/>
          <w:szCs w:val="21"/>
          <w:highlight w:val="none"/>
        </w:rPr>
        <w:t>，注册资本不低于100万元</w:t>
      </w:r>
      <w:r>
        <w:rPr>
          <w:rFonts w:ascii="宋体" w:hAnsi="宋体" w:eastAsia="宋体" w:cs="宋体"/>
          <w:color w:val="auto"/>
          <w:szCs w:val="21"/>
          <w:highlight w:val="none"/>
        </w:rPr>
        <w:t>。（需提供加盖公章的营业执照复印件）</w:t>
      </w:r>
    </w:p>
    <w:p w14:paraId="42C411F6">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2、投标人</w:t>
      </w:r>
      <w:r>
        <w:rPr>
          <w:rFonts w:ascii="宋体" w:hAnsi="宋体" w:eastAsia="宋体" w:cs="宋体"/>
          <w:color w:val="auto"/>
          <w:szCs w:val="21"/>
          <w:highlight w:val="none"/>
        </w:rPr>
        <w:t>须信誉良好，在经营活动中没有严重违法记录，</w:t>
      </w:r>
      <w:r>
        <w:rPr>
          <w:rFonts w:hint="eastAsia" w:ascii="宋体" w:hAnsi="宋体" w:eastAsia="宋体" w:cs="宋体"/>
          <w:color w:val="auto"/>
          <w:szCs w:val="21"/>
          <w:highlight w:val="none"/>
        </w:rPr>
        <w:t>未被列入失信被执行人名单（以投标截止日“信用中国”（https://www.creditchina.gov.cn/）或“中国执行信息公开网”（http://zxgk.court.gov.cn/ ）网站查询结果为准）</w:t>
      </w:r>
      <w:r>
        <w:rPr>
          <w:rFonts w:ascii="宋体" w:hAnsi="宋体" w:eastAsia="宋体" w:cs="宋体"/>
          <w:color w:val="auto"/>
          <w:szCs w:val="21"/>
          <w:highlight w:val="none"/>
        </w:rPr>
        <w:t>。</w:t>
      </w:r>
    </w:p>
    <w:p w14:paraId="65D179CB">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3、投</w:t>
      </w:r>
      <w:r>
        <w:rPr>
          <w:rFonts w:ascii="宋体" w:hAnsi="宋体" w:eastAsia="宋体" w:cs="宋体"/>
          <w:color w:val="auto"/>
          <w:szCs w:val="21"/>
          <w:highlight w:val="none"/>
        </w:rPr>
        <w:t>标人需提供售后承诺书。</w:t>
      </w:r>
    </w:p>
    <w:p w14:paraId="1BCCC113">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color w:val="auto"/>
          <w:highlight w:val="none"/>
        </w:rPr>
        <w:t>单位负责人为同一人或者存在控股、管理关系的不同单位，不得同时参加同一标段的投标；</w:t>
      </w:r>
    </w:p>
    <w:p w14:paraId="22620BA3">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5、本次招标不接受联合体投标。联合体投标的，应满足下列要求：  /  。</w:t>
      </w:r>
    </w:p>
    <w:p w14:paraId="26E822BB">
      <w:pPr>
        <w:spacing w:line="360" w:lineRule="auto"/>
        <w:outlineLvl w:val="0"/>
        <w:rPr>
          <w:rFonts w:ascii="宋体" w:hAnsi="宋体" w:eastAsia="宋体" w:cs="宋体"/>
          <w:b/>
          <w:color w:val="auto"/>
          <w:szCs w:val="21"/>
          <w:highlight w:val="none"/>
        </w:rPr>
      </w:pPr>
      <w:r>
        <w:rPr>
          <w:rFonts w:hint="eastAsia" w:ascii="宋体" w:hAnsi="宋体" w:eastAsia="宋体" w:cs="宋体"/>
          <w:b/>
          <w:color w:val="auto"/>
          <w:szCs w:val="21"/>
          <w:highlight w:val="none"/>
        </w:rPr>
        <w:t>二、报价方式：</w:t>
      </w:r>
    </w:p>
    <w:p w14:paraId="7266B20B">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1、请按报价一览表格式填写。</w:t>
      </w:r>
    </w:p>
    <w:p w14:paraId="72DCE6FF">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2、本项目的最终报价，为完成该项目全部费用之总和，一旦投标人中标并和招标人签订了本项目合同后，即使投标人发现在报价时费用有计算错误，也不得另行增加费用。</w:t>
      </w:r>
    </w:p>
    <w:p w14:paraId="00B8C274">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3、根据招标人的实际需求，投标人实际提供的软硬件开发项数量如有所变化，在合同单价不变的基础上，招标人可对所增加或减少的产品作相应的费用调整。招标文件中的漏项，投标人必须按要求实施，但费用不增加。</w:t>
      </w:r>
    </w:p>
    <w:p w14:paraId="722B15E5">
      <w:pPr>
        <w:spacing w:line="360" w:lineRule="auto"/>
        <w:rPr>
          <w:rFonts w:ascii="宋体" w:hAnsi="宋体" w:eastAsia="宋体" w:cs="宋体"/>
          <w:color w:val="auto"/>
          <w:szCs w:val="21"/>
          <w:highlight w:val="none"/>
        </w:rPr>
      </w:pPr>
      <w:r>
        <w:rPr>
          <w:rFonts w:hint="eastAsia" w:ascii="宋体" w:hAnsi="宋体" w:eastAsia="宋体" w:cs="宋体"/>
          <w:b/>
          <w:bCs/>
          <w:color w:val="auto"/>
          <w:szCs w:val="21"/>
          <w:highlight w:val="none"/>
        </w:rPr>
        <w:t>4、投标人的投标报价不得超过最高投标限价总价，否则投标将被否决</w:t>
      </w:r>
      <w:r>
        <w:rPr>
          <w:rFonts w:hint="eastAsia" w:ascii="宋体" w:hAnsi="宋体" w:eastAsia="宋体" w:cs="宋体"/>
          <w:color w:val="auto"/>
          <w:szCs w:val="21"/>
          <w:highlight w:val="none"/>
        </w:rPr>
        <w:t>。</w:t>
      </w:r>
    </w:p>
    <w:p w14:paraId="5231DE89">
      <w:pPr>
        <w:spacing w:line="360" w:lineRule="auto"/>
        <w:outlineLvl w:val="0"/>
        <w:rPr>
          <w:rFonts w:ascii="宋体" w:hAnsi="宋体" w:eastAsia="宋体" w:cs="宋体"/>
          <w:b/>
          <w:color w:val="auto"/>
          <w:szCs w:val="21"/>
          <w:highlight w:val="none"/>
        </w:rPr>
      </w:pPr>
      <w:r>
        <w:rPr>
          <w:rFonts w:hint="eastAsia" w:ascii="宋体" w:hAnsi="宋体" w:eastAsia="宋体" w:cs="宋体"/>
          <w:b/>
          <w:color w:val="auto"/>
          <w:szCs w:val="21"/>
          <w:highlight w:val="none"/>
        </w:rPr>
        <w:t>三、其它说明</w:t>
      </w:r>
    </w:p>
    <w:p w14:paraId="790FA401">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1、售后服务要求：卖方保证向我公司提供完善的售后服务，包括提供相应的技术资料及技术支持；响应时间为</w:t>
      </w:r>
      <w:r>
        <w:rPr>
          <w:rFonts w:hint="eastAsia" w:ascii="宋体" w:hAnsi="宋体" w:eastAsia="宋体" w:cs="宋体"/>
          <w:color w:val="auto"/>
          <w:sz w:val="24"/>
          <w:highlight w:val="none"/>
          <w:shd w:val="clear" w:color="auto" w:fill="FFFFFF"/>
        </w:rPr>
        <w:t>1</w:t>
      </w:r>
      <w:r>
        <w:rPr>
          <w:rFonts w:hint="eastAsia" w:ascii="宋体" w:hAnsi="宋体" w:eastAsia="宋体" w:cs="宋体"/>
          <w:color w:val="auto"/>
          <w:szCs w:val="21"/>
          <w:highlight w:val="none"/>
        </w:rPr>
        <w:t>小时内，到场时间24小时内。</w:t>
      </w:r>
    </w:p>
    <w:p w14:paraId="6DD7EB02">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2、不能实质性满足招标文件要求或不能提供实质性满足证明的按废标处理。</w:t>
      </w:r>
    </w:p>
    <w:p w14:paraId="73320D38">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3、投标人应提供自施工和设备通过行业验收后24个月的质量保证期</w:t>
      </w:r>
      <w:r>
        <w:rPr>
          <w:rFonts w:hint="eastAsia" w:ascii="宋体" w:hAnsi="宋体" w:eastAsia="宋体" w:cs="宋体"/>
          <w:color w:val="auto"/>
          <w:kern w:val="0"/>
          <w:sz w:val="22"/>
          <w:szCs w:val="22"/>
          <w:highlight w:val="none"/>
          <w:lang w:bidi="ar"/>
        </w:rPr>
        <w:t>，有特殊要求的按照清单要求或是技术规格书要求时间质保</w:t>
      </w:r>
      <w:r>
        <w:rPr>
          <w:rFonts w:hint="eastAsia" w:ascii="宋体" w:hAnsi="宋体" w:eastAsia="宋体" w:cs="宋体"/>
          <w:color w:val="auto"/>
          <w:sz w:val="24"/>
          <w:highlight w:val="none"/>
          <w:shd w:val="clear" w:color="auto" w:fill="FFFFFF"/>
        </w:rPr>
        <w:t>。</w:t>
      </w:r>
    </w:p>
    <w:p w14:paraId="17C55B03">
      <w:pPr>
        <w:spacing w:line="360" w:lineRule="auto"/>
        <w:outlineLvl w:val="0"/>
        <w:rPr>
          <w:rFonts w:ascii="宋体" w:hAnsi="宋体" w:eastAsia="宋体" w:cs="宋体"/>
          <w:b/>
          <w:color w:val="auto"/>
          <w:szCs w:val="21"/>
          <w:highlight w:val="none"/>
        </w:rPr>
      </w:pPr>
      <w:r>
        <w:rPr>
          <w:rFonts w:hint="eastAsia" w:ascii="宋体" w:hAnsi="宋体" w:eastAsia="宋体" w:cs="宋体"/>
          <w:b/>
          <w:color w:val="auto"/>
          <w:szCs w:val="21"/>
          <w:highlight w:val="none"/>
        </w:rPr>
        <w:t>四、交货时间、地点及相关费用：</w:t>
      </w:r>
    </w:p>
    <w:p w14:paraId="67A30F3D">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1、交货地点：临沂启阳机场。</w:t>
      </w:r>
    </w:p>
    <w:p w14:paraId="7FFD9CF1">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2、交货时间：按甲方要求。</w:t>
      </w:r>
    </w:p>
    <w:p w14:paraId="47992A6B">
      <w:pPr>
        <w:spacing w:line="360" w:lineRule="auto"/>
        <w:outlineLvl w:val="0"/>
        <w:rPr>
          <w:rFonts w:ascii="宋体" w:hAnsi="宋体" w:eastAsia="宋体" w:cs="宋体"/>
          <w:b/>
          <w:color w:val="auto"/>
          <w:szCs w:val="21"/>
          <w:highlight w:val="none"/>
        </w:rPr>
      </w:pPr>
      <w:r>
        <w:rPr>
          <w:rFonts w:hint="eastAsia" w:ascii="宋体" w:hAnsi="宋体" w:eastAsia="宋体" w:cs="宋体"/>
          <w:b/>
          <w:color w:val="auto"/>
          <w:szCs w:val="21"/>
          <w:highlight w:val="none"/>
        </w:rPr>
        <w:t>五、评标方法：</w:t>
      </w:r>
    </w:p>
    <w:p w14:paraId="6C002FD7">
      <w:pPr>
        <w:rPr>
          <w:color w:val="auto"/>
          <w:highlight w:val="none"/>
        </w:rPr>
      </w:pPr>
      <w:r>
        <w:rPr>
          <w:rFonts w:hint="eastAsia" w:ascii="宋体" w:hAnsi="宋体" w:eastAsia="宋体" w:cs="宋体"/>
          <w:color w:val="auto"/>
          <w:szCs w:val="21"/>
          <w:highlight w:val="none"/>
        </w:rPr>
        <w:t>1</w:t>
      </w:r>
      <w:r>
        <w:rPr>
          <w:rFonts w:hint="eastAsia" w:cs="宋体"/>
          <w:color w:val="auto"/>
          <w:szCs w:val="21"/>
          <w:highlight w:val="none"/>
        </w:rPr>
        <w:t>、</w:t>
      </w:r>
      <w:r>
        <w:rPr>
          <w:rFonts w:hint="eastAsia" w:ascii="宋体" w:hAnsi="宋体" w:eastAsia="宋体" w:cs="宋体"/>
          <w:color w:val="auto"/>
          <w:szCs w:val="21"/>
          <w:highlight w:val="none"/>
        </w:rPr>
        <w:t>本项目采用合理最低价中标。</w:t>
      </w:r>
    </w:p>
    <w:p w14:paraId="1D1154DD">
      <w:pPr>
        <w:spacing w:line="360" w:lineRule="auto"/>
        <w:outlineLvl w:val="0"/>
        <w:rPr>
          <w:rFonts w:ascii="宋体" w:hAnsi="宋体" w:eastAsia="宋体" w:cs="宋体"/>
          <w:b/>
          <w:color w:val="auto"/>
          <w:szCs w:val="21"/>
          <w:highlight w:val="none"/>
        </w:rPr>
      </w:pPr>
      <w:r>
        <w:rPr>
          <w:rFonts w:hint="eastAsia" w:ascii="宋体" w:hAnsi="宋体" w:eastAsia="宋体" w:cs="宋体"/>
          <w:b/>
          <w:color w:val="auto"/>
          <w:szCs w:val="21"/>
          <w:highlight w:val="none"/>
        </w:rPr>
        <w:t>六、投标文件的递交</w:t>
      </w:r>
    </w:p>
    <w:p w14:paraId="2A3E0B7A">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1、投标文件一式贰份（正本壹本、副本壹本），并明确表明“正本”和“副本”，正、副本如有不同之处，以正本为准，密封后加盖公章，否则无效。</w:t>
      </w:r>
    </w:p>
    <w:p w14:paraId="73FBDBFC">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2、投标人在收到招标文件后，若需答疑，应在投标文件的截止时间2天前向招标人以书面形式提出。</w:t>
      </w:r>
    </w:p>
    <w:p w14:paraId="1BA2EC8C">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3、递交投标文件的截止时间为2025年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lang w:val="en-US" w:eastAsia="zh-CN"/>
        </w:rPr>
        <w:t>22</w:t>
      </w:r>
      <w:bookmarkStart w:id="7" w:name="_GoBack"/>
      <w:bookmarkEnd w:id="7"/>
      <w:r>
        <w:rPr>
          <w:rFonts w:hint="eastAsia" w:ascii="宋体" w:hAnsi="宋体" w:eastAsia="宋体" w:cs="宋体"/>
          <w:color w:val="auto"/>
          <w:szCs w:val="21"/>
          <w:highlight w:val="none"/>
        </w:rPr>
        <w:t>日12时整，超过截止时间的投标文件将被拒收。</w:t>
      </w:r>
    </w:p>
    <w:p w14:paraId="1B698FDE">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4、投标文件可采用快递（顺丰或EMS）邮寄或送达我公司，投标书需盖章密封，并在信封上注明项目编号“KG2024-G026-CG17”南京市江宁区天元西路199号十楼空港科技。</w:t>
      </w:r>
    </w:p>
    <w:p w14:paraId="10AA323E">
      <w:pPr>
        <w:spacing w:line="360" w:lineRule="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投标事宜的联系：乐佳  电话：</w:t>
      </w:r>
      <w:r>
        <w:rPr>
          <w:rFonts w:hint="eastAsia" w:ascii="宋体" w:hAnsi="宋体" w:eastAsia="宋体" w:cs="宋体"/>
          <w:color w:val="auto"/>
          <w:szCs w:val="21"/>
          <w:highlight w:val="none"/>
          <w:lang w:val="en-US" w:eastAsia="zh-CN"/>
        </w:rPr>
        <w:t>025-69821255</w:t>
      </w:r>
    </w:p>
    <w:p w14:paraId="4F298EA3">
      <w:pPr>
        <w:spacing w:line="360" w:lineRule="auto"/>
        <w:rPr>
          <w:rFonts w:ascii="宋体" w:hAnsi="宋体" w:eastAsia="宋体" w:cs="宋体"/>
          <w:color w:val="auto"/>
          <w:szCs w:val="21"/>
          <w:highlight w:val="none"/>
        </w:rPr>
      </w:pPr>
    </w:p>
    <w:p w14:paraId="3839BC16">
      <w:pPr>
        <w:spacing w:line="360" w:lineRule="auto"/>
        <w:jc w:val="right"/>
        <w:rPr>
          <w:rFonts w:ascii="宋体" w:hAnsi="宋体" w:eastAsia="宋体" w:cs="宋体"/>
          <w:color w:val="auto"/>
          <w:szCs w:val="21"/>
          <w:highlight w:val="none"/>
        </w:rPr>
      </w:pPr>
      <w:r>
        <w:rPr>
          <w:rFonts w:hint="eastAsia" w:ascii="宋体" w:hAnsi="宋体" w:eastAsia="宋体" w:cs="宋体"/>
          <w:color w:val="auto"/>
          <w:szCs w:val="21"/>
          <w:highlight w:val="none"/>
        </w:rPr>
        <w:t>南京禄口国际机场空港科技有限公司</w:t>
      </w:r>
    </w:p>
    <w:p w14:paraId="417A685E">
      <w:pPr>
        <w:spacing w:line="360" w:lineRule="auto"/>
        <w:jc w:val="right"/>
        <w:rPr>
          <w:rFonts w:ascii="宋体" w:hAnsi="宋体" w:eastAsia="宋体" w:cs="宋体"/>
          <w:color w:val="auto"/>
          <w:szCs w:val="21"/>
          <w:highlight w:val="none"/>
        </w:rPr>
      </w:pPr>
      <w:r>
        <w:rPr>
          <w:rFonts w:hint="eastAsia" w:ascii="宋体" w:hAnsi="宋体" w:eastAsia="宋体" w:cs="宋体"/>
          <w:color w:val="auto"/>
          <w:szCs w:val="21"/>
          <w:highlight w:val="none"/>
        </w:rPr>
        <w:t xml:space="preserve">  2025年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日</w:t>
      </w:r>
    </w:p>
    <w:p w14:paraId="00DB98A8">
      <w:pPr>
        <w:rPr>
          <w:rFonts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6D205AE9">
      <w:pPr>
        <w:spacing w:line="360" w:lineRule="auto"/>
        <w:outlineLvl w:val="0"/>
        <w:rPr>
          <w:rFonts w:ascii="宋体" w:hAnsi="宋体" w:eastAsia="宋体" w:cs="宋体"/>
          <w:b/>
          <w:color w:val="auto"/>
          <w:szCs w:val="21"/>
          <w:highlight w:val="none"/>
        </w:rPr>
      </w:pPr>
      <w:bookmarkStart w:id="0" w:name="_Toc14458"/>
      <w:r>
        <w:rPr>
          <w:rFonts w:hint="eastAsia" w:ascii="宋体" w:hAnsi="宋体" w:eastAsia="宋体" w:cs="宋体"/>
          <w:b/>
          <w:color w:val="auto"/>
          <w:szCs w:val="21"/>
          <w:highlight w:val="none"/>
        </w:rPr>
        <w:t>七、技术标准和要求</w:t>
      </w:r>
      <w:bookmarkEnd w:id="0"/>
    </w:p>
    <w:p w14:paraId="62813CBA">
      <w:pPr>
        <w:pStyle w:val="2"/>
        <w:rPr>
          <w:rFonts w:ascii="宋体" w:hAnsi="宋体" w:eastAsia="宋体"/>
          <w:b/>
          <w:bCs w:val="0"/>
          <w:color w:val="auto"/>
          <w:sz w:val="21"/>
          <w:szCs w:val="21"/>
          <w:highlight w:val="none"/>
        </w:rPr>
      </w:pPr>
      <w:r>
        <w:rPr>
          <w:rFonts w:hint="eastAsia" w:ascii="宋体" w:hAnsi="宋体" w:eastAsia="宋体"/>
          <w:b/>
          <w:bCs w:val="0"/>
          <w:color w:val="auto"/>
          <w:sz w:val="21"/>
          <w:szCs w:val="21"/>
          <w:highlight w:val="none"/>
        </w:rPr>
        <w:t>1.招标内容</w:t>
      </w:r>
    </w:p>
    <w:p w14:paraId="446090D5">
      <w:pPr>
        <w:spacing w:after="156" w:afterLines="50" w:line="360" w:lineRule="auto"/>
        <w:rPr>
          <w:rFonts w:ascii="宋体" w:hAnsi="宋体" w:eastAsia="宋体" w:cs="宋体"/>
          <w:b/>
          <w:color w:val="auto"/>
          <w:szCs w:val="21"/>
          <w:highlight w:val="none"/>
        </w:rPr>
      </w:pPr>
      <w:r>
        <w:rPr>
          <w:rFonts w:hint="eastAsia" w:ascii="宋体" w:hAnsi="宋体" w:eastAsia="宋体" w:cs="宋体"/>
          <w:b/>
          <w:color w:val="auto"/>
          <w:szCs w:val="21"/>
          <w:highlight w:val="none"/>
        </w:rPr>
        <w:t>1.1行李RFID通道识别设备供货</w:t>
      </w:r>
    </w:p>
    <w:p w14:paraId="4A4BF173">
      <w:pPr>
        <w:pStyle w:val="9"/>
        <w:spacing w:after="156" w:afterLines="50" w:line="360" w:lineRule="auto"/>
        <w:rPr>
          <w:rFonts w:ascii="宋体" w:hAnsi="宋体" w:cs="宋体"/>
          <w:color w:val="auto"/>
          <w:highlight w:val="none"/>
        </w:rPr>
      </w:pPr>
      <w:r>
        <w:rPr>
          <w:rFonts w:hint="eastAsia" w:ascii="宋体" w:hAnsi="宋体" w:cs="宋体"/>
          <w:color w:val="auto"/>
          <w:highlight w:val="none"/>
        </w:rPr>
        <w:t>投标人须按本技术规格书的要求完成本工程行李RFID通道识别设备的深化设计、制造、运输、储存等工作。</w:t>
      </w:r>
    </w:p>
    <w:p w14:paraId="09E8333F">
      <w:pPr>
        <w:spacing w:after="156" w:afterLines="50" w:line="360" w:lineRule="auto"/>
        <w:rPr>
          <w:rFonts w:ascii="宋体" w:hAnsi="宋体" w:eastAsia="宋体" w:cs="宋体"/>
          <w:color w:val="auto"/>
          <w:szCs w:val="21"/>
          <w:highlight w:val="none"/>
        </w:rPr>
      </w:pPr>
      <w:r>
        <w:rPr>
          <w:rFonts w:hint="eastAsia" w:ascii="宋体" w:hAnsi="宋体" w:eastAsia="宋体" w:cs="宋体"/>
          <w:b/>
          <w:color w:val="auto"/>
          <w:szCs w:val="21"/>
          <w:highlight w:val="none"/>
        </w:rPr>
        <w:t xml:space="preserve">1.2 </w:t>
      </w:r>
      <w:r>
        <w:rPr>
          <w:rFonts w:hint="eastAsia" w:ascii="宋体" w:hAnsi="宋体" w:eastAsia="宋体" w:cs="宋体"/>
          <w:color w:val="auto"/>
          <w:szCs w:val="21"/>
          <w:highlight w:val="none"/>
        </w:rPr>
        <w:t>本技术标书仅指出产品的主要要求，不应作为行李RFID通道识别设备完整详细的要求，投标人应负责采用最新标准设计所投产品，完成招标文件和招标图中规定范围内的所有工作，提供所有用于完善施工和用于正常操作、测试的各项部件，包括所需的工程监督、劳务、工具、材料和仪器，并保证满足技术标书的要求。同时，投标人应提供本技术标书中未描述的，但为保证行李RFID通道识别设备能正常有效使用所需要的材料配置、资料等，并包括在投标总价内。</w:t>
      </w:r>
    </w:p>
    <w:p w14:paraId="7430CA09">
      <w:pPr>
        <w:pStyle w:val="2"/>
        <w:rPr>
          <w:rFonts w:ascii="宋体" w:hAnsi="宋体" w:eastAsia="宋体"/>
          <w:b/>
          <w:bCs w:val="0"/>
          <w:color w:val="auto"/>
          <w:sz w:val="21"/>
          <w:szCs w:val="21"/>
          <w:highlight w:val="none"/>
        </w:rPr>
      </w:pPr>
      <w:r>
        <w:rPr>
          <w:rFonts w:hint="eastAsia" w:ascii="宋体" w:hAnsi="宋体" w:eastAsia="宋体"/>
          <w:b/>
          <w:bCs w:val="0"/>
          <w:color w:val="auto"/>
          <w:sz w:val="21"/>
          <w:szCs w:val="21"/>
          <w:highlight w:val="none"/>
        </w:rPr>
        <w:t>2.投标人应提交的资料</w:t>
      </w:r>
    </w:p>
    <w:p w14:paraId="052CDE3B">
      <w:pPr>
        <w:spacing w:after="156" w:afterLines="50" w:line="360" w:lineRule="auto"/>
        <w:rPr>
          <w:rFonts w:ascii="宋体" w:hAnsi="宋体" w:eastAsia="宋体" w:cs="宋体"/>
          <w:b/>
          <w:color w:val="auto"/>
          <w:szCs w:val="21"/>
          <w:highlight w:val="none"/>
        </w:rPr>
      </w:pPr>
      <w:bookmarkStart w:id="1" w:name="_Toc517215804"/>
      <w:bookmarkStart w:id="2" w:name="_Toc26267115"/>
      <w:r>
        <w:rPr>
          <w:rFonts w:hint="eastAsia" w:ascii="宋体" w:hAnsi="宋体" w:eastAsia="宋体" w:cs="宋体"/>
          <w:b/>
          <w:color w:val="auto"/>
          <w:szCs w:val="21"/>
          <w:highlight w:val="none"/>
        </w:rPr>
        <w:t>2.1投标时应提交的资料</w:t>
      </w:r>
      <w:bookmarkEnd w:id="1"/>
      <w:bookmarkEnd w:id="2"/>
    </w:p>
    <w:p w14:paraId="1A56BAC3">
      <w:pPr>
        <w:spacing w:after="156" w:afterLines="50"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2.1.1项目采购工期进度计划表。</w:t>
      </w:r>
    </w:p>
    <w:p w14:paraId="6F9A6A7C">
      <w:pPr>
        <w:tabs>
          <w:tab w:val="left" w:pos="851"/>
        </w:tabs>
        <w:spacing w:after="156" w:afterLines="50" w:line="360" w:lineRule="auto"/>
        <w:rPr>
          <w:rFonts w:ascii="宋体" w:hAnsi="宋体" w:eastAsia="宋体" w:cs="宋体"/>
          <w:b/>
          <w:color w:val="auto"/>
          <w:szCs w:val="21"/>
          <w:highlight w:val="none"/>
        </w:rPr>
      </w:pPr>
      <w:bookmarkStart w:id="3" w:name="_Toc26267116"/>
      <w:bookmarkStart w:id="4" w:name="_Toc517215805"/>
      <w:r>
        <w:rPr>
          <w:rFonts w:hint="eastAsia" w:ascii="宋体" w:hAnsi="宋体" w:eastAsia="宋体" w:cs="宋体"/>
          <w:b/>
          <w:color w:val="auto"/>
          <w:szCs w:val="21"/>
          <w:highlight w:val="none"/>
        </w:rPr>
        <w:t>2.2签约后应提供的资料</w:t>
      </w:r>
      <w:bookmarkEnd w:id="3"/>
      <w:bookmarkEnd w:id="4"/>
    </w:p>
    <w:p w14:paraId="57EAEC08">
      <w:pPr>
        <w:tabs>
          <w:tab w:val="left" w:pos="851"/>
        </w:tabs>
        <w:spacing w:after="156" w:afterLines="50"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2.2.1深化图纸和资料</w:t>
      </w:r>
    </w:p>
    <w:p w14:paraId="6F38B234">
      <w:pPr>
        <w:spacing w:after="156" w:afterLines="50"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投标方中标后，必须到工地现场复核建筑物中与行李RFID通道识别设备施工安装有关部分的实际尺寸，深化设计图纸的表达方式应与招标图纸保持一致，深化设计图纸不得对已被确认的设计原则、设计外观、材料、产品规格进行修改。</w:t>
      </w:r>
    </w:p>
    <w:p w14:paraId="4EC271C1">
      <w:pPr>
        <w:spacing w:after="156" w:afterLines="50"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2.2.2主要设计计算资料（专利除外），包括由工程师签字并盖章的结构计算书。</w:t>
      </w:r>
    </w:p>
    <w:p w14:paraId="3ACF5659">
      <w:pPr>
        <w:spacing w:line="360" w:lineRule="auto"/>
        <w:rPr>
          <w:rFonts w:ascii="宋体" w:hAnsi="宋体" w:eastAsia="宋体" w:cs="宋体"/>
          <w:b/>
          <w:bCs/>
          <w:color w:val="auto"/>
          <w:szCs w:val="21"/>
          <w:highlight w:val="none"/>
        </w:rPr>
      </w:pPr>
      <w:r>
        <w:rPr>
          <w:rFonts w:hint="eastAsia" w:ascii="宋体" w:hAnsi="宋体" w:eastAsia="宋体" w:cs="宋体"/>
          <w:b/>
          <w:bCs/>
          <w:color w:val="auto"/>
          <w:szCs w:val="21"/>
          <w:highlight w:val="none"/>
        </w:rPr>
        <w:t>3. 行李RFID通道识别设备主要材料技术指标及施工细则</w:t>
      </w:r>
    </w:p>
    <w:p w14:paraId="3048BF1B">
      <w:pPr>
        <w:spacing w:line="360" w:lineRule="auto"/>
        <w:rPr>
          <w:rFonts w:ascii="宋体" w:hAnsi="宋体" w:eastAsia="宋体" w:cs="宋体"/>
          <w:b/>
          <w:bCs/>
          <w:color w:val="auto"/>
          <w:szCs w:val="21"/>
          <w:highlight w:val="none"/>
        </w:rPr>
      </w:pPr>
      <w:r>
        <w:rPr>
          <w:rFonts w:hint="eastAsia" w:ascii="宋体" w:hAnsi="宋体" w:eastAsia="宋体" w:cs="宋体"/>
          <w:b/>
          <w:bCs/>
          <w:color w:val="auto"/>
          <w:szCs w:val="21"/>
          <w:highlight w:val="none"/>
        </w:rPr>
        <w:t>3.1. 技术规格要求</w:t>
      </w:r>
    </w:p>
    <w:p w14:paraId="3BBCF3D4">
      <w:pPr>
        <w:spacing w:after="156" w:afterLines="50"/>
        <w:ind w:firstLine="420" w:firstLineChars="200"/>
        <w:jc w:val="left"/>
        <w:rPr>
          <w:rFonts w:ascii="宋体" w:hAnsi="宋体" w:eastAsia="宋体" w:cs="宋体"/>
          <w:color w:val="auto"/>
          <w:szCs w:val="21"/>
          <w:highlight w:val="none"/>
        </w:rPr>
      </w:pPr>
      <w:r>
        <w:rPr>
          <w:rFonts w:hint="eastAsia" w:ascii="宋体" w:hAnsi="宋体" w:eastAsia="宋体" w:cs="宋体"/>
          <w:color w:val="auto"/>
          <w:szCs w:val="21"/>
          <w:highlight w:val="none"/>
        </w:rPr>
        <w:t>1).RFID通道识别设备必须采用通道式结构。</w:t>
      </w:r>
    </w:p>
    <w:p w14:paraId="5AE2E70D">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2).RFID编码行李标签格式应遵循IATA/ATA行李工作组的适用建议，行李标签应为人员可读及机读打印类型。</w:t>
      </w:r>
    </w:p>
    <w:p w14:paraId="4DC6D229">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3).在选择RFID扫描设备之前，需考虑其精确度、可靠性、兼容性和可维护性。RFID通道识别设备采用模块化设计，某个部件的故障可简单通过直接替换来快速恢复使用。</w:t>
      </w:r>
    </w:p>
    <w:p w14:paraId="5F795312">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4).RFID读取器必须可以360度读取RFID标签信息。</w:t>
      </w:r>
    </w:p>
    <w:p w14:paraId="4C74D41F">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5).RFID通道识别设备，能够在行李间隔400毫米、速度每分钟90米的情况下按照每分钟最少60件行李的速率针对每件行李解码多个标签。</w:t>
      </w:r>
    </w:p>
    <w:p w14:paraId="38FA8965">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6).不允许因某个故障导致整个RFID通道识别设备中断运行，但须报告RFID通道识别设备中多次读取出现的故障。</w:t>
      </w:r>
    </w:p>
    <w:p w14:paraId="7E75C340">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7).在选择RFID通道识别设备时，必须考虑频带宽、功率电平、数据传输率、干扰要求、精确度、可靠性和可维护性。</w:t>
      </w:r>
    </w:p>
    <w:p w14:paraId="06D06D1B">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8).按要求提供多个天线，以实现要求的读取率。</w:t>
      </w:r>
    </w:p>
    <w:p w14:paraId="04F66C38">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9).确保RFID读取器可以进行单向读取功能。</w:t>
      </w:r>
    </w:p>
    <w:p w14:paraId="7CA257CA">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10).应提供相应的技术以有效延长RFID通道识别设备的使用寿命。</w:t>
      </w:r>
    </w:p>
    <w:p w14:paraId="7B0ECA1A">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11).每个 RFID 通道识别设备均应当带有自己的光眼、轴编码器和读写器等。</w:t>
      </w:r>
    </w:p>
    <w:p w14:paraId="016C530A">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在选购装置之前，假定频率范围为902兆赫兹至928兆赫兹超高频（UHF），但最终应当符合招标人的要求。</w:t>
      </w:r>
    </w:p>
    <w:p w14:paraId="33BA6965">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12).为解码器/控制器提供以太网TCP/IP通信端口，用于统计数据收集。</w:t>
      </w:r>
    </w:p>
    <w:p w14:paraId="116A1B77">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13).为解码器/控制器提供现场总线接口，用于与PLC的通信。</w:t>
      </w:r>
    </w:p>
    <w:p w14:paraId="2EAC660E">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14).RFID 设备应由天线、读写器、控制器、读取状态指示灯、连接网络、配电箱、通道框架等组成，通道框架要有足够的强度和刚度，保证天线不易变形。</w:t>
      </w:r>
    </w:p>
    <w:p w14:paraId="26D403A9">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15).确保相邻RFID读取器之间没有干扰或误读对方区域标签。</w:t>
      </w:r>
    </w:p>
    <w:p w14:paraId="2E9D410D">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16).提供在行李处理系统网络上运行的统计与诊断综合工具包，可直观显示每个RFID，以及RFID工作状态、工作参数、报警情况、工作日志等信息</w:t>
      </w:r>
    </w:p>
    <w:p w14:paraId="58CFECD1">
      <w:pPr>
        <w:spacing w:after="156" w:afterLines="50"/>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17).行李编码识别系统RFID框架不得影响附近设备的通道或维护通道。</w:t>
      </w:r>
    </w:p>
    <w:p w14:paraId="6AA1DE35">
      <w:pPr>
        <w:spacing w:after="156" w:afterLines="50"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3.1.</w:t>
      </w:r>
      <w:r>
        <w:rPr>
          <w:rFonts w:ascii="宋体" w:hAnsi="宋体" w:eastAsia="宋体" w:cs="宋体"/>
          <w:color w:val="auto"/>
          <w:szCs w:val="21"/>
          <w:highlight w:val="none"/>
        </w:rPr>
        <w:t>1. 行李识别功能</w:t>
      </w:r>
    </w:p>
    <w:p w14:paraId="60B55B28">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RFID 通道识别设备配置符合 ISO 18000-6C 标准的UHF RFID阅读器，支持对符合 IATA</w:t>
      </w:r>
      <w:r>
        <w:rPr>
          <w:rFonts w:hint="eastAsia" w:ascii="宋体" w:hAnsi="宋体" w:eastAsia="宋体" w:cs="宋体"/>
          <w:color w:val="auto"/>
          <w:szCs w:val="21"/>
          <w:highlight w:val="none"/>
        </w:rPr>
        <w:t xml:space="preserve"> </w:t>
      </w:r>
      <w:r>
        <w:rPr>
          <w:rFonts w:ascii="宋体" w:hAnsi="宋体" w:eastAsia="宋体" w:cs="宋体"/>
          <w:color w:val="auto"/>
          <w:szCs w:val="21"/>
          <w:highlight w:val="none"/>
        </w:rPr>
        <w:t>1740C 规范的 RFID 行李 标签 进行识别，工作频段符合国家无线电委员会规定的920MHz~925MHz 区间。</w:t>
      </w:r>
    </w:p>
    <w:p w14:paraId="2CC8B0A0">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阅读器包含 4 个标准 SMA 或 TNC 接口，用于连接 RFID 天线；包含以太网接口，用于与BHS 系统通信；包含一组 I/O 接口、串行接口，用于 I/O 接口组件、串行接口组件通信。阅读器须具备良好的散热防尘设计和较强的抗干扰能力。</w:t>
      </w:r>
    </w:p>
    <w:p w14:paraId="3478D859">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阅读器连接的RFID天线须具备方向性强，辐射效率高的特点。RFID天线满足行李输送带上 RFID 行李标签 360°的识别要求。RFID 天线发射的电磁波可完全覆盖框架内，有效降低电磁波的无序折射，保证标签的有效识别且避免误读未进入通道的标签。</w:t>
      </w:r>
    </w:p>
    <w:p w14:paraId="25E3559D">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RFID 通道识别设备按照行李标签编解码规则对标签数据进行解码，解码完成后将数据进行封装，输出到外部系统中。本系统须能够识别的超高频电子标签的种类不少于 3 种，即3种标签混合使用时，识别系统需满足有效识别率大于99.3%要求。同时支持对标签用户区（USER）的读取，如果行李标签的 USER 区存储有行李路径和行李航班信息，RFID 通道识别设备能直接获取到上述信息，无须通过离港控制系统获取。</w:t>
      </w:r>
    </w:p>
    <w:p w14:paraId="1D582AE0">
      <w:pPr>
        <w:spacing w:after="156" w:afterLines="50"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3.1.2</w:t>
      </w:r>
      <w:r>
        <w:rPr>
          <w:rFonts w:ascii="宋体" w:hAnsi="宋体" w:eastAsia="宋体" w:cs="宋体"/>
          <w:color w:val="auto"/>
          <w:szCs w:val="21"/>
          <w:highlight w:val="none"/>
        </w:rPr>
        <w:t>.行李拍摄功能</w:t>
      </w:r>
    </w:p>
    <w:p w14:paraId="337956BA">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RFID 通道识别设备在金属框架上安装一套具有外部触发功能的摄像机，当行李进过金属框架时，RFID 阅读器触发控制信号向摄像机发送拍摄指令，摄像机完成拍摄任务后，完整行李外观照片通过摄像机 API 接口获取。</w:t>
      </w:r>
    </w:p>
    <w:p w14:paraId="4AB55563">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行李照片默认保存在终端管理软件所在服务器的存储文件夹内，终端管理软件可对存储的行李照片和识别的行李条码进行绑定，并将绑定结果发送给 BHS，用于后者在行李列表中查询到对应行李的照片。摄像机的照片保存路径、照片压缩尺寸和参数设置可在终端管理软件上设置。</w:t>
      </w:r>
    </w:p>
    <w:p w14:paraId="29999E5E">
      <w:pPr>
        <w:spacing w:after="156" w:afterLines="50"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3.1.</w:t>
      </w:r>
      <w:r>
        <w:rPr>
          <w:rFonts w:ascii="宋体" w:hAnsi="宋体" w:eastAsia="宋体" w:cs="宋体"/>
          <w:color w:val="auto"/>
          <w:szCs w:val="21"/>
          <w:highlight w:val="none"/>
        </w:rPr>
        <w:t>3. 接口通讯功能</w:t>
      </w:r>
    </w:p>
    <w:p w14:paraId="760CB452">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RFID 通道识别设备须具有两个以上以太网接口和串口接口， 支持 Ethernet/IP、ProfiNet、Modbus、TCP/IP 等接口通讯协议，可为 BHS 中 PLC 和 BIMS 提供采集和识别的行李跟踪数据，可为 BTS 提供采集和识别的行李跟踪数据以及设备状态信息和故障报警信息。</w:t>
      </w:r>
    </w:p>
    <w:p w14:paraId="606EAEAA">
      <w:pPr>
        <w:spacing w:after="156" w:afterLines="50"/>
        <w:ind w:firstLine="420" w:firstLineChars="200"/>
        <w:jc w:val="left"/>
        <w:rPr>
          <w:rFonts w:ascii="宋体" w:hAnsi="宋体" w:eastAsia="宋体" w:cs="宋体"/>
          <w:color w:val="auto"/>
          <w:szCs w:val="21"/>
          <w:highlight w:val="none"/>
        </w:rPr>
      </w:pPr>
      <w:r>
        <w:rPr>
          <w:rFonts w:hint="eastAsia" w:ascii="宋体" w:hAnsi="宋体" w:eastAsia="宋体" w:cs="宋体"/>
          <w:color w:val="auto"/>
          <w:szCs w:val="21"/>
          <w:highlight w:val="none"/>
        </w:rPr>
        <w:t>3.1.</w:t>
      </w:r>
      <w:r>
        <w:rPr>
          <w:rFonts w:ascii="宋体" w:hAnsi="宋体" w:eastAsia="宋体" w:cs="宋体"/>
          <w:color w:val="auto"/>
          <w:szCs w:val="21"/>
          <w:highlight w:val="none"/>
        </w:rPr>
        <w:t>3.1 与 PLC 通讯要求</w:t>
      </w:r>
    </w:p>
    <w:p w14:paraId="6A2B6851">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RFID 通道识别设备采用 Ethernet/IP 协议或 ProfiNet 接口协议与 PLC 进行通讯，为避免数据传送丢失，数据通信配置有重发机制。</w:t>
      </w:r>
    </w:p>
    <w:p w14:paraId="24B12771">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RFID 通道识别设备和 PLC 的光电开关应相邻安装，确保行李经过时同时触发光电信号。PLC 将在光电开关被触发后为该行李生成一个 BID 码并通过 Ethernet/IP 或 ProfiNet 接口协议发送到RFID 通道识别设备。 RFID 通道识别设备将BID 码与识别到的行李信息进行绑定。绑定后的信息再通过 Ethernet/IP 或 ProfiNet 接口协议发送给 PLC。</w:t>
      </w:r>
    </w:p>
    <w:p w14:paraId="3B42E98D">
      <w:pPr>
        <w:spacing w:after="156" w:afterLines="50"/>
        <w:ind w:firstLine="420" w:firstLineChars="200"/>
        <w:jc w:val="left"/>
        <w:rPr>
          <w:rFonts w:ascii="宋体" w:hAnsi="宋体" w:eastAsia="宋体" w:cs="宋体"/>
          <w:color w:val="auto"/>
          <w:szCs w:val="21"/>
          <w:highlight w:val="none"/>
        </w:rPr>
      </w:pPr>
      <w:r>
        <w:rPr>
          <w:rFonts w:hint="eastAsia" w:ascii="宋体" w:hAnsi="宋体" w:eastAsia="宋体" w:cs="宋体"/>
          <w:color w:val="auto"/>
          <w:szCs w:val="21"/>
          <w:highlight w:val="none"/>
        </w:rPr>
        <w:t>3.1.</w:t>
      </w:r>
      <w:r>
        <w:rPr>
          <w:rFonts w:ascii="宋体" w:hAnsi="宋体" w:eastAsia="宋体" w:cs="宋体"/>
          <w:color w:val="auto"/>
          <w:szCs w:val="21"/>
          <w:highlight w:val="none"/>
        </w:rPr>
        <w:t>3.2 与 BIMS 通讯要求</w:t>
      </w:r>
    </w:p>
    <w:p w14:paraId="074B1DFF">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RFID 通道识别设备采用 TCP/IP 接口协议与 BIMS 进行通讯，为避免数据传送丢失，数据通信配置有重发机制。RFID 通道识别设备向 BIMS 发送数据包括行李条码号和行李 BID 码 （PLC 提供） ，在特定情况下还可发送 USER 区的行李路由和航班信息。如果没有识别到任何有效 RFID 标签数据，则上报 10 个 0，表示该行李未识别。如果识别到超过 1 条有效 RFID 标签数据，则如实上报所有 RFID 标签数据，上报最多不超过 3 条，表示多标签。</w:t>
      </w:r>
    </w:p>
    <w:p w14:paraId="67CA8432">
      <w:pPr>
        <w:spacing w:after="156" w:afterLines="50"/>
        <w:ind w:firstLine="420" w:firstLineChars="200"/>
        <w:jc w:val="left"/>
        <w:rPr>
          <w:rFonts w:ascii="宋体" w:hAnsi="宋体" w:eastAsia="宋体" w:cs="宋体"/>
          <w:color w:val="auto"/>
          <w:szCs w:val="21"/>
          <w:highlight w:val="none"/>
        </w:rPr>
      </w:pPr>
      <w:r>
        <w:rPr>
          <w:rFonts w:hint="eastAsia" w:ascii="宋体" w:hAnsi="宋体" w:eastAsia="宋体" w:cs="宋体"/>
          <w:color w:val="auto"/>
          <w:szCs w:val="21"/>
          <w:highlight w:val="none"/>
        </w:rPr>
        <w:t>3.1.</w:t>
      </w:r>
      <w:r>
        <w:rPr>
          <w:rFonts w:ascii="宋体" w:hAnsi="宋体" w:eastAsia="宋体" w:cs="宋体"/>
          <w:color w:val="auto"/>
          <w:szCs w:val="21"/>
          <w:highlight w:val="none"/>
        </w:rPr>
        <w:t>3.3 与 BTS 通讯要求(可选)</w:t>
      </w:r>
    </w:p>
    <w:p w14:paraId="751EA6B6">
      <w:pPr>
        <w:spacing w:after="156" w:afterLines="50" w:line="360" w:lineRule="auto"/>
        <w:ind w:firstLine="420" w:firstLineChars="200"/>
        <w:rPr>
          <w:rFonts w:ascii="宋体" w:hAnsi="宋体" w:eastAsia="宋体" w:cs="宋体"/>
          <w:color w:val="auto"/>
          <w:szCs w:val="21"/>
          <w:highlight w:val="none"/>
        </w:rPr>
      </w:pPr>
      <w:r>
        <w:rPr>
          <w:rFonts w:ascii="宋体" w:hAnsi="宋体" w:eastAsia="宋体" w:cs="宋体"/>
          <w:color w:val="auto"/>
          <w:szCs w:val="21"/>
          <w:highlight w:val="none"/>
        </w:rPr>
        <w:t>RFID 通道识别设备采用 TCP/IP 接口协议与 BTS 进行通讯，为避免数据传送丢失，数据通信配置有重发机制。</w:t>
      </w:r>
    </w:p>
    <w:p w14:paraId="29C0B5E9">
      <w:pPr>
        <w:spacing w:after="156" w:afterLines="50" w:line="360" w:lineRule="auto"/>
        <w:ind w:firstLine="420" w:firstLineChars="200"/>
        <w:rPr>
          <w:rFonts w:hint="eastAsia" w:ascii="宋体" w:hAnsi="宋体" w:eastAsia="宋体" w:cs="宋体"/>
          <w:color w:val="auto"/>
          <w:szCs w:val="21"/>
          <w:highlight w:val="none"/>
        </w:rPr>
      </w:pPr>
      <w:r>
        <w:rPr>
          <w:rFonts w:ascii="宋体" w:hAnsi="宋体" w:eastAsia="宋体" w:cs="宋体"/>
          <w:color w:val="auto"/>
          <w:szCs w:val="21"/>
          <w:highlight w:val="none"/>
        </w:rPr>
        <w:t>RFID 通道识别设备向 BTS 发送数据主要是行李条码号，在特定情况下还可发送 USER 区 的行李路由和航班信息。如果没有识别到任何有效 RFID 标签数据，则上报 10 个 0，表示该行李未识别。如果识别到超过 1 条有效的 RFID 标签数据，则如实上报所有 RFID 标签数据，上报最多不超过 3 条，表示多标签。</w:t>
      </w:r>
    </w:p>
    <w:p w14:paraId="687C8487">
      <w:pPr>
        <w:spacing w:line="360" w:lineRule="auto"/>
        <w:rPr>
          <w:rFonts w:ascii="宋体" w:hAnsi="宋体" w:eastAsia="宋体" w:cs="宋体"/>
          <w:b/>
          <w:bCs/>
          <w:color w:val="auto"/>
          <w:szCs w:val="21"/>
          <w:highlight w:val="none"/>
        </w:rPr>
      </w:pPr>
      <w:r>
        <w:rPr>
          <w:rFonts w:hint="eastAsia" w:ascii="宋体" w:hAnsi="宋体" w:eastAsia="宋体" w:cs="宋体"/>
          <w:b/>
          <w:bCs/>
          <w:color w:val="auto"/>
          <w:szCs w:val="21"/>
          <w:highlight w:val="none"/>
        </w:rPr>
        <w:t>3.2.技术参数</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410"/>
        <w:gridCol w:w="5295"/>
      </w:tblGrid>
      <w:tr w14:paraId="5FC34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4B1F51C0">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2410" w:type="dxa"/>
            <w:vAlign w:val="center"/>
          </w:tcPr>
          <w:p w14:paraId="0B900E77">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名称</w:t>
            </w:r>
          </w:p>
        </w:tc>
        <w:tc>
          <w:tcPr>
            <w:tcW w:w="5295" w:type="dxa"/>
            <w:vAlign w:val="center"/>
          </w:tcPr>
          <w:p w14:paraId="3087AB4C">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规格指标</w:t>
            </w:r>
          </w:p>
        </w:tc>
      </w:tr>
      <w:tr w14:paraId="3A98B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60BC479E">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410" w:type="dxa"/>
            <w:vAlign w:val="center"/>
          </w:tcPr>
          <w:p w14:paraId="32145F34">
            <w:pPr>
              <w:pStyle w:val="11"/>
              <w:jc w:val="center"/>
              <w:rPr>
                <w:rFonts w:ascii="宋体" w:hAnsi="宋体"/>
                <w:color w:val="auto"/>
                <w:sz w:val="21"/>
                <w:szCs w:val="21"/>
                <w:highlight w:val="none"/>
              </w:rPr>
            </w:pPr>
            <w:r>
              <w:rPr>
                <w:rFonts w:hint="eastAsia" w:ascii="宋体" w:hAnsi="宋体"/>
                <w:color w:val="auto"/>
                <w:sz w:val="21"/>
                <w:szCs w:val="21"/>
                <w:highlight w:val="none"/>
              </w:rPr>
              <w:t>频率范围</w:t>
            </w:r>
          </w:p>
        </w:tc>
        <w:tc>
          <w:tcPr>
            <w:tcW w:w="5295" w:type="dxa"/>
            <w:vAlign w:val="center"/>
          </w:tcPr>
          <w:p w14:paraId="52950975">
            <w:pPr>
              <w:pStyle w:val="11"/>
              <w:jc w:val="center"/>
              <w:rPr>
                <w:rFonts w:ascii="宋体" w:hAnsi="宋体"/>
                <w:color w:val="auto"/>
                <w:sz w:val="21"/>
                <w:szCs w:val="21"/>
                <w:highlight w:val="none"/>
              </w:rPr>
            </w:pPr>
            <w:r>
              <w:rPr>
                <w:rFonts w:ascii="宋体" w:hAnsi="宋体"/>
                <w:color w:val="auto"/>
                <w:sz w:val="21"/>
                <w:szCs w:val="21"/>
                <w:highlight w:val="none"/>
              </w:rPr>
              <w:t>920-925MHz</w:t>
            </w:r>
          </w:p>
        </w:tc>
      </w:tr>
      <w:tr w14:paraId="15577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0FABB1E0">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410" w:type="dxa"/>
            <w:vAlign w:val="center"/>
          </w:tcPr>
          <w:p w14:paraId="48D38856">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空口协议</w:t>
            </w:r>
          </w:p>
        </w:tc>
        <w:tc>
          <w:tcPr>
            <w:tcW w:w="5295" w:type="dxa"/>
            <w:vAlign w:val="center"/>
          </w:tcPr>
          <w:p w14:paraId="76221A4A">
            <w:pPr>
              <w:pStyle w:val="11"/>
              <w:jc w:val="center"/>
              <w:rPr>
                <w:rFonts w:ascii="宋体" w:hAnsi="宋体"/>
                <w:color w:val="auto"/>
                <w:sz w:val="21"/>
                <w:szCs w:val="21"/>
                <w:highlight w:val="none"/>
              </w:rPr>
            </w:pPr>
            <w:r>
              <w:rPr>
                <w:rFonts w:ascii="宋体" w:hAnsi="宋体"/>
                <w:color w:val="auto"/>
                <w:sz w:val="21"/>
                <w:szCs w:val="21"/>
                <w:highlight w:val="none"/>
              </w:rPr>
              <w:t>EPC C1G2,ISO/IEC 18000-6C</w:t>
            </w:r>
          </w:p>
        </w:tc>
      </w:tr>
      <w:tr w14:paraId="1DF41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58139B1B">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410" w:type="dxa"/>
            <w:vAlign w:val="center"/>
          </w:tcPr>
          <w:p w14:paraId="03323FD1">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输出功率</w:t>
            </w:r>
          </w:p>
        </w:tc>
        <w:tc>
          <w:tcPr>
            <w:tcW w:w="5295" w:type="dxa"/>
            <w:vAlign w:val="center"/>
          </w:tcPr>
          <w:p w14:paraId="39C6E2B5">
            <w:pPr>
              <w:pStyle w:val="11"/>
              <w:jc w:val="center"/>
              <w:rPr>
                <w:rFonts w:ascii="宋体" w:hAnsi="宋体"/>
                <w:color w:val="auto"/>
                <w:sz w:val="21"/>
                <w:szCs w:val="21"/>
                <w:highlight w:val="none"/>
              </w:rPr>
            </w:pPr>
            <w:r>
              <w:rPr>
                <w:rFonts w:ascii="宋体" w:hAnsi="宋体"/>
                <w:color w:val="auto"/>
                <w:sz w:val="21"/>
                <w:szCs w:val="21"/>
                <w:highlight w:val="none"/>
              </w:rPr>
              <w:t>0-30dBm 可调，步进 1dB</w:t>
            </w:r>
          </w:p>
        </w:tc>
      </w:tr>
      <w:tr w14:paraId="00571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3786B80F">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2410" w:type="dxa"/>
            <w:vAlign w:val="center"/>
          </w:tcPr>
          <w:p w14:paraId="464FE680">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天线数量</w:t>
            </w:r>
          </w:p>
        </w:tc>
        <w:tc>
          <w:tcPr>
            <w:tcW w:w="5295" w:type="dxa"/>
            <w:vAlign w:val="center"/>
          </w:tcPr>
          <w:p w14:paraId="024A882F">
            <w:pPr>
              <w:pStyle w:val="11"/>
              <w:jc w:val="center"/>
              <w:rPr>
                <w:rFonts w:ascii="宋体" w:hAnsi="宋体"/>
                <w:color w:val="auto"/>
                <w:sz w:val="21"/>
                <w:szCs w:val="21"/>
                <w:highlight w:val="none"/>
              </w:rPr>
            </w:pPr>
            <w:r>
              <w:rPr>
                <w:rFonts w:ascii="宋体" w:hAnsi="宋体"/>
                <w:color w:val="auto"/>
                <w:sz w:val="21"/>
                <w:szCs w:val="21"/>
                <w:highlight w:val="none"/>
              </w:rPr>
              <w:t>≥4</w:t>
            </w:r>
          </w:p>
        </w:tc>
      </w:tr>
      <w:tr w14:paraId="4BB51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274FA4DA">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2410" w:type="dxa"/>
            <w:vAlign w:val="center"/>
          </w:tcPr>
          <w:p w14:paraId="357403FA">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有效识别率</w:t>
            </w:r>
          </w:p>
        </w:tc>
        <w:tc>
          <w:tcPr>
            <w:tcW w:w="5295" w:type="dxa"/>
            <w:vAlign w:val="center"/>
          </w:tcPr>
          <w:p w14:paraId="3EC94DA9">
            <w:pPr>
              <w:pStyle w:val="11"/>
              <w:jc w:val="center"/>
              <w:rPr>
                <w:rFonts w:ascii="宋体" w:hAnsi="宋体"/>
                <w:color w:val="auto"/>
                <w:sz w:val="21"/>
                <w:szCs w:val="21"/>
                <w:highlight w:val="none"/>
              </w:rPr>
            </w:pPr>
            <w:r>
              <w:rPr>
                <w:rFonts w:ascii="宋体" w:hAnsi="宋体"/>
                <w:color w:val="auto"/>
                <w:sz w:val="21"/>
                <w:szCs w:val="21"/>
                <w:highlight w:val="none"/>
              </w:rPr>
              <w:t>≥99.3%</w:t>
            </w:r>
          </w:p>
        </w:tc>
      </w:tr>
      <w:tr w14:paraId="21353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7E242D80">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2410" w:type="dxa"/>
            <w:vAlign w:val="center"/>
          </w:tcPr>
          <w:p w14:paraId="4CF2938A">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行李间距</w:t>
            </w:r>
          </w:p>
        </w:tc>
        <w:tc>
          <w:tcPr>
            <w:tcW w:w="5295" w:type="dxa"/>
            <w:vAlign w:val="center"/>
          </w:tcPr>
          <w:p w14:paraId="111301B5">
            <w:pPr>
              <w:pStyle w:val="11"/>
              <w:jc w:val="center"/>
              <w:rPr>
                <w:rFonts w:ascii="宋体" w:hAnsi="宋体"/>
                <w:color w:val="auto"/>
                <w:sz w:val="21"/>
                <w:szCs w:val="21"/>
                <w:highlight w:val="none"/>
              </w:rPr>
            </w:pPr>
            <w:r>
              <w:rPr>
                <w:rFonts w:ascii="宋体" w:hAnsi="宋体"/>
                <w:color w:val="auto"/>
                <w:sz w:val="21"/>
                <w:szCs w:val="21"/>
                <w:highlight w:val="none"/>
              </w:rPr>
              <w:t>小于 35cm ，无 BID 与行李标签的错绑，即错绑率为0 ； 大于 35cm ，满足有效识别率要求（行李标签串读不算做有效识别率）。</w:t>
            </w:r>
          </w:p>
        </w:tc>
      </w:tr>
      <w:tr w14:paraId="6D7D6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11AA6C0C">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2410" w:type="dxa"/>
            <w:vAlign w:val="center"/>
          </w:tcPr>
          <w:p w14:paraId="51FFC127">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接口</w:t>
            </w:r>
          </w:p>
        </w:tc>
        <w:tc>
          <w:tcPr>
            <w:tcW w:w="5295" w:type="dxa"/>
            <w:vAlign w:val="center"/>
          </w:tcPr>
          <w:p w14:paraId="5BA1E93B">
            <w:pPr>
              <w:pStyle w:val="11"/>
              <w:jc w:val="center"/>
              <w:rPr>
                <w:rFonts w:ascii="宋体" w:hAnsi="宋体"/>
                <w:color w:val="auto"/>
                <w:sz w:val="21"/>
                <w:szCs w:val="21"/>
                <w:highlight w:val="none"/>
              </w:rPr>
            </w:pPr>
            <w:r>
              <w:rPr>
                <w:rFonts w:ascii="宋体" w:hAnsi="宋体"/>
                <w:color w:val="auto"/>
                <w:sz w:val="21"/>
                <w:szCs w:val="21"/>
                <w:highlight w:val="none"/>
              </w:rPr>
              <w:t>支持 Ethernet/IP、ProfiNet、Modbus、TCP/IP 等接口通讯协议</w:t>
            </w:r>
          </w:p>
        </w:tc>
      </w:tr>
      <w:tr w14:paraId="2B4F1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4AB21424">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2410" w:type="dxa"/>
            <w:vAlign w:val="center"/>
          </w:tcPr>
          <w:p w14:paraId="2CBB7701">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多标签读取</w:t>
            </w:r>
          </w:p>
        </w:tc>
        <w:tc>
          <w:tcPr>
            <w:tcW w:w="5295" w:type="dxa"/>
            <w:vAlign w:val="center"/>
          </w:tcPr>
          <w:p w14:paraId="2ED1379B">
            <w:pPr>
              <w:pStyle w:val="11"/>
              <w:jc w:val="center"/>
              <w:rPr>
                <w:rFonts w:ascii="宋体" w:hAnsi="宋体"/>
                <w:color w:val="auto"/>
                <w:sz w:val="21"/>
                <w:szCs w:val="21"/>
                <w:highlight w:val="none"/>
              </w:rPr>
            </w:pPr>
            <w:r>
              <w:rPr>
                <w:rFonts w:hint="eastAsia" w:ascii="宋体" w:hAnsi="宋体"/>
                <w:color w:val="auto"/>
                <w:sz w:val="21"/>
                <w:szCs w:val="21"/>
                <w:highlight w:val="none"/>
              </w:rPr>
              <w:t>支持</w:t>
            </w:r>
          </w:p>
        </w:tc>
      </w:tr>
      <w:tr w14:paraId="15ABD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137FEE3F">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2410" w:type="dxa"/>
            <w:vAlign w:val="center"/>
          </w:tcPr>
          <w:p w14:paraId="2DE3AAEC">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设备架构</w:t>
            </w:r>
          </w:p>
        </w:tc>
        <w:tc>
          <w:tcPr>
            <w:tcW w:w="5295" w:type="dxa"/>
            <w:vAlign w:val="center"/>
          </w:tcPr>
          <w:p w14:paraId="1220F6E1">
            <w:pPr>
              <w:pStyle w:val="11"/>
              <w:jc w:val="center"/>
              <w:rPr>
                <w:rFonts w:ascii="宋体" w:hAnsi="宋体"/>
                <w:color w:val="auto"/>
                <w:sz w:val="21"/>
                <w:szCs w:val="21"/>
                <w:highlight w:val="none"/>
              </w:rPr>
            </w:pPr>
            <w:r>
              <w:rPr>
                <w:rFonts w:hint="eastAsia" w:ascii="宋体" w:hAnsi="宋体"/>
                <w:color w:val="auto"/>
                <w:sz w:val="21"/>
                <w:szCs w:val="21"/>
                <w:highlight w:val="none"/>
              </w:rPr>
              <w:t>通道式结构</w:t>
            </w:r>
          </w:p>
        </w:tc>
      </w:tr>
      <w:tr w14:paraId="56432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4D66943C">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2410" w:type="dxa"/>
            <w:vAlign w:val="center"/>
          </w:tcPr>
          <w:p w14:paraId="7351B0D6">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指示灯</w:t>
            </w:r>
          </w:p>
        </w:tc>
        <w:tc>
          <w:tcPr>
            <w:tcW w:w="5295" w:type="dxa"/>
            <w:vAlign w:val="center"/>
          </w:tcPr>
          <w:p w14:paraId="1FFA094A">
            <w:pPr>
              <w:pStyle w:val="11"/>
              <w:jc w:val="center"/>
              <w:rPr>
                <w:rFonts w:ascii="宋体" w:hAnsi="宋体"/>
                <w:color w:val="auto"/>
                <w:sz w:val="21"/>
                <w:szCs w:val="21"/>
                <w:highlight w:val="none"/>
              </w:rPr>
            </w:pPr>
            <w:r>
              <w:rPr>
                <w:rFonts w:ascii="宋体" w:hAnsi="宋体"/>
                <w:color w:val="auto"/>
                <w:sz w:val="21"/>
                <w:szCs w:val="21"/>
                <w:highlight w:val="none"/>
              </w:rPr>
              <w:t>绿色：正在工作；黄色：待机；红色：故障告警</w:t>
            </w:r>
          </w:p>
        </w:tc>
      </w:tr>
      <w:tr w14:paraId="1D07B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4CBFADB8">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2410" w:type="dxa"/>
            <w:vAlign w:val="center"/>
          </w:tcPr>
          <w:p w14:paraId="70784C6C">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远程监控</w:t>
            </w:r>
          </w:p>
        </w:tc>
        <w:tc>
          <w:tcPr>
            <w:tcW w:w="5295" w:type="dxa"/>
            <w:vAlign w:val="center"/>
          </w:tcPr>
          <w:p w14:paraId="5218D09B">
            <w:pPr>
              <w:pStyle w:val="11"/>
              <w:jc w:val="center"/>
              <w:rPr>
                <w:rFonts w:ascii="宋体" w:hAnsi="宋体"/>
                <w:color w:val="auto"/>
                <w:sz w:val="21"/>
                <w:szCs w:val="21"/>
                <w:highlight w:val="none"/>
              </w:rPr>
            </w:pPr>
            <w:r>
              <w:rPr>
                <w:rFonts w:ascii="宋体" w:hAnsi="宋体"/>
                <w:color w:val="auto"/>
                <w:sz w:val="21"/>
                <w:szCs w:val="21"/>
                <w:highlight w:val="none"/>
              </w:rPr>
              <w:t>支持远程参数设置、状态监控、远程升级</w:t>
            </w:r>
          </w:p>
        </w:tc>
      </w:tr>
      <w:tr w14:paraId="11547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0DCC53F3">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2410" w:type="dxa"/>
            <w:vAlign w:val="center"/>
          </w:tcPr>
          <w:p w14:paraId="72BD57DB">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行李拍摄</w:t>
            </w:r>
          </w:p>
        </w:tc>
        <w:tc>
          <w:tcPr>
            <w:tcW w:w="5295" w:type="dxa"/>
            <w:vAlign w:val="center"/>
          </w:tcPr>
          <w:p w14:paraId="64E070CE">
            <w:pPr>
              <w:pStyle w:val="11"/>
              <w:jc w:val="center"/>
              <w:rPr>
                <w:rFonts w:ascii="宋体" w:hAnsi="宋体"/>
                <w:color w:val="auto"/>
                <w:sz w:val="21"/>
                <w:szCs w:val="21"/>
                <w:highlight w:val="none"/>
              </w:rPr>
            </w:pPr>
            <w:r>
              <w:rPr>
                <w:rFonts w:ascii="宋体" w:hAnsi="宋体"/>
                <w:color w:val="auto"/>
                <w:sz w:val="21"/>
                <w:szCs w:val="21"/>
                <w:highlight w:val="none"/>
              </w:rPr>
              <w:t>支持输出图片格式 JPG</w:t>
            </w:r>
            <w:r>
              <w:rPr>
                <w:rFonts w:hint="eastAsia" w:ascii="宋体" w:hAnsi="宋体"/>
                <w:color w:val="auto"/>
                <w:sz w:val="21"/>
                <w:szCs w:val="21"/>
                <w:highlight w:val="none"/>
              </w:rPr>
              <w:t>等</w:t>
            </w:r>
            <w:r>
              <w:rPr>
                <w:rFonts w:ascii="宋体" w:hAnsi="宋体"/>
                <w:color w:val="auto"/>
                <w:sz w:val="21"/>
                <w:szCs w:val="21"/>
                <w:highlight w:val="none"/>
              </w:rPr>
              <w:t>，分辨率：1920*1080</w:t>
            </w:r>
          </w:p>
        </w:tc>
      </w:tr>
      <w:tr w14:paraId="393DC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3AB568A3">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2410" w:type="dxa"/>
            <w:vAlign w:val="center"/>
          </w:tcPr>
          <w:p w14:paraId="5C7C08E9">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光电传感器</w:t>
            </w:r>
          </w:p>
        </w:tc>
        <w:tc>
          <w:tcPr>
            <w:tcW w:w="5295" w:type="dxa"/>
            <w:vAlign w:val="center"/>
          </w:tcPr>
          <w:p w14:paraId="1D6EA85D">
            <w:pPr>
              <w:pStyle w:val="11"/>
              <w:jc w:val="center"/>
              <w:rPr>
                <w:rFonts w:ascii="宋体" w:hAnsi="宋体"/>
                <w:color w:val="auto"/>
                <w:sz w:val="21"/>
                <w:szCs w:val="21"/>
                <w:highlight w:val="none"/>
              </w:rPr>
            </w:pPr>
            <w:r>
              <w:rPr>
                <w:rFonts w:ascii="宋体" w:hAnsi="宋体"/>
                <w:color w:val="auto"/>
                <w:sz w:val="21"/>
                <w:szCs w:val="21"/>
                <w:highlight w:val="none"/>
              </w:rPr>
              <w:t>漫反射型，红外发光二极管</w:t>
            </w:r>
          </w:p>
        </w:tc>
      </w:tr>
    </w:tbl>
    <w:p w14:paraId="13F91105">
      <w:pPr>
        <w:spacing w:line="360" w:lineRule="auto"/>
        <w:rPr>
          <w:rFonts w:ascii="宋体" w:hAnsi="宋体" w:eastAsia="宋体" w:cs="宋体"/>
          <w:b/>
          <w:bCs/>
          <w:color w:val="auto"/>
          <w:szCs w:val="21"/>
          <w:highlight w:val="none"/>
        </w:rPr>
      </w:pPr>
    </w:p>
    <w:p w14:paraId="1FA8C208">
      <w:pPr>
        <w:numPr>
          <w:ilvl w:val="0"/>
          <w:numId w:val="2"/>
        </w:numPr>
        <w:spacing w:line="360" w:lineRule="auto"/>
        <w:outlineLvl w:val="0"/>
        <w:rPr>
          <w:rFonts w:ascii="宋体" w:hAnsi="宋体" w:eastAsia="宋体" w:cs="宋体"/>
          <w:b/>
          <w:color w:val="auto"/>
          <w:szCs w:val="21"/>
          <w:highlight w:val="none"/>
        </w:rPr>
      </w:pPr>
      <w:r>
        <w:rPr>
          <w:rFonts w:hint="eastAsia" w:ascii="宋体" w:hAnsi="宋体" w:eastAsia="宋体" w:cs="宋体"/>
          <w:b/>
          <w:color w:val="auto"/>
          <w:szCs w:val="21"/>
          <w:highlight w:val="none"/>
        </w:rPr>
        <w:t>合同条款及格式</w:t>
      </w:r>
    </w:p>
    <w:p w14:paraId="2ED5EF57">
      <w:pPr>
        <w:spacing w:line="360" w:lineRule="auto"/>
        <w:ind w:firstLine="482" w:firstLineChars="201"/>
        <w:rPr>
          <w:rFonts w:ascii="宋体" w:hAnsi="宋体" w:eastAsia="宋体" w:cs="宋体"/>
          <w:color w:val="auto"/>
          <w:sz w:val="24"/>
          <w:highlight w:val="none"/>
        </w:rPr>
      </w:pPr>
      <w:r>
        <w:rPr>
          <w:rFonts w:hint="eastAsia" w:ascii="宋体" w:hAnsi="宋体" w:eastAsia="宋体" w:cs="宋体"/>
          <w:color w:val="auto"/>
          <w:sz w:val="24"/>
          <w:highlight w:val="none"/>
        </w:rPr>
        <w:t>以下主要合同条款在签订时招标人将视项目需要添加部分合同条款，最终签订合同条款以招标人审核条款为准。</w:t>
      </w:r>
    </w:p>
    <w:p w14:paraId="16B163C6">
      <w:pPr>
        <w:rPr>
          <w:color w:val="auto"/>
          <w:highlight w:val="none"/>
        </w:rPr>
      </w:pPr>
    </w:p>
    <w:p w14:paraId="5235EC48">
      <w:pPr>
        <w:rPr>
          <w:color w:val="auto"/>
          <w:highlight w:val="none"/>
        </w:rPr>
      </w:pPr>
    </w:p>
    <w:p w14:paraId="66E93026">
      <w:pPr>
        <w:rPr>
          <w:color w:val="auto"/>
          <w:highlight w:val="none"/>
        </w:rPr>
      </w:pPr>
    </w:p>
    <w:p w14:paraId="79831E29">
      <w:pPr>
        <w:rPr>
          <w:color w:val="auto"/>
          <w:highlight w:val="none"/>
        </w:rPr>
      </w:pPr>
    </w:p>
    <w:p w14:paraId="5BE6FA81">
      <w:pPr>
        <w:rPr>
          <w:color w:val="auto"/>
          <w:highlight w:val="none"/>
        </w:rPr>
      </w:pPr>
    </w:p>
    <w:p w14:paraId="75280210">
      <w:pPr>
        <w:rPr>
          <w:color w:val="auto"/>
          <w:highlight w:val="none"/>
        </w:rPr>
      </w:pPr>
    </w:p>
    <w:p w14:paraId="683EDA1A">
      <w:pPr>
        <w:rPr>
          <w:rFonts w:ascii="黑体" w:hAnsi="黑体" w:eastAsia="黑体" w:cs="宋体"/>
          <w:b/>
          <w:bCs/>
          <w:color w:val="auto"/>
          <w:position w:val="-3"/>
          <w:sz w:val="28"/>
          <w:szCs w:val="28"/>
          <w:highlight w:val="none"/>
        </w:rPr>
      </w:pPr>
    </w:p>
    <w:p w14:paraId="7F607C1A">
      <w:pPr>
        <w:rPr>
          <w:rFonts w:ascii="黑体" w:hAnsi="黑体" w:eastAsia="黑体" w:cs="宋体"/>
          <w:b/>
          <w:bCs/>
          <w:color w:val="auto"/>
          <w:position w:val="-3"/>
          <w:sz w:val="28"/>
          <w:szCs w:val="28"/>
          <w:highlight w:val="none"/>
        </w:rPr>
      </w:pPr>
    </w:p>
    <w:p w14:paraId="13E9347E">
      <w:pPr>
        <w:rPr>
          <w:rFonts w:hint="eastAsia" w:ascii="黑体" w:hAnsi="黑体" w:eastAsia="黑体" w:cs="宋体"/>
          <w:b/>
          <w:bCs/>
          <w:color w:val="auto"/>
          <w:position w:val="-3"/>
          <w:sz w:val="28"/>
          <w:szCs w:val="28"/>
          <w:highlight w:val="none"/>
        </w:rPr>
      </w:pPr>
    </w:p>
    <w:p w14:paraId="71A6D424">
      <w:pPr>
        <w:rPr>
          <w:rFonts w:hint="eastAsia" w:ascii="黑体" w:hAnsi="黑体" w:eastAsia="黑体" w:cs="宋体"/>
          <w:b/>
          <w:bCs/>
          <w:color w:val="auto"/>
          <w:position w:val="-3"/>
          <w:sz w:val="28"/>
          <w:szCs w:val="28"/>
          <w:highlight w:val="none"/>
        </w:rPr>
      </w:pPr>
    </w:p>
    <w:p w14:paraId="7B605901">
      <w:pPr>
        <w:rPr>
          <w:rFonts w:hint="eastAsia" w:ascii="黑体" w:hAnsi="黑体" w:eastAsia="黑体" w:cs="宋体"/>
          <w:b/>
          <w:bCs/>
          <w:color w:val="auto"/>
          <w:position w:val="-3"/>
          <w:sz w:val="28"/>
          <w:szCs w:val="28"/>
          <w:highlight w:val="none"/>
        </w:rPr>
      </w:pPr>
    </w:p>
    <w:p w14:paraId="12650C61">
      <w:pPr>
        <w:rPr>
          <w:rFonts w:hint="eastAsia" w:ascii="黑体" w:hAnsi="黑体" w:eastAsia="黑体" w:cs="宋体"/>
          <w:b/>
          <w:bCs/>
          <w:color w:val="auto"/>
          <w:position w:val="-3"/>
          <w:sz w:val="28"/>
          <w:szCs w:val="28"/>
          <w:highlight w:val="none"/>
        </w:rPr>
      </w:pPr>
    </w:p>
    <w:p w14:paraId="4E6D8B02">
      <w:pPr>
        <w:rPr>
          <w:rFonts w:hint="eastAsia" w:ascii="黑体" w:hAnsi="黑体" w:eastAsia="黑体" w:cs="宋体"/>
          <w:b/>
          <w:bCs/>
          <w:color w:val="auto"/>
          <w:position w:val="-3"/>
          <w:sz w:val="28"/>
          <w:szCs w:val="28"/>
          <w:highlight w:val="none"/>
        </w:rPr>
      </w:pPr>
    </w:p>
    <w:p w14:paraId="790E2010">
      <w:pPr>
        <w:rPr>
          <w:rFonts w:hint="eastAsia" w:ascii="黑体" w:hAnsi="黑体" w:eastAsia="黑体" w:cs="宋体"/>
          <w:b/>
          <w:bCs/>
          <w:color w:val="auto"/>
          <w:position w:val="-3"/>
          <w:sz w:val="28"/>
          <w:szCs w:val="28"/>
          <w:highlight w:val="none"/>
        </w:rPr>
      </w:pPr>
    </w:p>
    <w:p w14:paraId="137564DC">
      <w:pPr>
        <w:rPr>
          <w:rFonts w:hint="eastAsia" w:ascii="黑体" w:hAnsi="黑体" w:eastAsia="黑体" w:cs="宋体"/>
          <w:b/>
          <w:bCs/>
          <w:color w:val="auto"/>
          <w:position w:val="-3"/>
          <w:sz w:val="28"/>
          <w:szCs w:val="28"/>
          <w:highlight w:val="none"/>
        </w:rPr>
      </w:pPr>
    </w:p>
    <w:p w14:paraId="76C962BB">
      <w:pPr>
        <w:rPr>
          <w:rFonts w:hint="eastAsia" w:ascii="黑体" w:hAnsi="黑体" w:eastAsia="黑体" w:cs="宋体"/>
          <w:b/>
          <w:bCs/>
          <w:color w:val="auto"/>
          <w:position w:val="-3"/>
          <w:sz w:val="28"/>
          <w:szCs w:val="28"/>
          <w:highlight w:val="none"/>
        </w:rPr>
      </w:pPr>
    </w:p>
    <w:p w14:paraId="4A8A0DC3">
      <w:pPr>
        <w:rPr>
          <w:rFonts w:hint="eastAsia" w:ascii="黑体" w:hAnsi="黑体" w:eastAsia="黑体" w:cs="宋体"/>
          <w:b/>
          <w:bCs/>
          <w:color w:val="auto"/>
          <w:position w:val="-3"/>
          <w:sz w:val="28"/>
          <w:szCs w:val="28"/>
          <w:highlight w:val="none"/>
        </w:rPr>
      </w:pPr>
    </w:p>
    <w:p w14:paraId="6054AFB9">
      <w:pPr>
        <w:rPr>
          <w:rFonts w:hint="eastAsia" w:ascii="黑体" w:hAnsi="黑体" w:eastAsia="黑体" w:cs="宋体"/>
          <w:b/>
          <w:bCs/>
          <w:color w:val="auto"/>
          <w:position w:val="-3"/>
          <w:sz w:val="28"/>
          <w:szCs w:val="28"/>
          <w:highlight w:val="none"/>
        </w:rPr>
      </w:pPr>
    </w:p>
    <w:p w14:paraId="35D8894A">
      <w:pPr>
        <w:rPr>
          <w:rFonts w:hint="eastAsia" w:ascii="黑体" w:hAnsi="黑体" w:eastAsia="黑体" w:cs="宋体"/>
          <w:b/>
          <w:bCs/>
          <w:color w:val="auto"/>
          <w:position w:val="-3"/>
          <w:sz w:val="28"/>
          <w:szCs w:val="28"/>
          <w:highlight w:val="none"/>
        </w:rPr>
      </w:pPr>
    </w:p>
    <w:p w14:paraId="30D72376">
      <w:pPr>
        <w:rPr>
          <w:rFonts w:hint="eastAsia" w:ascii="黑体" w:hAnsi="黑体" w:eastAsia="黑体" w:cs="宋体"/>
          <w:b/>
          <w:bCs/>
          <w:color w:val="auto"/>
          <w:position w:val="-3"/>
          <w:sz w:val="28"/>
          <w:szCs w:val="28"/>
          <w:highlight w:val="none"/>
        </w:rPr>
      </w:pPr>
    </w:p>
    <w:p w14:paraId="4B43C7C5">
      <w:pPr>
        <w:rPr>
          <w:rFonts w:hint="eastAsia" w:ascii="黑体" w:hAnsi="黑体" w:eastAsia="黑体" w:cs="宋体"/>
          <w:b/>
          <w:bCs/>
          <w:color w:val="auto"/>
          <w:position w:val="-3"/>
          <w:sz w:val="28"/>
          <w:szCs w:val="28"/>
          <w:highlight w:val="none"/>
        </w:rPr>
      </w:pPr>
    </w:p>
    <w:p w14:paraId="7CD8C4BD">
      <w:pPr>
        <w:rPr>
          <w:rFonts w:hint="eastAsia" w:ascii="黑体" w:hAnsi="黑体" w:eastAsia="黑体" w:cs="宋体"/>
          <w:b/>
          <w:bCs/>
          <w:color w:val="auto"/>
          <w:position w:val="-3"/>
          <w:sz w:val="28"/>
          <w:szCs w:val="28"/>
          <w:highlight w:val="none"/>
        </w:rPr>
      </w:pPr>
    </w:p>
    <w:p w14:paraId="472DA75C">
      <w:pPr>
        <w:rPr>
          <w:rFonts w:ascii="黑体" w:hAnsi="黑体" w:eastAsia="黑体" w:cs="宋体"/>
          <w:b/>
          <w:bCs/>
          <w:color w:val="auto"/>
          <w:position w:val="-3"/>
          <w:sz w:val="32"/>
          <w:szCs w:val="32"/>
          <w:highlight w:val="none"/>
        </w:rPr>
      </w:pPr>
      <w:r>
        <w:rPr>
          <w:rFonts w:hint="eastAsia" w:ascii="黑体" w:hAnsi="黑体" w:eastAsia="黑体" w:cs="宋体"/>
          <w:b/>
          <w:bCs/>
          <w:color w:val="auto"/>
          <w:position w:val="-3"/>
          <w:sz w:val="28"/>
          <w:szCs w:val="28"/>
          <w:highlight w:val="none"/>
        </w:rPr>
        <w:t>合同编号：</w:t>
      </w:r>
    </w:p>
    <w:p w14:paraId="3AFCFC7D">
      <w:pPr>
        <w:jc w:val="center"/>
        <w:rPr>
          <w:rFonts w:ascii="黑体" w:hAnsi="黑体" w:eastAsia="黑体" w:cs="宋体"/>
          <w:b/>
          <w:bCs/>
          <w:color w:val="auto"/>
          <w:position w:val="-3"/>
          <w:sz w:val="72"/>
          <w:szCs w:val="72"/>
          <w:highlight w:val="none"/>
        </w:rPr>
      </w:pPr>
    </w:p>
    <w:p w14:paraId="087AE4F0">
      <w:pPr>
        <w:jc w:val="center"/>
        <w:rPr>
          <w:rFonts w:ascii="黑体" w:hAnsi="黑体" w:eastAsia="黑体" w:cs="宋体"/>
          <w:b/>
          <w:bCs/>
          <w:color w:val="auto"/>
          <w:position w:val="-3"/>
          <w:sz w:val="72"/>
          <w:szCs w:val="72"/>
          <w:highlight w:val="none"/>
          <w:lang w:val="zh-CN"/>
        </w:rPr>
      </w:pPr>
      <w:r>
        <w:rPr>
          <w:rFonts w:hint="eastAsia" w:ascii="黑体" w:hAnsi="黑体" w:eastAsia="黑体" w:cs="宋体"/>
          <w:b/>
          <w:bCs/>
          <w:color w:val="auto"/>
          <w:position w:val="-3"/>
          <w:sz w:val="72"/>
          <w:szCs w:val="72"/>
          <w:highlight w:val="none"/>
        </w:rPr>
        <w:t>XXXX</w:t>
      </w:r>
      <w:r>
        <w:rPr>
          <w:rFonts w:hint="eastAsia" w:ascii="黑体" w:hAnsi="黑体" w:eastAsia="黑体" w:cs="宋体"/>
          <w:b/>
          <w:bCs/>
          <w:color w:val="auto"/>
          <w:position w:val="-3"/>
          <w:sz w:val="72"/>
          <w:szCs w:val="72"/>
          <w:highlight w:val="none"/>
          <w:lang w:val="zh-CN"/>
        </w:rPr>
        <w:t>项目</w:t>
      </w:r>
    </w:p>
    <w:p w14:paraId="2C5F5A4A">
      <w:pPr>
        <w:jc w:val="center"/>
        <w:rPr>
          <w:rFonts w:ascii="宋体" w:hAnsi="宋体" w:cs="宋体"/>
          <w:b/>
          <w:bCs/>
          <w:color w:val="auto"/>
          <w:w w:val="99"/>
          <w:sz w:val="72"/>
          <w:szCs w:val="72"/>
          <w:highlight w:val="none"/>
        </w:rPr>
      </w:pPr>
    </w:p>
    <w:p w14:paraId="62610951">
      <w:pPr>
        <w:jc w:val="center"/>
        <w:rPr>
          <w:rFonts w:ascii="宋体" w:hAnsi="宋体" w:cs="宋体"/>
          <w:b/>
          <w:bCs/>
          <w:color w:val="auto"/>
          <w:w w:val="99"/>
          <w:sz w:val="72"/>
          <w:szCs w:val="72"/>
          <w:highlight w:val="none"/>
        </w:rPr>
      </w:pPr>
      <w:r>
        <w:rPr>
          <w:rFonts w:hint="eastAsia" w:ascii="宋体" w:hAnsi="宋体" w:cs="宋体"/>
          <w:b/>
          <w:bCs/>
          <w:color w:val="auto"/>
          <w:w w:val="99"/>
          <w:sz w:val="72"/>
          <w:szCs w:val="72"/>
          <w:highlight w:val="none"/>
        </w:rPr>
        <w:t>采</w:t>
      </w:r>
    </w:p>
    <w:p w14:paraId="5168100F">
      <w:pPr>
        <w:jc w:val="center"/>
        <w:rPr>
          <w:rFonts w:ascii="宋体" w:hAnsi="宋体" w:cs="宋体"/>
          <w:b/>
          <w:bCs/>
          <w:color w:val="auto"/>
          <w:w w:val="99"/>
          <w:sz w:val="72"/>
          <w:szCs w:val="72"/>
          <w:highlight w:val="none"/>
        </w:rPr>
      </w:pPr>
      <w:r>
        <w:rPr>
          <w:rFonts w:hint="eastAsia" w:ascii="宋体" w:hAnsi="宋体" w:cs="宋体"/>
          <w:b/>
          <w:bCs/>
          <w:color w:val="auto"/>
          <w:w w:val="99"/>
          <w:sz w:val="72"/>
          <w:szCs w:val="72"/>
          <w:highlight w:val="none"/>
        </w:rPr>
        <w:t>购</w:t>
      </w:r>
    </w:p>
    <w:p w14:paraId="1C8404EA">
      <w:pPr>
        <w:jc w:val="center"/>
        <w:rPr>
          <w:rFonts w:ascii="宋体" w:hAnsi="宋体" w:cs="宋体"/>
          <w:b/>
          <w:bCs/>
          <w:color w:val="auto"/>
          <w:w w:val="99"/>
          <w:sz w:val="72"/>
          <w:szCs w:val="72"/>
          <w:highlight w:val="none"/>
        </w:rPr>
      </w:pPr>
      <w:r>
        <w:rPr>
          <w:rFonts w:hint="eastAsia" w:ascii="宋体" w:hAnsi="宋体" w:cs="宋体"/>
          <w:b/>
          <w:bCs/>
          <w:color w:val="auto"/>
          <w:w w:val="99"/>
          <w:sz w:val="72"/>
          <w:szCs w:val="72"/>
          <w:highlight w:val="none"/>
        </w:rPr>
        <w:t>合</w:t>
      </w:r>
    </w:p>
    <w:p w14:paraId="66002D13">
      <w:pPr>
        <w:jc w:val="center"/>
        <w:rPr>
          <w:rFonts w:ascii="宋体" w:hAnsi="宋体" w:cs="宋体"/>
          <w:b/>
          <w:bCs/>
          <w:color w:val="auto"/>
          <w:w w:val="99"/>
          <w:sz w:val="72"/>
          <w:szCs w:val="72"/>
          <w:highlight w:val="none"/>
        </w:rPr>
      </w:pPr>
      <w:r>
        <w:rPr>
          <w:rFonts w:hint="eastAsia" w:ascii="宋体" w:hAnsi="宋体" w:cs="宋体"/>
          <w:b/>
          <w:bCs/>
          <w:color w:val="auto"/>
          <w:w w:val="99"/>
          <w:sz w:val="72"/>
          <w:szCs w:val="72"/>
          <w:highlight w:val="none"/>
        </w:rPr>
        <w:t>同</w:t>
      </w:r>
    </w:p>
    <w:p w14:paraId="4B341159">
      <w:pPr>
        <w:rPr>
          <w:color w:val="auto"/>
          <w:highlight w:val="none"/>
        </w:rPr>
      </w:pPr>
    </w:p>
    <w:p w14:paraId="365BE514">
      <w:pPr>
        <w:rPr>
          <w:color w:val="auto"/>
          <w:highlight w:val="none"/>
        </w:rPr>
      </w:pPr>
    </w:p>
    <w:p w14:paraId="1337910B">
      <w:pPr>
        <w:rPr>
          <w:color w:val="auto"/>
          <w:highlight w:val="none"/>
        </w:rPr>
      </w:pPr>
    </w:p>
    <w:p w14:paraId="0A5D2694">
      <w:pPr>
        <w:rPr>
          <w:color w:val="auto"/>
          <w:highlight w:val="none"/>
        </w:rPr>
      </w:pPr>
    </w:p>
    <w:p w14:paraId="218D5FA4">
      <w:pPr>
        <w:rPr>
          <w:color w:val="auto"/>
          <w:highlight w:val="none"/>
        </w:rPr>
      </w:pPr>
    </w:p>
    <w:p w14:paraId="347D026E">
      <w:pPr>
        <w:rPr>
          <w:color w:val="auto"/>
          <w:highlight w:val="none"/>
        </w:rPr>
      </w:pPr>
    </w:p>
    <w:p w14:paraId="193D12C5">
      <w:pPr>
        <w:ind w:firstLine="1120" w:firstLineChars="4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买方（甲方）：</w:t>
      </w:r>
      <w:r>
        <w:rPr>
          <w:rFonts w:hint="eastAsia" w:ascii="宋体" w:hAnsi="宋体" w:eastAsia="宋体" w:cs="宋体"/>
          <w:color w:val="auto"/>
          <w:sz w:val="28"/>
          <w:szCs w:val="28"/>
          <w:highlight w:val="none"/>
          <w:u w:val="single"/>
        </w:rPr>
        <w:t>南京禄口国际机场空港科技有限公司</w:t>
      </w:r>
    </w:p>
    <w:p w14:paraId="7754C634">
      <w:pPr>
        <w:ind w:firstLine="1120" w:firstLineChars="4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卖方（乙方）：</w:t>
      </w:r>
      <w:r>
        <w:rPr>
          <w:rFonts w:hint="eastAsia" w:ascii="宋体" w:hAnsi="宋体" w:eastAsia="宋体" w:cs="宋体"/>
          <w:color w:val="auto"/>
          <w:sz w:val="28"/>
          <w:szCs w:val="28"/>
          <w:highlight w:val="none"/>
          <w:u w:val="single"/>
        </w:rPr>
        <w:t xml:space="preserve">                                </w:t>
      </w:r>
    </w:p>
    <w:p w14:paraId="78FDDDC0">
      <w:pPr>
        <w:tabs>
          <w:tab w:val="center" w:pos="4215"/>
          <w:tab w:val="left" w:pos="7413"/>
        </w:tabs>
        <w:spacing w:line="360" w:lineRule="auto"/>
        <w:jc w:val="center"/>
        <w:rPr>
          <w:rFonts w:ascii="宋体" w:hAnsi="宋体" w:cs="宋体"/>
          <w:b/>
          <w:color w:val="auto"/>
          <w:sz w:val="72"/>
          <w:szCs w:val="72"/>
          <w:highlight w:val="none"/>
        </w:rPr>
      </w:pPr>
    </w:p>
    <w:p w14:paraId="568C418D">
      <w:pPr>
        <w:tabs>
          <w:tab w:val="center" w:pos="4215"/>
          <w:tab w:val="left" w:pos="7413"/>
        </w:tabs>
        <w:spacing w:line="360" w:lineRule="auto"/>
        <w:jc w:val="center"/>
        <w:rPr>
          <w:rFonts w:ascii="黑体" w:hAnsi="黑体" w:eastAsia="黑体"/>
          <w:b/>
          <w:bCs/>
          <w:color w:val="auto"/>
          <w:sz w:val="24"/>
          <w:highlight w:val="none"/>
        </w:rPr>
      </w:pPr>
      <w:r>
        <w:rPr>
          <w:rFonts w:hint="eastAsia" w:ascii="宋体" w:hAnsi="宋体"/>
          <w:b/>
          <w:bCs/>
          <w:color w:val="auto"/>
          <w:sz w:val="24"/>
          <w:highlight w:val="none"/>
        </w:rPr>
        <w:t xml:space="preserve">    </w:t>
      </w:r>
      <w:r>
        <w:rPr>
          <w:rFonts w:hint="eastAsia" w:ascii="黑体" w:hAnsi="黑体" w:eastAsia="黑体"/>
          <w:b/>
          <w:bCs/>
          <w:color w:val="auto"/>
          <w:sz w:val="24"/>
          <w:highlight w:val="none"/>
        </w:rPr>
        <w:t xml:space="preserve"> 年      月      日</w:t>
      </w:r>
    </w:p>
    <w:p w14:paraId="55989E91">
      <w:pPr>
        <w:tabs>
          <w:tab w:val="center" w:pos="4215"/>
          <w:tab w:val="left" w:pos="7413"/>
        </w:tabs>
        <w:spacing w:line="360" w:lineRule="auto"/>
        <w:jc w:val="center"/>
        <w:rPr>
          <w:rFonts w:ascii="黑体" w:hAnsi="黑体" w:eastAsia="黑体"/>
          <w:b/>
          <w:bCs/>
          <w:color w:val="auto"/>
          <w:sz w:val="24"/>
          <w:highlight w:val="none"/>
        </w:rPr>
      </w:pPr>
    </w:p>
    <w:p w14:paraId="04DE8FE8">
      <w:pPr>
        <w:tabs>
          <w:tab w:val="center" w:pos="4215"/>
          <w:tab w:val="left" w:pos="7413"/>
        </w:tabs>
        <w:spacing w:line="360" w:lineRule="auto"/>
        <w:rPr>
          <w:rFonts w:ascii="黑体" w:hAnsi="黑体" w:eastAsia="黑体"/>
          <w:b/>
          <w:bCs/>
          <w:color w:val="auto"/>
          <w:sz w:val="24"/>
          <w:highlight w:val="none"/>
        </w:rPr>
      </w:pPr>
    </w:p>
    <w:p w14:paraId="5D8C1F30">
      <w:pPr>
        <w:pageBreakBefore/>
        <w:tabs>
          <w:tab w:val="center" w:pos="4215"/>
          <w:tab w:val="left" w:pos="7413"/>
        </w:tabs>
        <w:spacing w:line="360" w:lineRule="auto"/>
        <w:jc w:val="center"/>
        <w:rPr>
          <w:rFonts w:ascii="宋体" w:hAnsi="宋体" w:cs="华文行楷"/>
          <w:b/>
          <w:color w:val="auto"/>
          <w:sz w:val="72"/>
          <w:szCs w:val="72"/>
          <w:highlight w:val="none"/>
        </w:rPr>
      </w:pPr>
      <w:r>
        <w:rPr>
          <w:rFonts w:hint="eastAsia" w:ascii="宋体" w:hAnsi="宋体" w:cs="宋体"/>
          <w:b/>
          <w:color w:val="auto"/>
          <w:sz w:val="72"/>
          <w:szCs w:val="72"/>
          <w:highlight w:val="none"/>
        </w:rPr>
        <w:t xml:space="preserve">采  购  </w:t>
      </w:r>
      <w:r>
        <w:rPr>
          <w:rFonts w:ascii="宋体" w:hAnsi="宋体" w:cs="宋体"/>
          <w:b/>
          <w:color w:val="auto"/>
          <w:sz w:val="72"/>
          <w:szCs w:val="72"/>
          <w:highlight w:val="none"/>
        </w:rPr>
        <w:t>合</w:t>
      </w:r>
      <w:r>
        <w:rPr>
          <w:rFonts w:ascii="宋体" w:hAnsi="宋体" w:cs="华文行楷"/>
          <w:b/>
          <w:color w:val="auto"/>
          <w:sz w:val="72"/>
          <w:szCs w:val="72"/>
          <w:highlight w:val="none"/>
        </w:rPr>
        <w:t xml:space="preserve">  </w:t>
      </w:r>
      <w:r>
        <w:rPr>
          <w:rFonts w:ascii="宋体" w:hAnsi="宋体" w:cs="宋体"/>
          <w:b/>
          <w:color w:val="auto"/>
          <w:sz w:val="72"/>
          <w:szCs w:val="72"/>
          <w:highlight w:val="none"/>
        </w:rPr>
        <w:t>同</w:t>
      </w:r>
    </w:p>
    <w:p w14:paraId="61A9984F">
      <w:pPr>
        <w:pStyle w:val="10"/>
        <w:ind w:firstLine="5783" w:firstLineChars="2400"/>
        <w:jc w:val="both"/>
        <w:rPr>
          <w:rFonts w:ascii="黑体" w:hAnsi="黑体" w:eastAsia="黑体"/>
          <w:b/>
          <w:color w:val="auto"/>
          <w:sz w:val="24"/>
          <w:szCs w:val="24"/>
          <w:highlight w:val="none"/>
        </w:rPr>
      </w:pPr>
      <w:r>
        <w:rPr>
          <w:rFonts w:hint="eastAsia" w:ascii="黑体" w:hAnsi="黑体" w:eastAsia="黑体"/>
          <w:b/>
          <w:color w:val="auto"/>
          <w:sz w:val="24"/>
          <w:szCs w:val="24"/>
          <w:highlight w:val="none"/>
        </w:rPr>
        <w:t>合同编号：</w:t>
      </w:r>
    </w:p>
    <w:p w14:paraId="796D4586">
      <w:pPr>
        <w:spacing w:line="360" w:lineRule="auto"/>
        <w:ind w:right="844"/>
        <w:rPr>
          <w:rFonts w:ascii="宋体" w:hAnsi="宋体" w:cs="黑体"/>
          <w:b/>
          <w:color w:val="auto"/>
          <w:sz w:val="24"/>
          <w:highlight w:val="none"/>
        </w:rPr>
      </w:pPr>
    </w:p>
    <w:p w14:paraId="0621747B">
      <w:pPr>
        <w:spacing w:line="360" w:lineRule="auto"/>
        <w:rPr>
          <w:rFonts w:ascii="黑体" w:hAnsi="黑体" w:eastAsia="黑体" w:cs="Arial"/>
          <w:b/>
          <w:color w:val="auto"/>
          <w:sz w:val="24"/>
          <w:highlight w:val="none"/>
        </w:rPr>
      </w:pPr>
      <w:r>
        <w:rPr>
          <w:rFonts w:hint="eastAsia" w:ascii="宋体" w:hAnsi="宋体" w:cs="黑体"/>
          <w:b/>
          <w:color w:val="auto"/>
          <w:sz w:val="24"/>
          <w:highlight w:val="none"/>
        </w:rPr>
        <w:t xml:space="preserve"> </w:t>
      </w:r>
      <w:r>
        <w:rPr>
          <w:rFonts w:ascii="黑体" w:hAnsi="黑体" w:eastAsia="黑体" w:cs="黑体"/>
          <w:b/>
          <w:color w:val="auto"/>
          <w:sz w:val="24"/>
          <w:highlight w:val="none"/>
        </w:rPr>
        <w:t>购货单位：</w:t>
      </w:r>
      <w:r>
        <w:rPr>
          <w:rFonts w:hint="eastAsia" w:ascii="黑体" w:hAnsi="黑体" w:eastAsia="黑体"/>
          <w:b/>
          <w:color w:val="auto"/>
          <w:sz w:val="24"/>
          <w:highlight w:val="none"/>
          <w:u w:val="single"/>
        </w:rPr>
        <w:t>南京禄口国际机场空港科技有限公司</w:t>
      </w:r>
      <w:r>
        <w:rPr>
          <w:rFonts w:hint="eastAsia" w:ascii="黑体" w:hAnsi="黑体" w:eastAsia="黑体"/>
          <w:b/>
          <w:color w:val="auto"/>
          <w:sz w:val="24"/>
          <w:highlight w:val="none"/>
        </w:rPr>
        <w:t xml:space="preserve">  （以下简称甲方）</w:t>
      </w:r>
    </w:p>
    <w:p w14:paraId="08F43C12">
      <w:pPr>
        <w:spacing w:line="360" w:lineRule="auto"/>
        <w:rPr>
          <w:rFonts w:ascii="黑体" w:hAnsi="黑体" w:eastAsia="黑体"/>
          <w:b/>
          <w:color w:val="auto"/>
          <w:sz w:val="24"/>
          <w:highlight w:val="none"/>
        </w:rPr>
      </w:pPr>
      <w:r>
        <w:rPr>
          <w:rFonts w:ascii="黑体" w:hAnsi="黑体" w:eastAsia="黑体" w:cs="黑体"/>
          <w:b/>
          <w:color w:val="auto"/>
          <w:sz w:val="24"/>
          <w:highlight w:val="none"/>
        </w:rPr>
        <w:t xml:space="preserve"> 供货单位：</w:t>
      </w:r>
      <w:r>
        <w:rPr>
          <w:rFonts w:hint="eastAsia" w:ascii="黑体" w:hAnsi="黑体" w:eastAsia="黑体" w:cs="黑体"/>
          <w:b/>
          <w:color w:val="auto"/>
          <w:sz w:val="24"/>
          <w:highlight w:val="none"/>
          <w:u w:val="single"/>
        </w:rPr>
        <w:t xml:space="preserve">                                </w:t>
      </w:r>
      <w:r>
        <w:rPr>
          <w:rFonts w:hint="eastAsia" w:ascii="黑体" w:hAnsi="黑体" w:eastAsia="黑体" w:cs="黑体"/>
          <w:b/>
          <w:color w:val="auto"/>
          <w:sz w:val="24"/>
          <w:highlight w:val="none"/>
        </w:rPr>
        <w:t xml:space="preserve">  </w:t>
      </w:r>
      <w:r>
        <w:rPr>
          <w:rFonts w:ascii="黑体" w:hAnsi="黑体" w:eastAsia="黑体"/>
          <w:b/>
          <w:color w:val="auto"/>
          <w:sz w:val="24"/>
          <w:highlight w:val="none"/>
        </w:rPr>
        <w:t>（以下简称乙方）</w:t>
      </w:r>
    </w:p>
    <w:p w14:paraId="4611CD68">
      <w:pPr>
        <w:spacing w:line="360" w:lineRule="auto"/>
        <w:ind w:firstLine="720" w:firstLineChars="300"/>
        <w:rPr>
          <w:rFonts w:ascii="宋体" w:hAnsi="宋体"/>
          <w:color w:val="auto"/>
          <w:sz w:val="24"/>
          <w:highlight w:val="none"/>
        </w:rPr>
      </w:pPr>
      <w:r>
        <w:rPr>
          <w:rFonts w:ascii="宋体" w:hAnsi="宋体"/>
          <w:bCs/>
          <w:color w:val="auto"/>
          <w:sz w:val="24"/>
          <w:highlight w:val="none"/>
        </w:rPr>
        <w:t>根据《中华人民共和国</w:t>
      </w:r>
      <w:r>
        <w:rPr>
          <w:rFonts w:hint="eastAsia" w:ascii="宋体" w:hAnsi="宋体"/>
          <w:bCs/>
          <w:color w:val="auto"/>
          <w:sz w:val="24"/>
          <w:highlight w:val="none"/>
        </w:rPr>
        <w:t>民法典</w:t>
      </w:r>
      <w:r>
        <w:rPr>
          <w:rFonts w:ascii="宋体" w:hAnsi="宋体"/>
          <w:bCs/>
          <w:color w:val="auto"/>
          <w:sz w:val="24"/>
          <w:highlight w:val="none"/>
        </w:rPr>
        <w:t>》，经甲乙双方协商一致</w:t>
      </w:r>
      <w:r>
        <w:rPr>
          <w:rFonts w:hint="eastAsia" w:ascii="宋体" w:hAnsi="宋体"/>
          <w:bCs/>
          <w:color w:val="auto"/>
          <w:sz w:val="24"/>
          <w:highlight w:val="none"/>
        </w:rPr>
        <w:t>，</w:t>
      </w:r>
      <w:r>
        <w:rPr>
          <w:rFonts w:ascii="宋体" w:hAnsi="宋体"/>
          <w:bCs/>
          <w:color w:val="auto"/>
          <w:sz w:val="24"/>
          <w:highlight w:val="none"/>
        </w:rPr>
        <w:t>在公平自愿的基础上签定本合同</w:t>
      </w:r>
      <w:r>
        <w:rPr>
          <w:rFonts w:ascii="宋体" w:hAnsi="宋体"/>
          <w:color w:val="auto"/>
          <w:sz w:val="24"/>
          <w:highlight w:val="none"/>
        </w:rPr>
        <w:t xml:space="preserve"> </w:t>
      </w:r>
      <w:r>
        <w:rPr>
          <w:rFonts w:hint="eastAsia" w:ascii="宋体" w:hAnsi="宋体"/>
          <w:color w:val="auto"/>
          <w:sz w:val="24"/>
          <w:highlight w:val="none"/>
        </w:rPr>
        <w:t>，</w:t>
      </w:r>
      <w:r>
        <w:rPr>
          <w:rFonts w:hint="eastAsia" w:ascii="宋体" w:hAnsi="宋体" w:cs="Arial"/>
          <w:color w:val="auto"/>
          <w:sz w:val="24"/>
          <w:highlight w:val="none"/>
        </w:rPr>
        <w:t>就所购产品拟订以下条款，以资共同信守。</w:t>
      </w:r>
    </w:p>
    <w:p w14:paraId="4C90DFF6">
      <w:pPr>
        <w:numPr>
          <w:ilvl w:val="0"/>
          <w:numId w:val="3"/>
        </w:numPr>
        <w:tabs>
          <w:tab w:val="left" w:pos="8669"/>
        </w:tabs>
        <w:spacing w:line="360" w:lineRule="auto"/>
        <w:ind w:firstLine="482" w:firstLineChars="200"/>
        <w:rPr>
          <w:rFonts w:ascii="黑体" w:hAnsi="黑体" w:eastAsia="黑体" w:cs="Arial"/>
          <w:b/>
          <w:bCs/>
          <w:color w:val="auto"/>
          <w:sz w:val="24"/>
          <w:highlight w:val="none"/>
        </w:rPr>
      </w:pPr>
      <w:r>
        <w:rPr>
          <w:rFonts w:hint="eastAsia" w:ascii="黑体" w:hAnsi="黑体" w:eastAsia="黑体" w:cs="Arial"/>
          <w:b/>
          <w:bCs/>
          <w:color w:val="auto"/>
          <w:sz w:val="24"/>
          <w:highlight w:val="none"/>
        </w:rPr>
        <w:t>产品采购清单：</w:t>
      </w:r>
    </w:p>
    <w:p w14:paraId="07FB88D0">
      <w:pPr>
        <w:spacing w:line="360" w:lineRule="auto"/>
        <w:ind w:firstLine="482" w:firstLineChars="200"/>
        <w:rPr>
          <w:rFonts w:ascii="黑体" w:hAnsi="黑体" w:eastAsia="黑体" w:cs="Arial"/>
          <w:b/>
          <w:bCs/>
          <w:color w:val="auto"/>
          <w:sz w:val="24"/>
          <w:highlight w:val="none"/>
        </w:rPr>
      </w:pPr>
      <w:r>
        <w:rPr>
          <w:rFonts w:hint="eastAsia" w:ascii="黑体" w:hAnsi="黑体" w:eastAsia="黑体" w:cs="Arial"/>
          <w:b/>
          <w:bCs/>
          <w:color w:val="auto"/>
          <w:sz w:val="24"/>
          <w:highlight w:val="none"/>
        </w:rPr>
        <w:t>根据供货清单提供。</w:t>
      </w:r>
    </w:p>
    <w:p w14:paraId="14746686">
      <w:pPr>
        <w:spacing w:line="360" w:lineRule="auto"/>
        <w:ind w:firstLine="482" w:firstLineChars="200"/>
        <w:rPr>
          <w:rFonts w:ascii="黑体" w:hAnsi="黑体" w:eastAsia="黑体" w:cs="Arial"/>
          <w:b/>
          <w:bCs/>
          <w:color w:val="auto"/>
          <w:sz w:val="24"/>
          <w:highlight w:val="none"/>
        </w:rPr>
      </w:pPr>
      <w:r>
        <w:rPr>
          <w:rFonts w:hint="eastAsia" w:ascii="黑体" w:hAnsi="黑体" w:eastAsia="黑体" w:cs="Arial"/>
          <w:b/>
          <w:bCs/>
          <w:color w:val="auto"/>
          <w:sz w:val="24"/>
          <w:highlight w:val="none"/>
        </w:rPr>
        <w:t>二、产品的质量标准</w:t>
      </w:r>
    </w:p>
    <w:p w14:paraId="4489C48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1、产品质量标准：执行最新国家及行业标准、国家和地方行政主管部门的有关规定。甲方与业主方签订的工程合同中的新产品质量标准作为本合同附件，乙方提供的产品应能符合相关质量及规格要求。</w:t>
      </w:r>
    </w:p>
    <w:p w14:paraId="415F854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2、乙方保证所提供的本合同标的物在设计、性能、技术和材料方面都是完备的，必须符合本合同约定的“质量标准”，且为原厂全新产品，</w:t>
      </w:r>
      <w:r>
        <w:rPr>
          <w:rFonts w:hint="eastAsia" w:ascii="宋体" w:hAnsi="宋体"/>
          <w:color w:val="auto"/>
          <w:kern w:val="0"/>
          <w:sz w:val="24"/>
          <w:highlight w:val="none"/>
        </w:rPr>
        <w:t>达到产品各项性能指标和参数，</w:t>
      </w:r>
      <w:r>
        <w:rPr>
          <w:rFonts w:hint="eastAsia" w:ascii="宋体" w:hAnsi="宋体"/>
          <w:color w:val="auto"/>
          <w:sz w:val="24"/>
          <w:highlight w:val="none"/>
        </w:rPr>
        <w:t>其质量符合有关的国标标准，</w:t>
      </w:r>
      <w:r>
        <w:rPr>
          <w:rFonts w:hint="eastAsia" w:ascii="宋体" w:hAnsi="宋体"/>
          <w:color w:val="auto"/>
          <w:kern w:val="0"/>
          <w:sz w:val="24"/>
          <w:highlight w:val="none"/>
        </w:rPr>
        <w:t>并能保证工程验收合格。</w:t>
      </w:r>
    </w:p>
    <w:p w14:paraId="107CBE86">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3、乙方提供的货物必须是正品行货，若为假冒伪劣产品，则假一罚十。</w:t>
      </w:r>
    </w:p>
    <w:p w14:paraId="3C5EC301">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乙方向甲方所提供的产品在质保期内发现缺陷和供应设备损坏的索赔应在质保期届满后三十天仍然有效。上述保证所包括的任何损坏，应在双方同意的时间内由乙方安排做出必要的维修或更换。在保证期后，乙方有偿向甲方提供完善的保养和维修服务以及零部件</w:t>
      </w:r>
    </w:p>
    <w:p w14:paraId="71BADB4D">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5、乙方随货提供相应设备的相关报验资料、检验报告、原厂证明书、合格证，进口产品需有报关证明文件，报验资料加盖乙方公司的原件章。</w:t>
      </w:r>
    </w:p>
    <w:p w14:paraId="27633132">
      <w:pPr>
        <w:spacing w:line="360" w:lineRule="auto"/>
        <w:ind w:firstLine="482" w:firstLineChars="200"/>
        <w:rPr>
          <w:rFonts w:ascii="黑体" w:hAnsi="黑体" w:eastAsia="黑体" w:cs="Arial"/>
          <w:color w:val="auto"/>
          <w:sz w:val="24"/>
          <w:highlight w:val="none"/>
        </w:rPr>
      </w:pPr>
      <w:r>
        <w:rPr>
          <w:rFonts w:hint="eastAsia" w:ascii="黑体" w:hAnsi="黑体" w:eastAsia="黑体" w:cs="Arial"/>
          <w:b/>
          <w:bCs/>
          <w:color w:val="auto"/>
          <w:sz w:val="24"/>
          <w:highlight w:val="none"/>
        </w:rPr>
        <w:t>三、产品的包装标准</w:t>
      </w:r>
    </w:p>
    <w:p w14:paraId="6643CF46">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由乙方按照产品出厂包装标准包装，适合长途运输及多次搬运的坚固包装，并采取措施防止设备受潮、防漏、生锈及震动等影响，以保证设备安全抵达安装现场。由于包装不当而引起的损坏和损失均由乙方负责。包装符合国家法律规定的标准，产品包装不符国家法律规定时，乙方应负责返修或重新包装，并承担返修或重新包装的费用。</w:t>
      </w:r>
    </w:p>
    <w:p w14:paraId="5780B3AE">
      <w:pPr>
        <w:spacing w:line="360" w:lineRule="auto"/>
        <w:ind w:firstLine="482" w:firstLineChars="200"/>
        <w:rPr>
          <w:rFonts w:ascii="黑体" w:hAnsi="黑体" w:eastAsia="黑体"/>
          <w:b/>
          <w:color w:val="auto"/>
          <w:sz w:val="24"/>
          <w:highlight w:val="none"/>
        </w:rPr>
      </w:pPr>
      <w:r>
        <w:rPr>
          <w:rFonts w:hint="eastAsia" w:ascii="黑体" w:hAnsi="黑体" w:eastAsia="黑体" w:cs="Arial"/>
          <w:b/>
          <w:bCs/>
          <w:color w:val="auto"/>
          <w:sz w:val="24"/>
          <w:highlight w:val="none"/>
        </w:rPr>
        <w:t>四、产品的</w:t>
      </w:r>
      <w:r>
        <w:rPr>
          <w:rFonts w:hint="eastAsia" w:ascii="黑体" w:hAnsi="黑体" w:eastAsia="黑体"/>
          <w:b/>
          <w:color w:val="auto"/>
          <w:sz w:val="24"/>
          <w:highlight w:val="none"/>
        </w:rPr>
        <w:t>交货条件</w:t>
      </w:r>
    </w:p>
    <w:p w14:paraId="405A4A22">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1、交货日期：</w:t>
      </w:r>
      <w:r>
        <w:rPr>
          <w:rFonts w:hint="eastAsia" w:ascii="宋体" w:hAnsi="宋体"/>
          <w:color w:val="auto"/>
          <w:sz w:val="24"/>
          <w:highlight w:val="none"/>
          <w:u w:val="single"/>
        </w:rPr>
        <w:t xml:space="preserve">            </w:t>
      </w:r>
      <w:r>
        <w:rPr>
          <w:rFonts w:hint="eastAsia" w:ascii="宋体" w:hAnsi="宋体"/>
          <w:color w:val="auto"/>
          <w:sz w:val="24"/>
          <w:highlight w:val="none"/>
        </w:rPr>
        <w:t>。</w:t>
      </w:r>
    </w:p>
    <w:p w14:paraId="5BB0A7FB">
      <w:pPr>
        <w:spacing w:line="360" w:lineRule="auto"/>
        <w:ind w:firstLine="480" w:firstLineChars="200"/>
        <w:rPr>
          <w:rFonts w:ascii="宋体" w:hAnsi="宋体"/>
          <w:color w:val="auto"/>
          <w:sz w:val="24"/>
          <w:highlight w:val="none"/>
          <w:u w:val="single"/>
        </w:rPr>
      </w:pPr>
      <w:r>
        <w:rPr>
          <w:rFonts w:hint="eastAsia" w:ascii="宋体" w:hAnsi="宋体"/>
          <w:color w:val="auto"/>
          <w:sz w:val="24"/>
          <w:highlight w:val="none"/>
        </w:rPr>
        <w:t>2、交货地址：</w:t>
      </w:r>
      <w:r>
        <w:rPr>
          <w:rFonts w:hint="eastAsia" w:ascii="宋体" w:hAnsi="宋体"/>
          <w:color w:val="auto"/>
          <w:sz w:val="24"/>
          <w:highlight w:val="none"/>
          <w:u w:val="single"/>
        </w:rPr>
        <w:t xml:space="preserve">            </w:t>
      </w:r>
      <w:r>
        <w:rPr>
          <w:rFonts w:hint="eastAsia" w:ascii="宋体" w:hAnsi="宋体"/>
          <w:color w:val="auto"/>
          <w:sz w:val="24"/>
          <w:highlight w:val="none"/>
        </w:rPr>
        <w:t>。</w:t>
      </w:r>
    </w:p>
    <w:p w14:paraId="2F77D3A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3、</w:t>
      </w:r>
      <w:r>
        <w:rPr>
          <w:rFonts w:hint="eastAsia" w:ascii="宋体" w:hAnsi="宋体" w:cs="Arial"/>
          <w:color w:val="auto"/>
          <w:sz w:val="24"/>
          <w:highlight w:val="none"/>
        </w:rPr>
        <w:t>收货人：</w:t>
      </w:r>
      <w:r>
        <w:rPr>
          <w:rFonts w:hint="eastAsia" w:ascii="宋体" w:hAnsi="宋体" w:cs="Arial"/>
          <w:color w:val="auto"/>
          <w:sz w:val="24"/>
          <w:highlight w:val="none"/>
          <w:u w:val="single"/>
        </w:rPr>
        <w:t xml:space="preserve">          </w:t>
      </w:r>
      <w:r>
        <w:rPr>
          <w:rFonts w:hint="eastAsia" w:ascii="宋体" w:hAnsi="宋体" w:cs="Arial"/>
          <w:color w:val="auto"/>
          <w:sz w:val="24"/>
          <w:highlight w:val="none"/>
        </w:rPr>
        <w:t xml:space="preserve"> ；联系电话：</w:t>
      </w:r>
      <w:r>
        <w:rPr>
          <w:rFonts w:hint="eastAsia" w:ascii="宋体" w:hAnsi="宋体" w:cs="Arial"/>
          <w:color w:val="auto"/>
          <w:sz w:val="24"/>
          <w:highlight w:val="none"/>
          <w:u w:val="single"/>
        </w:rPr>
        <w:t xml:space="preserve">           </w:t>
      </w:r>
      <w:r>
        <w:rPr>
          <w:rFonts w:hint="eastAsia" w:ascii="宋体" w:hAnsi="宋体" w:cs="Arial"/>
          <w:color w:val="auto"/>
          <w:sz w:val="24"/>
          <w:highlight w:val="none"/>
        </w:rPr>
        <w:t>。</w:t>
      </w:r>
    </w:p>
    <w:p w14:paraId="5963EF2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4、乙方负责安排快递或是送货到甲方指定地点，其运输费、保险费、装车费、卸车费、吊装费、加固费等所有与送货相关的费用由乙方承担。</w:t>
      </w:r>
    </w:p>
    <w:p w14:paraId="02B6AC2A">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5、分批发货：甲方如因现场施工条件等影响，需要分批发货的，乙方应配合。</w:t>
      </w:r>
    </w:p>
    <w:p w14:paraId="2EA7384F">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6、</w:t>
      </w:r>
      <w:r>
        <w:rPr>
          <w:rFonts w:ascii="宋体" w:hAnsi="宋体" w:cs="Arial"/>
          <w:color w:val="auto"/>
          <w:sz w:val="24"/>
          <w:highlight w:val="none"/>
        </w:rPr>
        <w:t>非收货人签收，必须经过甲方书面授权，否则甲方可视为未收到货物。</w:t>
      </w:r>
    </w:p>
    <w:p w14:paraId="313E85A1">
      <w:pPr>
        <w:spacing w:line="360" w:lineRule="auto"/>
        <w:ind w:firstLine="482" w:firstLineChars="200"/>
        <w:rPr>
          <w:rFonts w:ascii="黑体" w:hAnsi="黑体" w:eastAsia="黑体" w:cs="Arial"/>
          <w:b/>
          <w:color w:val="auto"/>
          <w:sz w:val="24"/>
          <w:highlight w:val="none"/>
        </w:rPr>
      </w:pPr>
      <w:r>
        <w:rPr>
          <w:rFonts w:hint="eastAsia" w:ascii="黑体" w:hAnsi="黑体" w:eastAsia="黑体" w:cs="Arial"/>
          <w:b/>
          <w:bCs/>
          <w:color w:val="auto"/>
          <w:sz w:val="24"/>
          <w:highlight w:val="none"/>
        </w:rPr>
        <w:t>五、货款的结算</w:t>
      </w:r>
    </w:p>
    <w:p w14:paraId="0E2DE55C">
      <w:pPr>
        <w:tabs>
          <w:tab w:val="left" w:pos="1211"/>
        </w:tabs>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1、合同总价：</w:t>
      </w:r>
      <w:r>
        <w:rPr>
          <w:rFonts w:hint="eastAsia" w:ascii="宋体" w:hAnsi="宋体" w:cs="Arial"/>
          <w:color w:val="auto"/>
          <w:sz w:val="24"/>
          <w:highlight w:val="none"/>
          <w:u w:val="single"/>
        </w:rPr>
        <w:t xml:space="preserve">       </w:t>
      </w:r>
      <w:r>
        <w:rPr>
          <w:rFonts w:hint="eastAsia" w:ascii="宋体" w:hAnsi="宋体" w:cs="Arial"/>
          <w:color w:val="auto"/>
          <w:sz w:val="24"/>
          <w:highlight w:val="none"/>
        </w:rPr>
        <w:t>（￥</w:t>
      </w:r>
      <w:r>
        <w:rPr>
          <w:rFonts w:hint="eastAsia" w:ascii="宋体" w:hAnsi="宋体" w:cs="Arial"/>
          <w:color w:val="auto"/>
          <w:sz w:val="24"/>
          <w:highlight w:val="none"/>
          <w:u w:val="single"/>
        </w:rPr>
        <w:t xml:space="preserve">        </w:t>
      </w:r>
      <w:r>
        <w:rPr>
          <w:rFonts w:hint="eastAsia" w:ascii="宋体" w:hAnsi="宋体" w:cs="Arial"/>
          <w:color w:val="auto"/>
          <w:sz w:val="24"/>
          <w:highlight w:val="none"/>
        </w:rPr>
        <w:t>）。</w:t>
      </w:r>
    </w:p>
    <w:p w14:paraId="2FFF3D35">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2、付款形式：</w:t>
      </w:r>
    </w:p>
    <w:p w14:paraId="76629BE7">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合同签订生效并收到乙方开具合同总价</w:t>
      </w:r>
      <w:r>
        <w:rPr>
          <w:rFonts w:hint="eastAsia" w:ascii="宋体" w:hAnsi="宋体" w:cs="Arial"/>
          <w:color w:val="auto"/>
          <w:sz w:val="24"/>
          <w:highlight w:val="none"/>
          <w:u w:val="single"/>
          <w:lang w:val="en-US" w:eastAsia="zh-CN"/>
        </w:rPr>
        <w:t xml:space="preserve">   </w:t>
      </w:r>
      <w:r>
        <w:rPr>
          <w:rFonts w:hint="eastAsia" w:ascii="宋体" w:hAnsi="宋体" w:cs="Arial"/>
          <w:color w:val="auto"/>
          <w:sz w:val="24"/>
          <w:highlight w:val="none"/>
        </w:rPr>
        <w:t>的增值税专用发票</w:t>
      </w:r>
      <w:r>
        <w:rPr>
          <w:rFonts w:ascii="宋体" w:hAnsi="宋体" w:cs="Arial"/>
          <w:color w:val="auto"/>
          <w:sz w:val="24"/>
          <w:highlight w:val="none"/>
        </w:rPr>
        <w:t>后</w:t>
      </w:r>
      <w:r>
        <w:rPr>
          <w:rFonts w:hint="eastAsia" w:ascii="宋体" w:hAnsi="宋体" w:cs="Arial"/>
          <w:color w:val="auto"/>
          <w:sz w:val="24"/>
          <w:highlight w:val="none"/>
        </w:rPr>
        <w:t>，</w:t>
      </w:r>
      <w:r>
        <w:rPr>
          <w:rFonts w:ascii="宋体" w:hAnsi="宋体" w:cs="Arial"/>
          <w:color w:val="auto"/>
          <w:sz w:val="24"/>
          <w:highlight w:val="none"/>
        </w:rPr>
        <w:t>甲方在</w:t>
      </w:r>
      <w:r>
        <w:rPr>
          <w:rFonts w:hint="eastAsia" w:ascii="宋体" w:hAnsi="宋体" w:cs="Arial"/>
          <w:color w:val="auto"/>
          <w:sz w:val="24"/>
          <w:highlight w:val="none"/>
          <w:u w:val="single"/>
        </w:rPr>
        <w:t>5</w:t>
      </w:r>
      <w:r>
        <w:rPr>
          <w:rFonts w:hint="eastAsia" w:ascii="宋体" w:hAnsi="宋体" w:cs="Arial"/>
          <w:color w:val="auto"/>
          <w:sz w:val="24"/>
          <w:highlight w:val="none"/>
        </w:rPr>
        <w:t>个工作日内支</w:t>
      </w:r>
      <w:r>
        <w:rPr>
          <w:rFonts w:ascii="宋体" w:hAnsi="宋体" w:cs="Arial"/>
          <w:color w:val="auto"/>
          <w:sz w:val="24"/>
          <w:highlight w:val="none"/>
        </w:rPr>
        <w:t>付合同总价</w:t>
      </w:r>
      <w:r>
        <w:rPr>
          <w:rFonts w:hint="eastAsia" w:ascii="宋体" w:hAnsi="宋体" w:cs="Arial"/>
          <w:color w:val="auto"/>
          <w:sz w:val="24"/>
          <w:highlight w:val="none"/>
          <w:u w:val="single"/>
          <w:lang w:val="en-US" w:eastAsia="zh-CN"/>
        </w:rPr>
        <w:t xml:space="preserve">    </w:t>
      </w:r>
      <w:r>
        <w:rPr>
          <w:rFonts w:ascii="宋体" w:hAnsi="宋体" w:cs="Arial"/>
          <w:color w:val="auto"/>
          <w:sz w:val="24"/>
          <w:highlight w:val="none"/>
        </w:rPr>
        <w:t>的</w:t>
      </w:r>
      <w:r>
        <w:rPr>
          <w:rFonts w:hint="eastAsia" w:ascii="宋体" w:hAnsi="宋体" w:cs="Arial"/>
          <w:color w:val="auto"/>
          <w:sz w:val="24"/>
          <w:highlight w:val="none"/>
        </w:rPr>
        <w:t>预付</w:t>
      </w:r>
      <w:r>
        <w:rPr>
          <w:rFonts w:ascii="宋体" w:hAnsi="宋体" w:cs="Arial"/>
          <w:color w:val="auto"/>
          <w:sz w:val="24"/>
          <w:highlight w:val="none"/>
        </w:rPr>
        <w:t>款</w:t>
      </w:r>
      <w:r>
        <w:rPr>
          <w:rFonts w:hint="eastAsia" w:ascii="宋体" w:hAnsi="宋体" w:cs="Arial"/>
          <w:color w:val="auto"/>
          <w:sz w:val="24"/>
          <w:highlight w:val="none"/>
        </w:rPr>
        <w:t>，设备到货并且安装完成后，乙方向甲方开具合同总价</w:t>
      </w:r>
      <w:r>
        <w:rPr>
          <w:rFonts w:hint="eastAsia" w:ascii="宋体" w:hAnsi="宋体" w:cs="Arial"/>
          <w:color w:val="auto"/>
          <w:sz w:val="24"/>
          <w:highlight w:val="none"/>
          <w:u w:val="single"/>
          <w:lang w:val="en-US" w:eastAsia="zh-CN"/>
        </w:rPr>
        <w:t xml:space="preserve">   </w:t>
      </w:r>
      <w:r>
        <w:rPr>
          <w:rFonts w:hint="eastAsia" w:ascii="宋体" w:hAnsi="宋体" w:cs="Arial"/>
          <w:color w:val="auto"/>
          <w:sz w:val="24"/>
          <w:highlight w:val="none"/>
        </w:rPr>
        <w:t>的增值税专用发票后，甲方在</w:t>
      </w:r>
      <w:r>
        <w:rPr>
          <w:rFonts w:hint="eastAsia" w:ascii="宋体" w:hAnsi="宋体" w:cs="Arial"/>
          <w:color w:val="auto"/>
          <w:sz w:val="24"/>
          <w:highlight w:val="none"/>
          <w:u w:val="single"/>
        </w:rPr>
        <w:t>5</w:t>
      </w:r>
      <w:r>
        <w:rPr>
          <w:rFonts w:hint="eastAsia" w:ascii="宋体" w:hAnsi="宋体" w:cs="Arial"/>
          <w:color w:val="auto"/>
          <w:sz w:val="24"/>
          <w:highlight w:val="none"/>
        </w:rPr>
        <w:t>个工作日内向乙方支付合同总价</w:t>
      </w:r>
      <w:r>
        <w:rPr>
          <w:rFonts w:hint="eastAsia" w:ascii="宋体" w:hAnsi="宋体" w:cs="Arial"/>
          <w:color w:val="auto"/>
          <w:sz w:val="24"/>
          <w:highlight w:val="none"/>
          <w:u w:val="single"/>
          <w:lang w:val="en-US" w:eastAsia="zh-CN"/>
        </w:rPr>
        <w:t xml:space="preserve">   </w:t>
      </w:r>
      <w:r>
        <w:rPr>
          <w:rFonts w:hint="eastAsia" w:ascii="宋体" w:hAnsi="宋体" w:cs="Arial"/>
          <w:color w:val="auto"/>
          <w:sz w:val="24"/>
          <w:highlight w:val="none"/>
        </w:rPr>
        <w:t>的到货安装款；工程竣工并且行业验收合格后，乙方向甲方开具合同总价剩余的</w:t>
      </w:r>
      <w:r>
        <w:rPr>
          <w:rFonts w:hint="eastAsia" w:ascii="宋体" w:hAnsi="宋体" w:cs="Arial"/>
          <w:color w:val="auto"/>
          <w:sz w:val="24"/>
          <w:highlight w:val="none"/>
          <w:u w:val="single"/>
          <w:lang w:val="en-US" w:eastAsia="zh-CN"/>
        </w:rPr>
        <w:t xml:space="preserve">    </w:t>
      </w:r>
      <w:r>
        <w:rPr>
          <w:rFonts w:hint="eastAsia" w:ascii="宋体" w:hAnsi="宋体" w:cs="Arial"/>
          <w:color w:val="auto"/>
          <w:sz w:val="24"/>
          <w:highlight w:val="none"/>
        </w:rPr>
        <w:t>增值税专用发票，</w:t>
      </w:r>
      <w:r>
        <w:rPr>
          <w:rFonts w:ascii="宋体" w:hAnsi="宋体" w:cs="Arial"/>
          <w:color w:val="auto"/>
          <w:sz w:val="24"/>
          <w:highlight w:val="none"/>
        </w:rPr>
        <w:t>甲方在</w:t>
      </w:r>
      <w:r>
        <w:rPr>
          <w:rFonts w:hint="eastAsia" w:ascii="宋体" w:hAnsi="宋体" w:cs="Arial"/>
          <w:color w:val="auto"/>
          <w:sz w:val="24"/>
          <w:highlight w:val="none"/>
          <w:u w:val="single"/>
        </w:rPr>
        <w:t>5</w:t>
      </w:r>
      <w:r>
        <w:rPr>
          <w:rFonts w:hint="eastAsia" w:ascii="宋体" w:hAnsi="宋体" w:cs="Arial"/>
          <w:color w:val="auto"/>
          <w:sz w:val="24"/>
          <w:highlight w:val="none"/>
        </w:rPr>
        <w:t>个工作日内支付工程合同总价</w:t>
      </w:r>
      <w:r>
        <w:rPr>
          <w:rFonts w:hint="eastAsia" w:ascii="宋体" w:hAnsi="宋体" w:cs="Arial"/>
          <w:color w:val="auto"/>
          <w:sz w:val="24"/>
          <w:highlight w:val="none"/>
          <w:u w:val="single"/>
          <w:lang w:val="en-US" w:eastAsia="zh-CN"/>
        </w:rPr>
        <w:t xml:space="preserve">    </w:t>
      </w:r>
      <w:r>
        <w:rPr>
          <w:rFonts w:hint="eastAsia" w:ascii="宋体" w:hAnsi="宋体" w:cs="Arial"/>
          <w:color w:val="auto"/>
          <w:sz w:val="24"/>
          <w:highlight w:val="none"/>
        </w:rPr>
        <w:t>的验收款，质保期满后若无质量问题，甲方向乙方无息支付工程最终结算价款的</w:t>
      </w:r>
      <w:r>
        <w:rPr>
          <w:rFonts w:hint="eastAsia" w:ascii="宋体" w:hAnsi="宋体" w:cs="Arial"/>
          <w:color w:val="auto"/>
          <w:sz w:val="24"/>
          <w:highlight w:val="none"/>
          <w:u w:val="single"/>
        </w:rPr>
        <w:t>3%</w:t>
      </w:r>
      <w:r>
        <w:rPr>
          <w:rFonts w:hint="eastAsia" w:ascii="宋体" w:hAnsi="宋体" w:cs="Arial"/>
          <w:color w:val="auto"/>
          <w:sz w:val="24"/>
          <w:highlight w:val="none"/>
        </w:rPr>
        <w:t>。</w:t>
      </w:r>
    </w:p>
    <w:p w14:paraId="002A2C9C">
      <w:pPr>
        <w:spacing w:line="360" w:lineRule="auto"/>
        <w:ind w:firstLine="480" w:firstLineChars="200"/>
        <w:rPr>
          <w:rFonts w:ascii="宋体" w:hAnsi="宋体" w:cs="Arial"/>
          <w:color w:val="auto"/>
          <w:sz w:val="24"/>
          <w:highlight w:val="none"/>
          <w:u w:val="single"/>
        </w:rPr>
      </w:pPr>
      <w:r>
        <w:rPr>
          <w:rFonts w:hint="eastAsia" w:ascii="宋体" w:hAnsi="宋体" w:cs="Arial"/>
          <w:color w:val="auto"/>
          <w:sz w:val="24"/>
          <w:highlight w:val="none"/>
        </w:rPr>
        <w:t>3、支付方式：银行转账。</w:t>
      </w:r>
    </w:p>
    <w:p w14:paraId="643A5A50">
      <w:pPr>
        <w:spacing w:line="360" w:lineRule="auto"/>
        <w:ind w:firstLine="480" w:firstLineChars="200"/>
        <w:rPr>
          <w:rFonts w:ascii="宋体" w:hAnsi="宋体"/>
          <w:color w:val="auto"/>
          <w:sz w:val="24"/>
          <w:highlight w:val="none"/>
        </w:rPr>
      </w:pPr>
      <w:r>
        <w:rPr>
          <w:rFonts w:hint="eastAsia" w:ascii="宋体" w:hAnsi="宋体" w:cs="Arial"/>
          <w:color w:val="auto"/>
          <w:sz w:val="24"/>
          <w:highlight w:val="none"/>
        </w:rPr>
        <w:t>4、</w:t>
      </w:r>
      <w:r>
        <w:rPr>
          <w:rFonts w:hint="eastAsia" w:ascii="宋体" w:hAnsi="宋体"/>
          <w:color w:val="auto"/>
          <w:sz w:val="24"/>
          <w:highlight w:val="none"/>
        </w:rPr>
        <w:t>乙方应按约定时间交货，逾期交货的，每延误一日，应向甲方支付合同总价0.0001%的违约金，</w:t>
      </w:r>
      <w:r>
        <w:rPr>
          <w:rFonts w:ascii="宋体" w:hAnsi="宋体"/>
          <w:color w:val="auto"/>
          <w:sz w:val="24"/>
          <w:highlight w:val="none"/>
        </w:rPr>
        <w:t>累计计算且不超过</w:t>
      </w:r>
      <w:r>
        <w:rPr>
          <w:rFonts w:hint="eastAsia" w:ascii="宋体" w:hAnsi="宋体"/>
          <w:color w:val="auto"/>
          <w:sz w:val="24"/>
          <w:highlight w:val="none"/>
        </w:rPr>
        <w:t>合同总</w:t>
      </w:r>
      <w:r>
        <w:rPr>
          <w:rFonts w:ascii="宋体" w:hAnsi="宋体"/>
          <w:color w:val="auto"/>
          <w:sz w:val="24"/>
          <w:highlight w:val="none"/>
        </w:rPr>
        <w:t>价的5%</w:t>
      </w:r>
      <w:r>
        <w:rPr>
          <w:rFonts w:hint="eastAsia" w:ascii="宋体" w:hAnsi="宋体"/>
          <w:color w:val="auto"/>
          <w:sz w:val="24"/>
          <w:highlight w:val="none"/>
        </w:rPr>
        <w:t>，并赔偿甲方造成的经济损失；如甲方因故需要取消合同，或变更合同部份条款，必须提前通知乙方，征得乙方同意后生效。</w:t>
      </w:r>
    </w:p>
    <w:p w14:paraId="4327B60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5、甲方应按约定时间付款，逾期付款的，</w:t>
      </w:r>
      <w:bookmarkStart w:id="5" w:name="_Hlk172994916"/>
      <w:r>
        <w:rPr>
          <w:rFonts w:hint="eastAsia" w:ascii="宋体" w:hAnsi="宋体"/>
          <w:color w:val="auto"/>
          <w:sz w:val="24"/>
          <w:highlight w:val="none"/>
        </w:rPr>
        <w:t>按照中国人民银行发布的同期同类贷款基准利率支付违约金；逾期支付超过56天的，按照中国人民银行发布的同期同类贷款基准利率的两倍支付违约金</w:t>
      </w:r>
      <w:bookmarkEnd w:id="5"/>
      <w:r>
        <w:rPr>
          <w:rFonts w:hint="eastAsia" w:ascii="宋体" w:hAnsi="宋体"/>
          <w:color w:val="auto"/>
          <w:sz w:val="24"/>
          <w:highlight w:val="none"/>
        </w:rPr>
        <w:t>；并赔偿乙方造成的经济损失；如乙方因故需要取消合同，或变更合同部份条款，必须提前通知甲方，征得甲方同意后生效。</w:t>
      </w:r>
    </w:p>
    <w:p w14:paraId="7B41FE40">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 xml:space="preserve">六、验收方法 </w:t>
      </w:r>
    </w:p>
    <w:p w14:paraId="75B565F2">
      <w:pPr>
        <w:spacing w:line="360" w:lineRule="auto"/>
        <w:ind w:firstLine="480" w:firstLineChars="200"/>
        <w:rPr>
          <w:rFonts w:ascii="宋体" w:hAnsi="宋体" w:cs="Arial"/>
          <w:b/>
          <w:bCs/>
          <w:color w:val="auto"/>
          <w:sz w:val="24"/>
          <w:highlight w:val="none"/>
        </w:rPr>
      </w:pPr>
      <w:r>
        <w:rPr>
          <w:rFonts w:hint="eastAsia" w:ascii="宋体" w:hAnsi="宋体"/>
          <w:color w:val="auto"/>
          <w:sz w:val="24"/>
          <w:highlight w:val="none"/>
        </w:rPr>
        <w:t>1、产品运抵甲方指定的地点当日，甲方应组织相关人员进行卸货及验收，经验收若发现数量、外观有缺损或规格型号等不符合本合同之约定应当面校验；</w:t>
      </w:r>
      <w:r>
        <w:rPr>
          <w:rFonts w:hint="eastAsia" w:ascii="宋体" w:hAnsi="宋体"/>
          <w:color w:val="auto"/>
          <w:kern w:val="0"/>
          <w:sz w:val="24"/>
          <w:highlight w:val="none"/>
        </w:rPr>
        <w:t>乙方应在甲方提出异议后5日内无条件补足或更换，直至符合本合同及附件的约定，由此造成延期交货或安装工期延误的，按本合同有关规定处理。甲方的验收不视为对产品质量和潜在瑕疵的认可。</w:t>
      </w:r>
    </w:p>
    <w:p w14:paraId="788EE6CE">
      <w:pPr>
        <w:spacing w:line="360" w:lineRule="auto"/>
        <w:ind w:firstLine="480" w:firstLineChars="200"/>
        <w:rPr>
          <w:rFonts w:ascii="宋体" w:hAnsi="宋体" w:cs="Arial"/>
          <w:b/>
          <w:bCs/>
          <w:color w:val="auto"/>
          <w:sz w:val="24"/>
          <w:highlight w:val="none"/>
        </w:rPr>
      </w:pPr>
      <w:r>
        <w:rPr>
          <w:rFonts w:hint="eastAsia" w:ascii="宋体" w:hAnsi="宋体"/>
          <w:color w:val="auto"/>
          <w:sz w:val="24"/>
          <w:highlight w:val="none"/>
        </w:rPr>
        <w:t>2、乙方未按合同规定的数量交货，甲方仍有需要的，应照数补交，按延期交货处理。如乙方不能达成甲方要求，甲方按货款5%向乙方收取违约金，并承担甲方相关损失。</w:t>
      </w:r>
    </w:p>
    <w:p w14:paraId="1C54FBF4">
      <w:pPr>
        <w:spacing w:line="360" w:lineRule="auto"/>
        <w:ind w:firstLine="480" w:firstLineChars="200"/>
        <w:rPr>
          <w:rFonts w:ascii="宋体" w:hAnsi="宋体" w:cs="Arial"/>
          <w:b/>
          <w:bCs/>
          <w:color w:val="auto"/>
          <w:sz w:val="24"/>
          <w:highlight w:val="none"/>
        </w:rPr>
      </w:pPr>
      <w:r>
        <w:rPr>
          <w:rFonts w:hint="eastAsia" w:ascii="宋体" w:hAnsi="宋体" w:cs="Arial"/>
          <w:bCs/>
          <w:color w:val="auto"/>
          <w:sz w:val="24"/>
          <w:highlight w:val="none"/>
        </w:rPr>
        <w:t>3、</w:t>
      </w:r>
      <w:r>
        <w:rPr>
          <w:rFonts w:hint="eastAsia" w:ascii="宋体" w:hAnsi="宋体"/>
          <w:color w:val="auto"/>
          <w:sz w:val="24"/>
          <w:highlight w:val="none"/>
        </w:rPr>
        <w:t>甲方现场人员验收货仅代表对货物的数量、品种、外观、规格型号的确认，不能代表对其质量、性能的验收。</w:t>
      </w:r>
    </w:p>
    <w:p w14:paraId="379D377D">
      <w:pPr>
        <w:spacing w:line="360" w:lineRule="auto"/>
        <w:ind w:firstLine="480" w:firstLineChars="200"/>
        <w:rPr>
          <w:rFonts w:ascii="宋体" w:hAnsi="宋体" w:cs="Arial"/>
          <w:b/>
          <w:bCs/>
          <w:color w:val="auto"/>
          <w:sz w:val="24"/>
          <w:highlight w:val="none"/>
        </w:rPr>
      </w:pPr>
      <w:r>
        <w:rPr>
          <w:rFonts w:hint="eastAsia" w:ascii="宋体" w:hAnsi="宋体" w:cs="Arial"/>
          <w:bCs/>
          <w:color w:val="auto"/>
          <w:sz w:val="24"/>
          <w:highlight w:val="none"/>
        </w:rPr>
        <w:t>4、</w:t>
      </w:r>
      <w:r>
        <w:rPr>
          <w:rFonts w:hint="eastAsia" w:ascii="宋体" w:hAnsi="宋体"/>
          <w:color w:val="auto"/>
          <w:sz w:val="24"/>
          <w:highlight w:val="none"/>
        </w:rPr>
        <w:t>甲方条件具备后，通知乙方到项目现场进行技术指导、调试、运行等。</w:t>
      </w:r>
    </w:p>
    <w:p w14:paraId="4E50D548">
      <w:pPr>
        <w:spacing w:line="360" w:lineRule="auto"/>
        <w:ind w:firstLine="482" w:firstLineChars="200"/>
        <w:rPr>
          <w:rFonts w:ascii="黑体" w:hAnsi="黑体" w:eastAsia="黑体" w:cs="Arial"/>
          <w:b/>
          <w:color w:val="auto"/>
          <w:sz w:val="24"/>
          <w:highlight w:val="none"/>
        </w:rPr>
      </w:pPr>
      <w:r>
        <w:rPr>
          <w:rFonts w:hint="eastAsia" w:ascii="黑体" w:hAnsi="黑体" w:eastAsia="黑体" w:cs="Arial"/>
          <w:b/>
          <w:bCs/>
          <w:color w:val="auto"/>
          <w:sz w:val="24"/>
          <w:highlight w:val="none"/>
        </w:rPr>
        <w:t>七、对产品提出异议的时间和办法</w:t>
      </w:r>
    </w:p>
    <w:p w14:paraId="45B918B4">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1、甲方在验收时，如发现产品的品种、型号、规格和质量不符约定，有权拒收，甲方代为保管的，乙方应承担保管费用，甲方不对非因故意或重大过失或不可抗力因素导致的产品灭失承担任何责任。</w:t>
      </w:r>
    </w:p>
    <w:p w14:paraId="3D4B8520">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2、乙方接到甲方异议后，应在三天内即负责处理，否则，即视为默认甲方提出的异议。</w:t>
      </w:r>
    </w:p>
    <w:p w14:paraId="4E04055F">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3、甲方提出的异议中，应说明不符约定的情形，提出对不符合约定产品的处理意见，以便乙方及时处理。</w:t>
      </w:r>
    </w:p>
    <w:p w14:paraId="50377F74">
      <w:pPr>
        <w:spacing w:line="360" w:lineRule="auto"/>
        <w:ind w:firstLine="482" w:firstLineChars="200"/>
        <w:rPr>
          <w:rFonts w:ascii="黑体" w:hAnsi="黑体" w:eastAsia="黑体" w:cs="Arial"/>
          <w:color w:val="auto"/>
          <w:sz w:val="24"/>
          <w:highlight w:val="none"/>
        </w:rPr>
      </w:pPr>
      <w:r>
        <w:rPr>
          <w:rFonts w:hint="eastAsia" w:ascii="黑体" w:hAnsi="黑体" w:eastAsia="黑体" w:cs="Arial"/>
          <w:b/>
          <w:bCs/>
          <w:color w:val="auto"/>
          <w:sz w:val="24"/>
          <w:highlight w:val="none"/>
        </w:rPr>
        <w:t>八、所有权及风险的转移</w:t>
      </w:r>
    </w:p>
    <w:p w14:paraId="2EA0CD2C">
      <w:pPr>
        <w:tabs>
          <w:tab w:val="left" w:pos="720"/>
          <w:tab w:val="left" w:pos="1080"/>
        </w:tabs>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1、在货物交由甲方前，产品的运输风险由乙方承担。</w:t>
      </w:r>
    </w:p>
    <w:p w14:paraId="1A61C59D">
      <w:pPr>
        <w:tabs>
          <w:tab w:val="left" w:pos="1080"/>
        </w:tabs>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2、在甲方对产品清点无误后，该产品灭失、毁损的风险转移至甲方。</w:t>
      </w:r>
    </w:p>
    <w:p w14:paraId="14499668">
      <w:pPr>
        <w:spacing w:line="360" w:lineRule="auto"/>
        <w:ind w:firstLine="482" w:firstLineChars="200"/>
        <w:rPr>
          <w:rFonts w:ascii="黑体" w:hAnsi="黑体" w:eastAsia="黑体" w:cs="Arial"/>
          <w:b/>
          <w:bCs/>
          <w:color w:val="auto"/>
          <w:sz w:val="24"/>
          <w:highlight w:val="none"/>
        </w:rPr>
      </w:pPr>
      <w:r>
        <w:rPr>
          <w:rFonts w:hint="eastAsia" w:ascii="黑体" w:hAnsi="黑体" w:eastAsia="黑体" w:cs="Arial"/>
          <w:b/>
          <w:bCs/>
          <w:color w:val="auto"/>
          <w:sz w:val="24"/>
          <w:highlight w:val="none"/>
        </w:rPr>
        <w:t>九、质保期及售后服务</w:t>
      </w:r>
    </w:p>
    <w:p w14:paraId="760DEB35">
      <w:pPr>
        <w:spacing w:line="360" w:lineRule="auto"/>
        <w:ind w:firstLine="480" w:firstLineChars="200"/>
        <w:rPr>
          <w:rFonts w:ascii="宋体" w:hAnsi="宋体"/>
          <w:color w:val="auto"/>
          <w:sz w:val="24"/>
          <w:highlight w:val="none"/>
        </w:rPr>
      </w:pPr>
      <w:r>
        <w:rPr>
          <w:rFonts w:hint="eastAsia" w:ascii="宋体" w:hAnsi="宋体" w:cs="Arial"/>
          <w:color w:val="auto"/>
          <w:sz w:val="24"/>
          <w:highlight w:val="none"/>
        </w:rPr>
        <w:t>1、</w:t>
      </w:r>
      <w:r>
        <w:rPr>
          <w:rFonts w:hint="eastAsia" w:ascii="宋体" w:hAnsi="宋体"/>
          <w:color w:val="auto"/>
          <w:sz w:val="24"/>
          <w:highlight w:val="none"/>
        </w:rPr>
        <w:t>乙方承诺所售产品的质保期为原厂商</w:t>
      </w:r>
      <w:r>
        <w:rPr>
          <w:rFonts w:hint="eastAsia" w:ascii="宋体" w:hAnsi="宋体"/>
          <w:color w:val="auto"/>
          <w:sz w:val="24"/>
          <w:highlight w:val="none"/>
          <w:u w:val="single"/>
        </w:rPr>
        <w:t xml:space="preserve"> </w:t>
      </w:r>
      <w:r>
        <w:rPr>
          <w:rFonts w:ascii="宋体" w:hAnsi="宋体"/>
          <w:color w:val="auto"/>
          <w:sz w:val="24"/>
          <w:highlight w:val="none"/>
          <w:u w:val="single"/>
        </w:rPr>
        <w:t>2</w:t>
      </w:r>
      <w:r>
        <w:rPr>
          <w:rFonts w:hint="eastAsia" w:ascii="宋体" w:hAnsi="宋体"/>
          <w:color w:val="auto"/>
          <w:sz w:val="24"/>
          <w:highlight w:val="none"/>
          <w:u w:val="single"/>
        </w:rPr>
        <w:t xml:space="preserve"> </w:t>
      </w:r>
      <w:r>
        <w:rPr>
          <w:rFonts w:hint="eastAsia" w:ascii="宋体" w:hAnsi="宋体"/>
          <w:color w:val="auto"/>
          <w:sz w:val="24"/>
          <w:highlight w:val="none"/>
        </w:rPr>
        <w:t>年。质保期限从竣工验收合格之日起算。</w:t>
      </w:r>
    </w:p>
    <w:p w14:paraId="33C11102">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2、乙方应配合甲方做好现场所供设备的调试运行任务，并针对甲方人员进行现场设备使用的说明及培训。</w:t>
      </w:r>
    </w:p>
    <w:p w14:paraId="52970BA5">
      <w:pPr>
        <w:spacing w:line="360" w:lineRule="auto"/>
        <w:ind w:firstLine="482" w:firstLineChars="200"/>
        <w:rPr>
          <w:rFonts w:ascii="黑体" w:hAnsi="黑体" w:eastAsia="黑体" w:cs="Arial"/>
          <w:b/>
          <w:bCs/>
          <w:color w:val="auto"/>
          <w:sz w:val="24"/>
          <w:highlight w:val="none"/>
        </w:rPr>
      </w:pPr>
      <w:r>
        <w:rPr>
          <w:rFonts w:hint="eastAsia" w:ascii="黑体" w:hAnsi="黑体" w:eastAsia="黑体" w:cs="Arial"/>
          <w:b/>
          <w:bCs/>
          <w:color w:val="auto"/>
          <w:sz w:val="24"/>
          <w:highlight w:val="none"/>
        </w:rPr>
        <w:t>十、甲方的违约责任</w:t>
      </w:r>
    </w:p>
    <w:p w14:paraId="33A55C50">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1、甲方中途取消合同，如取得乙方书面同意取消和退货的，不承担违约责任。</w:t>
      </w:r>
    </w:p>
    <w:p w14:paraId="0FECC039">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2、甲方逾期付款的，</w:t>
      </w:r>
      <w:r>
        <w:rPr>
          <w:rFonts w:ascii="宋体" w:hAnsi="宋体" w:cs="Arial"/>
          <w:color w:val="auto"/>
          <w:sz w:val="24"/>
          <w:highlight w:val="none"/>
        </w:rPr>
        <w:t>按照中国人民银行发布的同期同类贷款基准利率支付违约金；逾期支付超过56天的，按照中国人民银行发布的同期同类贷款基准利率的两倍支付违约金</w:t>
      </w:r>
      <w:r>
        <w:rPr>
          <w:rFonts w:hint="eastAsia" w:ascii="宋体" w:hAnsi="宋体" w:cs="Arial"/>
          <w:color w:val="auto"/>
          <w:sz w:val="24"/>
          <w:highlight w:val="none"/>
        </w:rPr>
        <w:t>。如该违约金不足以弥补乙方与第三方签订的工程合同的损失金额的，除该违约金外，甲方还需要承担因此给乙方造成的一切损失，损失无法或不易计算衡量的，按照乙方与第三方签订的工程合同的合同金额的10%计算损失金额。</w:t>
      </w:r>
    </w:p>
    <w:p w14:paraId="71AFE0F9">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3、甲方对自提产品未按照合同约定日期提货的，不得追究乙方的逾期交货责任，并应自己承担该批货物延期提货时间的保管、保养费用。</w:t>
      </w:r>
    </w:p>
    <w:p w14:paraId="7660CC90">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4、甲方未按乙方要求及时付清款项所造成的货物延期交付应由甲方自己承担责任。</w:t>
      </w:r>
    </w:p>
    <w:p w14:paraId="30E2398E">
      <w:pPr>
        <w:spacing w:line="360" w:lineRule="auto"/>
        <w:ind w:firstLine="482" w:firstLineChars="200"/>
        <w:rPr>
          <w:rFonts w:ascii="黑体" w:hAnsi="黑体" w:eastAsia="黑体" w:cs="Arial"/>
          <w:b/>
          <w:bCs/>
          <w:color w:val="auto"/>
          <w:sz w:val="24"/>
          <w:highlight w:val="none"/>
        </w:rPr>
      </w:pPr>
      <w:r>
        <w:rPr>
          <w:rFonts w:hint="eastAsia" w:ascii="黑体" w:hAnsi="黑体" w:eastAsia="黑体" w:cs="Arial"/>
          <w:b/>
          <w:bCs/>
          <w:color w:val="auto"/>
          <w:sz w:val="24"/>
          <w:highlight w:val="none"/>
        </w:rPr>
        <w:t>十一、乙方的违约责任</w:t>
      </w:r>
    </w:p>
    <w:p w14:paraId="4BF9BE73">
      <w:pPr>
        <w:tabs>
          <w:tab w:val="left" w:pos="1320"/>
        </w:tabs>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1、逾期交货超过十日，视为无法交货。乙方无法交货的，应向甲方偿付不超过不能交货部分货款10%的违约金，如该违约金不足以弥补甲方与第三方签订的工程合同的损失金额的，除该违约金外，乙方还需要承担因此给甲方造成的一切损失，损失无法或不易计算衡量的，按照甲方与第三方签订的工程合同的合同金额的10%计算损失金额。</w:t>
      </w:r>
    </w:p>
    <w:p w14:paraId="4CAD9919">
      <w:pPr>
        <w:tabs>
          <w:tab w:val="left" w:pos="1320"/>
        </w:tabs>
        <w:spacing w:line="360" w:lineRule="auto"/>
        <w:ind w:firstLine="480" w:firstLineChars="200"/>
        <w:rPr>
          <w:rFonts w:ascii="宋体" w:hAnsi="宋体"/>
          <w:color w:val="auto"/>
          <w:sz w:val="24"/>
          <w:highlight w:val="none"/>
        </w:rPr>
      </w:pPr>
      <w:r>
        <w:rPr>
          <w:rFonts w:hint="eastAsia" w:ascii="宋体" w:hAnsi="宋体" w:cs="Arial"/>
          <w:color w:val="auto"/>
          <w:sz w:val="24"/>
          <w:highlight w:val="none"/>
        </w:rPr>
        <w:t>2、乙方所交货物的品种、型号、规格、质量等不符合约定的，应由甲方视具体情况决定重新按质论价、修理、调换或退货。因此导致直接损失由乙方承担，损失无法或不易计算衡量的，按照甲方与第三方签订的工程合同的合同金额的10%计算损失金额。</w:t>
      </w:r>
    </w:p>
    <w:p w14:paraId="32A04826">
      <w:pPr>
        <w:tabs>
          <w:tab w:val="left" w:pos="1320"/>
        </w:tabs>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3、乙方逾期交货的，</w:t>
      </w:r>
      <w:bookmarkStart w:id="6" w:name="_Hlk172231725"/>
      <w:r>
        <w:rPr>
          <w:rFonts w:hint="eastAsia" w:ascii="宋体" w:hAnsi="宋体" w:cs="Arial"/>
          <w:color w:val="auto"/>
          <w:sz w:val="24"/>
          <w:highlight w:val="none"/>
        </w:rPr>
        <w:t>每延误一日，应向甲方支付合同总价0.0001%的违约金</w:t>
      </w:r>
      <w:bookmarkEnd w:id="6"/>
      <w:r>
        <w:rPr>
          <w:rFonts w:hint="eastAsia" w:ascii="宋体" w:hAnsi="宋体" w:cs="Arial"/>
          <w:color w:val="auto"/>
          <w:sz w:val="24"/>
          <w:highlight w:val="none"/>
        </w:rPr>
        <w:t>，</w:t>
      </w:r>
      <w:r>
        <w:rPr>
          <w:rFonts w:ascii="宋体" w:hAnsi="宋体" w:cs="Arial"/>
          <w:color w:val="auto"/>
          <w:sz w:val="24"/>
          <w:highlight w:val="none"/>
        </w:rPr>
        <w:t>累计计算且不超过</w:t>
      </w:r>
      <w:r>
        <w:rPr>
          <w:rFonts w:hint="eastAsia" w:ascii="宋体" w:hAnsi="宋体" w:cs="Arial"/>
          <w:color w:val="auto"/>
          <w:sz w:val="24"/>
          <w:highlight w:val="none"/>
        </w:rPr>
        <w:t>合同总价</w:t>
      </w:r>
      <w:r>
        <w:rPr>
          <w:rFonts w:ascii="宋体" w:hAnsi="宋体" w:cs="Arial"/>
          <w:color w:val="auto"/>
          <w:sz w:val="24"/>
          <w:highlight w:val="none"/>
        </w:rPr>
        <w:t>的5%</w:t>
      </w:r>
      <w:r>
        <w:rPr>
          <w:rFonts w:hint="eastAsia" w:ascii="宋体" w:hAnsi="宋体" w:cs="Arial"/>
          <w:color w:val="auto"/>
          <w:sz w:val="24"/>
          <w:highlight w:val="none"/>
        </w:rPr>
        <w:t>；该费用包括但不限于价格波动损失以及甲方因此需向第三人所承担的违约金等。</w:t>
      </w:r>
    </w:p>
    <w:p w14:paraId="09A9DBAA">
      <w:pPr>
        <w:tabs>
          <w:tab w:val="left" w:pos="1320"/>
        </w:tabs>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4、货物错发到货地点或接货人的，乙方除应负责运交指定地点和交货人外，还应承担甲方因此多支付的一切费用和承担逾期交货的责任。</w:t>
      </w:r>
    </w:p>
    <w:p w14:paraId="5CDF5BDD">
      <w:pPr>
        <w:tabs>
          <w:tab w:val="left" w:pos="1320"/>
        </w:tabs>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5、乙方逾期交货的，在发货前应与甲方协商，甲方仍需要的，乙方应如数补交，并负责逾期交货责任；甲方不再需要的，应当在接到乙方通知后十日内告知乙方，甲方有权办理合同解除手续。</w:t>
      </w:r>
    </w:p>
    <w:p w14:paraId="0E903CE6">
      <w:pPr>
        <w:spacing w:line="360" w:lineRule="auto"/>
        <w:ind w:firstLine="482" w:firstLineChars="200"/>
        <w:rPr>
          <w:rFonts w:ascii="黑体" w:hAnsi="黑体" w:eastAsia="黑体" w:cs="Arial"/>
          <w:color w:val="auto"/>
          <w:sz w:val="24"/>
          <w:highlight w:val="none"/>
        </w:rPr>
      </w:pPr>
      <w:r>
        <w:rPr>
          <w:rFonts w:hint="eastAsia" w:ascii="黑体" w:hAnsi="黑体" w:eastAsia="黑体" w:cs="Arial"/>
          <w:b/>
          <w:bCs/>
          <w:color w:val="auto"/>
          <w:sz w:val="24"/>
          <w:highlight w:val="none"/>
        </w:rPr>
        <w:t>十二、不可抗力</w:t>
      </w:r>
    </w:p>
    <w:p w14:paraId="4F8EAAAC">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甲乙双方由于不可抗力的原因不能履行合同时，应及时向对方通报理由并取得有关证明，对方应根据情况给予免除或部分免除另一方的违约责任。本条款所指的不可抗力为天灾、战争、政府行为等不可预见、不可避免及不能克服的事件。</w:t>
      </w:r>
    </w:p>
    <w:p w14:paraId="0775383B">
      <w:pPr>
        <w:spacing w:line="360" w:lineRule="auto"/>
        <w:ind w:firstLine="482" w:firstLineChars="200"/>
        <w:rPr>
          <w:rFonts w:ascii="黑体" w:hAnsi="黑体" w:eastAsia="黑体" w:cs="Arial"/>
          <w:color w:val="auto"/>
          <w:sz w:val="24"/>
          <w:highlight w:val="none"/>
        </w:rPr>
      </w:pPr>
      <w:r>
        <w:rPr>
          <w:rFonts w:hint="eastAsia" w:ascii="黑体" w:hAnsi="黑体" w:eastAsia="黑体" w:cs="Arial"/>
          <w:b/>
          <w:bCs/>
          <w:color w:val="auto"/>
          <w:sz w:val="24"/>
          <w:highlight w:val="none"/>
        </w:rPr>
        <w:t>十三、争议解决方式</w:t>
      </w:r>
    </w:p>
    <w:p w14:paraId="58E3DA96">
      <w:pPr>
        <w:spacing w:line="360" w:lineRule="auto"/>
        <w:ind w:firstLine="480" w:firstLineChars="200"/>
        <w:rPr>
          <w:rFonts w:ascii="宋体" w:hAnsi="宋体" w:cs="Arial"/>
          <w:color w:val="auto"/>
          <w:sz w:val="24"/>
          <w:highlight w:val="none"/>
        </w:rPr>
      </w:pPr>
      <w:r>
        <w:rPr>
          <w:rFonts w:hint="eastAsia" w:ascii="宋体" w:hAnsi="宋体" w:cs="Arial"/>
          <w:color w:val="auto"/>
          <w:sz w:val="24"/>
          <w:highlight w:val="none"/>
        </w:rPr>
        <w:t>因本合同所发生的争议，双方应尽量协商解决。协商不成，任何一方均有权将争议提交起甲方住所所在地人民法院解决。</w:t>
      </w:r>
    </w:p>
    <w:p w14:paraId="0D76A35F">
      <w:pPr>
        <w:spacing w:line="360" w:lineRule="auto"/>
        <w:ind w:left="1136" w:leftChars="200" w:hanging="716" w:hangingChars="297"/>
        <w:rPr>
          <w:rFonts w:ascii="黑体" w:hAnsi="黑体" w:eastAsia="黑体" w:cs="Arial"/>
          <w:b/>
          <w:bCs/>
          <w:color w:val="auto"/>
          <w:sz w:val="24"/>
          <w:highlight w:val="none"/>
        </w:rPr>
      </w:pPr>
      <w:r>
        <w:rPr>
          <w:rFonts w:hint="eastAsia" w:ascii="黑体" w:hAnsi="黑体" w:eastAsia="黑体" w:cs="Arial"/>
          <w:b/>
          <w:bCs/>
          <w:color w:val="auto"/>
          <w:sz w:val="24"/>
          <w:highlight w:val="none"/>
        </w:rPr>
        <w:t>十四、合同生效</w:t>
      </w:r>
    </w:p>
    <w:p w14:paraId="4249BFBE">
      <w:pPr>
        <w:spacing w:line="360" w:lineRule="auto"/>
        <w:ind w:firstLine="480" w:firstLineChars="200"/>
        <w:rPr>
          <w:rFonts w:ascii="宋体" w:hAnsi="宋体"/>
          <w:color w:val="auto"/>
          <w:sz w:val="24"/>
          <w:highlight w:val="none"/>
        </w:rPr>
      </w:pPr>
      <w:r>
        <w:rPr>
          <w:rFonts w:hint="eastAsia" w:ascii="宋体" w:hAnsi="宋体" w:cs="Arial"/>
          <w:color w:val="auto"/>
          <w:sz w:val="24"/>
          <w:highlight w:val="none"/>
        </w:rPr>
        <w:t>本合同自甲乙双方签字、盖章之日起生效。本合同一式陆份，甲乙双方各执叁份，同具效力。</w:t>
      </w:r>
      <w:r>
        <w:rPr>
          <w:rFonts w:hint="eastAsia" w:ascii="宋体" w:hAnsi="宋体"/>
          <w:color w:val="auto"/>
          <w:sz w:val="24"/>
          <w:highlight w:val="none"/>
        </w:rPr>
        <w:t>本合同传真件或扫描件与原件具有同等的法律效应。</w:t>
      </w:r>
    </w:p>
    <w:p w14:paraId="5855ECD4">
      <w:pPr>
        <w:spacing w:line="360" w:lineRule="auto"/>
        <w:rPr>
          <w:rFonts w:ascii="宋体" w:hAnsi="宋体"/>
          <w:bCs/>
          <w:color w:val="auto"/>
          <w:sz w:val="24"/>
          <w:highlight w:val="none"/>
        </w:rPr>
      </w:pPr>
    </w:p>
    <w:p w14:paraId="6EB4F5C5">
      <w:pPr>
        <w:spacing w:line="360" w:lineRule="auto"/>
        <w:rPr>
          <w:rFonts w:ascii="宋体" w:hAnsi="宋体"/>
          <w:bCs/>
          <w:color w:val="auto"/>
          <w:sz w:val="24"/>
          <w:highlight w:val="none"/>
        </w:rPr>
      </w:pPr>
    </w:p>
    <w:p w14:paraId="54A69306">
      <w:pPr>
        <w:spacing w:line="360" w:lineRule="auto"/>
        <w:rPr>
          <w:rFonts w:ascii="黑体" w:hAnsi="黑体" w:eastAsia="黑体" w:cs="Arial"/>
          <w:b/>
          <w:color w:val="auto"/>
          <w:sz w:val="24"/>
          <w:highlight w:val="none"/>
          <w:u w:val="single"/>
        </w:rPr>
      </w:pPr>
      <w:r>
        <w:rPr>
          <w:rFonts w:hint="eastAsia" w:ascii="黑体" w:hAnsi="黑体" w:eastAsia="黑体" w:cs="Arial"/>
          <w:b/>
          <w:bCs/>
          <w:color w:val="auto"/>
          <w:sz w:val="24"/>
          <w:highlight w:val="none"/>
        </w:rPr>
        <w:t>甲  方：</w:t>
      </w:r>
      <w:r>
        <w:rPr>
          <w:rFonts w:hint="eastAsia" w:ascii="黑体" w:hAnsi="黑体" w:eastAsia="黑体"/>
          <w:b/>
          <w:color w:val="auto"/>
          <w:sz w:val="24"/>
          <w:highlight w:val="none"/>
          <w:u w:val="single"/>
        </w:rPr>
        <w:t>南京禄口国际机场空港科技有限公司</w:t>
      </w:r>
      <w:r>
        <w:rPr>
          <w:rFonts w:hint="eastAsia" w:ascii="黑体" w:hAnsi="黑体" w:eastAsia="黑体" w:cs="Arial"/>
          <w:b/>
          <w:color w:val="auto"/>
          <w:sz w:val="24"/>
          <w:highlight w:val="none"/>
        </w:rPr>
        <w:t xml:space="preserve">  </w:t>
      </w:r>
      <w:r>
        <w:rPr>
          <w:rFonts w:hint="eastAsia" w:ascii="黑体" w:hAnsi="黑体" w:eastAsia="黑体" w:cs="Arial"/>
          <w:b/>
          <w:bCs/>
          <w:color w:val="auto"/>
          <w:sz w:val="24"/>
          <w:highlight w:val="none"/>
        </w:rPr>
        <w:t>乙 方:</w:t>
      </w:r>
      <w:r>
        <w:rPr>
          <w:rFonts w:hint="eastAsia" w:ascii="黑体" w:hAnsi="黑体" w:eastAsia="黑体" w:cs="Arial"/>
          <w:b/>
          <w:color w:val="auto"/>
          <w:sz w:val="24"/>
          <w:highlight w:val="none"/>
        </w:rPr>
        <w:t xml:space="preserve"> </w:t>
      </w:r>
    </w:p>
    <w:p w14:paraId="73A23BF6">
      <w:pPr>
        <w:spacing w:before="156" w:beforeLines="50" w:after="156" w:afterLines="50" w:line="360" w:lineRule="auto"/>
        <w:rPr>
          <w:rFonts w:ascii="黑体" w:hAnsi="黑体" w:eastAsia="黑体" w:cs="Arial"/>
          <w:b/>
          <w:bCs/>
          <w:color w:val="auto"/>
          <w:sz w:val="24"/>
          <w:highlight w:val="none"/>
        </w:rPr>
      </w:pPr>
      <w:r>
        <w:rPr>
          <w:rFonts w:hint="eastAsia" w:ascii="黑体" w:hAnsi="黑体" w:eastAsia="黑体" w:cs="Arial"/>
          <w:b/>
          <w:bCs/>
          <w:color w:val="auto"/>
          <w:sz w:val="24"/>
          <w:highlight w:val="none"/>
        </w:rPr>
        <w:t xml:space="preserve">代表人：                              </w:t>
      </w:r>
      <w:r>
        <w:rPr>
          <w:rFonts w:hint="eastAsia" w:ascii="黑体" w:hAnsi="黑体" w:eastAsia="黑体" w:cs="Arial"/>
          <w:color w:val="auto"/>
          <w:sz w:val="24"/>
          <w:highlight w:val="none"/>
        </w:rPr>
        <w:t xml:space="preserve">    </w:t>
      </w:r>
      <w:r>
        <w:rPr>
          <w:rFonts w:hint="eastAsia" w:ascii="黑体" w:hAnsi="黑体" w:eastAsia="黑体" w:cs="Arial"/>
          <w:b/>
          <w:bCs/>
          <w:color w:val="auto"/>
          <w:sz w:val="24"/>
          <w:highlight w:val="none"/>
        </w:rPr>
        <w:t xml:space="preserve">代表人：  </w:t>
      </w:r>
      <w:r>
        <w:rPr>
          <w:rFonts w:hint="eastAsia" w:ascii="黑体" w:hAnsi="黑体" w:eastAsia="黑体" w:cs="Arial"/>
          <w:b/>
          <w:color w:val="auto"/>
          <w:sz w:val="24"/>
          <w:highlight w:val="none"/>
        </w:rPr>
        <w:t xml:space="preserve">               </w:t>
      </w:r>
      <w:r>
        <w:rPr>
          <w:rFonts w:hint="eastAsia" w:ascii="黑体" w:hAnsi="黑体" w:eastAsia="黑体" w:cs="Arial"/>
          <w:b/>
          <w:bCs/>
          <w:color w:val="auto"/>
          <w:sz w:val="24"/>
          <w:highlight w:val="none"/>
        </w:rPr>
        <w:t xml:space="preserve">           </w:t>
      </w:r>
    </w:p>
    <w:p w14:paraId="1876685A">
      <w:pPr>
        <w:spacing w:line="360" w:lineRule="auto"/>
        <w:ind w:left="6362" w:hanging="6264" w:hangingChars="2600"/>
        <w:rPr>
          <w:rFonts w:ascii="黑体" w:hAnsi="黑体" w:eastAsia="黑体" w:cs="Arial"/>
          <w:b/>
          <w:bCs/>
          <w:color w:val="auto"/>
          <w:sz w:val="24"/>
          <w:highlight w:val="none"/>
        </w:rPr>
      </w:pPr>
      <w:r>
        <w:rPr>
          <w:rFonts w:hint="eastAsia" w:ascii="黑体" w:hAnsi="黑体" w:eastAsia="黑体" w:cs="Arial"/>
          <w:b/>
          <w:bCs/>
          <w:color w:val="auto"/>
          <w:sz w:val="24"/>
          <w:highlight w:val="none"/>
        </w:rPr>
        <w:t>地  址：</w:t>
      </w:r>
      <w:r>
        <w:rPr>
          <w:rFonts w:hint="eastAsia" w:ascii="黑体" w:hAnsi="黑体" w:eastAsia="黑体" w:cs="Arial"/>
          <w:b/>
          <w:bCs/>
          <w:color w:val="auto"/>
          <w:sz w:val="24"/>
          <w:szCs w:val="24"/>
          <w:highlight w:val="none"/>
          <w:u w:val="single"/>
          <w:lang w:val="en-US" w:eastAsia="zh-CN"/>
        </w:rPr>
        <w:t>南京市</w:t>
      </w:r>
      <w:r>
        <w:rPr>
          <w:rFonts w:hint="eastAsia" w:ascii="黑体" w:hAnsi="黑体" w:eastAsia="黑体" w:cs="Arial"/>
          <w:b/>
          <w:bCs/>
          <w:color w:val="auto"/>
          <w:sz w:val="24"/>
          <w:szCs w:val="24"/>
          <w:highlight w:val="none"/>
          <w:u w:val="single"/>
        </w:rPr>
        <w:t>江宁区天元西路199号十楼</w:t>
      </w:r>
      <w:r>
        <w:rPr>
          <w:rFonts w:hint="eastAsia" w:ascii="黑体" w:hAnsi="黑体" w:eastAsia="黑体" w:cs="Arial"/>
          <w:b/>
          <w:bCs/>
          <w:color w:val="auto"/>
          <w:sz w:val="24"/>
          <w:highlight w:val="none"/>
        </w:rPr>
        <w:t xml:space="preserve">      地  址：</w:t>
      </w:r>
    </w:p>
    <w:p w14:paraId="2A833493">
      <w:pPr>
        <w:spacing w:line="360" w:lineRule="auto"/>
        <w:ind w:left="960" w:leftChars="457" w:firstLine="0" w:firstLineChars="0"/>
        <w:rPr>
          <w:rFonts w:ascii="黑体" w:hAnsi="黑体" w:eastAsia="黑体" w:cs="Arial"/>
          <w:b/>
          <w:bCs/>
          <w:color w:val="auto"/>
          <w:sz w:val="24"/>
          <w:highlight w:val="none"/>
          <w:u w:val="single"/>
        </w:rPr>
      </w:pPr>
      <w:r>
        <w:rPr>
          <w:rFonts w:hint="eastAsia" w:ascii="黑体" w:hAnsi="黑体" w:eastAsia="黑体" w:cs="Arial"/>
          <w:b/>
          <w:bCs/>
          <w:color w:val="auto"/>
          <w:sz w:val="24"/>
          <w:szCs w:val="24"/>
          <w:highlight w:val="none"/>
          <w:u w:val="single"/>
        </w:rPr>
        <w:t>空港科技</w:t>
      </w:r>
    </w:p>
    <w:p w14:paraId="0E35B282">
      <w:pPr>
        <w:spacing w:line="360" w:lineRule="auto"/>
        <w:rPr>
          <w:rFonts w:ascii="黑体" w:hAnsi="黑体" w:eastAsia="黑体" w:cs="Arial"/>
          <w:b/>
          <w:bCs/>
          <w:color w:val="auto"/>
          <w:sz w:val="24"/>
          <w:highlight w:val="none"/>
          <w:u w:val="single"/>
        </w:rPr>
      </w:pPr>
      <w:r>
        <w:rPr>
          <w:rFonts w:hint="eastAsia" w:ascii="黑体" w:hAnsi="黑体" w:eastAsia="黑体" w:cs="Arial"/>
          <w:b/>
          <w:bCs/>
          <w:color w:val="auto"/>
          <w:sz w:val="24"/>
          <w:highlight w:val="none"/>
        </w:rPr>
        <w:t>电  话：</w:t>
      </w:r>
      <w:r>
        <w:rPr>
          <w:rFonts w:ascii="黑体" w:hAnsi="黑体" w:eastAsia="黑体" w:cs="Arial"/>
          <w:b/>
          <w:bCs/>
          <w:color w:val="auto"/>
          <w:sz w:val="24"/>
          <w:highlight w:val="none"/>
          <w:u w:val="single"/>
        </w:rPr>
        <w:t>025-69820630</w:t>
      </w:r>
      <w:r>
        <w:rPr>
          <w:rFonts w:hint="eastAsia" w:ascii="黑体" w:hAnsi="黑体" w:eastAsia="黑体" w:cs="Arial"/>
          <w:b/>
          <w:bCs/>
          <w:color w:val="auto"/>
          <w:sz w:val="24"/>
          <w:highlight w:val="none"/>
          <w:u w:val="single"/>
        </w:rPr>
        <w:t xml:space="preserve">               </w:t>
      </w:r>
      <w:r>
        <w:rPr>
          <w:rFonts w:hint="eastAsia" w:ascii="黑体" w:hAnsi="黑体" w:eastAsia="黑体" w:cs="Arial"/>
          <w:b/>
          <w:bCs/>
          <w:color w:val="auto"/>
          <w:sz w:val="24"/>
          <w:highlight w:val="none"/>
        </w:rPr>
        <w:t xml:space="preserve">       电  话：</w:t>
      </w:r>
    </w:p>
    <w:p w14:paraId="0B1CD45C">
      <w:pPr>
        <w:spacing w:line="360" w:lineRule="auto"/>
        <w:rPr>
          <w:rFonts w:ascii="黑体" w:hAnsi="黑体" w:eastAsia="黑体" w:cs="Arial"/>
          <w:b/>
          <w:bCs/>
          <w:color w:val="auto"/>
          <w:sz w:val="24"/>
          <w:highlight w:val="none"/>
        </w:rPr>
      </w:pPr>
      <w:r>
        <w:rPr>
          <w:rFonts w:hint="eastAsia" w:ascii="黑体" w:hAnsi="黑体" w:eastAsia="黑体" w:cs="Arial"/>
          <w:b/>
          <w:bCs/>
          <w:color w:val="auto"/>
          <w:sz w:val="24"/>
          <w:highlight w:val="none"/>
        </w:rPr>
        <w:t>开户行：</w:t>
      </w:r>
      <w:r>
        <w:rPr>
          <w:rFonts w:hint="eastAsia" w:ascii="黑体" w:hAnsi="黑体" w:eastAsia="黑体" w:cs="Arial"/>
          <w:b/>
          <w:bCs/>
          <w:color w:val="auto"/>
          <w:sz w:val="24"/>
          <w:highlight w:val="none"/>
          <w:u w:val="single"/>
        </w:rPr>
        <w:t xml:space="preserve">中国银行南京禄口机场支行 </w:t>
      </w:r>
      <w:r>
        <w:rPr>
          <w:rFonts w:hint="eastAsia" w:ascii="黑体" w:hAnsi="黑体" w:eastAsia="黑体" w:cs="Arial"/>
          <w:b/>
          <w:bCs/>
          <w:color w:val="auto"/>
          <w:sz w:val="24"/>
          <w:highlight w:val="none"/>
        </w:rPr>
        <w:t xml:space="preserve">         开户行：</w:t>
      </w:r>
    </w:p>
    <w:p w14:paraId="29FD0E6C">
      <w:pPr>
        <w:spacing w:line="360" w:lineRule="auto"/>
        <w:rPr>
          <w:rFonts w:ascii="黑体" w:hAnsi="黑体" w:eastAsia="黑体" w:cs="Arial"/>
          <w:b/>
          <w:bCs/>
          <w:color w:val="auto"/>
          <w:sz w:val="24"/>
          <w:highlight w:val="none"/>
        </w:rPr>
      </w:pPr>
      <w:r>
        <w:rPr>
          <w:rFonts w:hint="eastAsia" w:ascii="黑体" w:hAnsi="黑体" w:eastAsia="黑体" w:cs="Arial"/>
          <w:b/>
          <w:bCs/>
          <w:color w:val="auto"/>
          <w:sz w:val="24"/>
          <w:highlight w:val="none"/>
        </w:rPr>
        <w:t>帐  号：</w:t>
      </w:r>
      <w:r>
        <w:rPr>
          <w:rFonts w:ascii="黑体" w:hAnsi="黑体" w:eastAsia="黑体" w:cs="Arial"/>
          <w:b/>
          <w:bCs/>
          <w:color w:val="auto"/>
          <w:sz w:val="24"/>
          <w:highlight w:val="none"/>
          <w:u w:val="single"/>
        </w:rPr>
        <w:t>553470001259</w:t>
      </w:r>
      <w:r>
        <w:rPr>
          <w:rFonts w:hint="eastAsia" w:ascii="黑体" w:hAnsi="黑体" w:eastAsia="黑体" w:cs="Arial"/>
          <w:b/>
          <w:bCs/>
          <w:color w:val="auto"/>
          <w:sz w:val="24"/>
          <w:highlight w:val="none"/>
          <w:u w:val="single"/>
        </w:rPr>
        <w:t xml:space="preserve">      </w:t>
      </w:r>
      <w:r>
        <w:rPr>
          <w:rFonts w:hint="eastAsia" w:ascii="黑体" w:hAnsi="黑体" w:eastAsia="黑体" w:cs="Arial"/>
          <w:b/>
          <w:bCs/>
          <w:color w:val="auto"/>
          <w:sz w:val="24"/>
          <w:highlight w:val="none"/>
        </w:rPr>
        <w:t xml:space="preserve">                帐  号：</w:t>
      </w:r>
    </w:p>
    <w:p w14:paraId="2D636131">
      <w:pPr>
        <w:spacing w:line="360" w:lineRule="auto"/>
        <w:rPr>
          <w:rFonts w:ascii="黑体" w:hAnsi="黑体" w:eastAsia="黑体"/>
          <w:b/>
          <w:color w:val="auto"/>
          <w:sz w:val="24"/>
          <w:highlight w:val="none"/>
        </w:rPr>
      </w:pPr>
      <w:r>
        <w:rPr>
          <w:rFonts w:hint="eastAsia" w:ascii="黑体" w:hAnsi="黑体" w:eastAsia="黑体"/>
          <w:b/>
          <w:color w:val="auto"/>
          <w:sz w:val="24"/>
          <w:highlight w:val="none"/>
        </w:rPr>
        <w:t>纳税人识别号：</w:t>
      </w:r>
      <w:r>
        <w:rPr>
          <w:rFonts w:ascii="黑体" w:hAnsi="黑体" w:eastAsia="黑体"/>
          <w:b/>
          <w:color w:val="auto"/>
          <w:sz w:val="24"/>
          <w:highlight w:val="none"/>
          <w:u w:val="single"/>
        </w:rPr>
        <w:t>913200007140930345</w:t>
      </w:r>
      <w:r>
        <w:rPr>
          <w:rFonts w:ascii="黑体" w:hAnsi="黑体" w:eastAsia="黑体"/>
          <w:color w:val="auto"/>
          <w:sz w:val="24"/>
          <w:highlight w:val="none"/>
        </w:rPr>
        <w:t xml:space="preserve">  </w:t>
      </w:r>
      <w:r>
        <w:rPr>
          <w:rFonts w:hint="eastAsia" w:ascii="黑体" w:hAnsi="黑体" w:eastAsia="黑体"/>
          <w:color w:val="auto"/>
          <w:sz w:val="24"/>
          <w:highlight w:val="none"/>
        </w:rPr>
        <w:t xml:space="preserve">        </w:t>
      </w:r>
      <w:r>
        <w:rPr>
          <w:rFonts w:hint="eastAsia" w:ascii="黑体" w:hAnsi="黑体" w:eastAsia="黑体"/>
          <w:b/>
          <w:color w:val="auto"/>
          <w:sz w:val="24"/>
          <w:highlight w:val="none"/>
        </w:rPr>
        <w:t xml:space="preserve">纳税人识别号： </w:t>
      </w:r>
    </w:p>
    <w:p w14:paraId="687A0298">
      <w:pPr>
        <w:spacing w:line="360" w:lineRule="auto"/>
        <w:rPr>
          <w:rFonts w:ascii="黑体" w:hAnsi="黑体" w:eastAsia="黑体"/>
          <w:b/>
          <w:color w:val="auto"/>
          <w:sz w:val="24"/>
          <w:highlight w:val="none"/>
        </w:rPr>
      </w:pPr>
    </w:p>
    <w:p w14:paraId="04788405">
      <w:pPr>
        <w:spacing w:line="360" w:lineRule="auto"/>
        <w:rPr>
          <w:rFonts w:ascii="黑体" w:hAnsi="黑体" w:eastAsia="黑体"/>
          <w:b/>
          <w:color w:val="auto"/>
          <w:sz w:val="24"/>
          <w:highlight w:val="none"/>
        </w:rPr>
      </w:pPr>
    </w:p>
    <w:p w14:paraId="0F3A81FF">
      <w:pPr>
        <w:spacing w:line="360" w:lineRule="auto"/>
        <w:ind w:firstLine="4337" w:firstLineChars="1800"/>
        <w:rPr>
          <w:rFonts w:ascii="黑体" w:hAnsi="黑体" w:eastAsia="黑体"/>
          <w:b/>
          <w:bCs/>
          <w:color w:val="auto"/>
          <w:sz w:val="24"/>
          <w:highlight w:val="none"/>
        </w:rPr>
      </w:pPr>
      <w:r>
        <w:rPr>
          <w:rFonts w:hint="eastAsia" w:ascii="黑体" w:hAnsi="黑体" w:eastAsia="黑体"/>
          <w:b/>
          <w:bCs/>
          <w:color w:val="auto"/>
          <w:sz w:val="24"/>
          <w:highlight w:val="none"/>
        </w:rPr>
        <w:t>合同签订时间：    年   月   日</w:t>
      </w:r>
    </w:p>
    <w:p w14:paraId="776C290B">
      <w:pPr>
        <w:spacing w:after="156" w:afterLines="50" w:line="360" w:lineRule="auto"/>
        <w:ind w:firstLine="420" w:firstLineChars="200"/>
        <w:rPr>
          <w:rFonts w:ascii="宋体" w:hAnsi="宋体" w:eastAsia="宋体" w:cs="宋体"/>
          <w:color w:val="auto"/>
          <w:szCs w:val="21"/>
          <w:highlight w:val="none"/>
        </w:rPr>
      </w:pPr>
    </w:p>
    <w:p w14:paraId="134B40D3">
      <w:pPr>
        <w:pageBreakBefore/>
        <w:snapToGrid w:val="0"/>
        <w:spacing w:line="360" w:lineRule="auto"/>
        <w:jc w:val="center"/>
        <w:outlineLvl w:val="0"/>
        <w:rPr>
          <w:rFonts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投 标 文 件 组 成</w:t>
      </w:r>
    </w:p>
    <w:p w14:paraId="4D0F1BB9">
      <w:pPr>
        <w:snapToGrid w:val="0"/>
        <w:spacing w:line="360" w:lineRule="auto"/>
        <w:jc w:val="center"/>
        <w:rPr>
          <w:rFonts w:ascii="宋体" w:hAnsi="宋体" w:eastAsia="宋体" w:cs="宋体"/>
          <w:color w:val="auto"/>
          <w:szCs w:val="21"/>
          <w:highlight w:val="none"/>
        </w:rPr>
      </w:pPr>
    </w:p>
    <w:p w14:paraId="5F78A971">
      <w:pPr>
        <w:numPr>
          <w:ilvl w:val="0"/>
          <w:numId w:val="4"/>
        </w:numPr>
        <w:adjustRightInd w:val="0"/>
        <w:snapToGrid w:val="0"/>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投标函（格式见附件一）</w:t>
      </w:r>
    </w:p>
    <w:p w14:paraId="40DDF8E0">
      <w:pPr>
        <w:numPr>
          <w:ilvl w:val="0"/>
          <w:numId w:val="4"/>
        </w:numPr>
        <w:adjustRightInd w:val="0"/>
        <w:snapToGrid w:val="0"/>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法定代表人授权委托书（格式见附件二）</w:t>
      </w:r>
    </w:p>
    <w:p w14:paraId="1B4726D7">
      <w:pPr>
        <w:numPr>
          <w:ilvl w:val="0"/>
          <w:numId w:val="4"/>
        </w:numPr>
        <w:adjustRightInd w:val="0"/>
        <w:snapToGrid w:val="0"/>
        <w:spacing w:line="360" w:lineRule="auto"/>
        <w:rPr>
          <w:rFonts w:ascii="宋体" w:hAnsi="宋体" w:eastAsia="宋体" w:cs="宋体"/>
          <w:color w:val="auto"/>
          <w:szCs w:val="21"/>
          <w:highlight w:val="none"/>
        </w:rPr>
      </w:pPr>
      <w:r>
        <w:rPr>
          <w:rFonts w:hint="eastAsia" w:ascii="宋体" w:hAnsi="宋体" w:eastAsia="宋体" w:cs="宋体"/>
          <w:snapToGrid w:val="0"/>
          <w:color w:val="auto"/>
          <w:szCs w:val="21"/>
          <w:highlight w:val="none"/>
        </w:rPr>
        <w:t>报价一览表</w:t>
      </w:r>
      <w:r>
        <w:rPr>
          <w:rFonts w:hint="eastAsia" w:ascii="宋体" w:hAnsi="宋体" w:eastAsia="宋体" w:cs="宋体"/>
          <w:color w:val="auto"/>
          <w:szCs w:val="21"/>
          <w:highlight w:val="none"/>
        </w:rPr>
        <w:t>（格式见附件三）</w:t>
      </w:r>
    </w:p>
    <w:p w14:paraId="56767AC1">
      <w:pPr>
        <w:adjustRightInd w:val="0"/>
        <w:snapToGrid w:val="0"/>
        <w:spacing w:line="360" w:lineRule="auto"/>
        <w:rPr>
          <w:rFonts w:ascii="宋体" w:hAnsi="宋体" w:eastAsia="宋体" w:cs="宋体"/>
          <w:color w:val="auto"/>
          <w:kern w:val="0"/>
          <w:szCs w:val="21"/>
          <w:highlight w:val="none"/>
        </w:rPr>
      </w:pPr>
      <w:r>
        <w:rPr>
          <w:rFonts w:hint="eastAsia" w:ascii="宋体" w:hAnsi="宋体" w:eastAsia="宋体" w:cs="宋体"/>
          <w:color w:val="auto"/>
          <w:szCs w:val="21"/>
          <w:highlight w:val="none"/>
        </w:rPr>
        <w:t>4、</w:t>
      </w:r>
      <w:r>
        <w:rPr>
          <w:rFonts w:hint="eastAsia" w:ascii="宋体" w:hAnsi="宋体" w:eastAsia="宋体" w:cs="宋体"/>
          <w:snapToGrid w:val="0"/>
          <w:color w:val="auto"/>
          <w:szCs w:val="21"/>
          <w:highlight w:val="none"/>
        </w:rPr>
        <w:t>营业执照</w:t>
      </w:r>
    </w:p>
    <w:p w14:paraId="4BD7BD4F">
      <w:pPr>
        <w:adjustRightInd w:val="0"/>
        <w:snapToGrid w:val="0"/>
        <w:spacing w:line="360" w:lineRule="auto"/>
        <w:rPr>
          <w:color w:val="auto"/>
          <w:highlight w:val="none"/>
        </w:rPr>
      </w:pPr>
      <w:r>
        <w:rPr>
          <w:rFonts w:hint="eastAsia" w:ascii="宋体" w:hAnsi="宋体" w:eastAsia="宋体" w:cs="宋体"/>
          <w:color w:val="auto"/>
          <w:szCs w:val="21"/>
          <w:highlight w:val="none"/>
        </w:rPr>
        <w:t>5、</w:t>
      </w:r>
      <w:r>
        <w:rPr>
          <w:rFonts w:hint="eastAsia"/>
          <w:color w:val="auto"/>
          <w:highlight w:val="none"/>
        </w:rPr>
        <w:t>一般纳税人资格证明；</w:t>
      </w:r>
    </w:p>
    <w:p w14:paraId="5717C6B3">
      <w:pPr>
        <w:adjustRightInd w:val="0"/>
        <w:snapToGrid w:val="0"/>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6、售后承诺书</w:t>
      </w:r>
    </w:p>
    <w:p w14:paraId="228E5389">
      <w:pPr>
        <w:adjustRightInd w:val="0"/>
        <w:snapToGrid w:val="0"/>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rPr>
        <w:t>7、其他材料（投标人认为需要补充的材料）</w:t>
      </w:r>
    </w:p>
    <w:p w14:paraId="0962A18C">
      <w:pPr>
        <w:rPr>
          <w:color w:val="auto"/>
          <w:highlight w:val="none"/>
        </w:rPr>
      </w:pPr>
    </w:p>
    <w:p w14:paraId="53E2634D">
      <w:pP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br w:type="page"/>
      </w:r>
    </w:p>
    <w:p w14:paraId="2266CA99">
      <w:pPr>
        <w:spacing w:line="360" w:lineRule="auto"/>
        <w:outlineLvl w:val="0"/>
        <w:rPr>
          <w:rFonts w:ascii="宋体" w:hAnsi="宋体" w:eastAsia="宋体" w:cs="宋体"/>
          <w:b/>
          <w:color w:val="auto"/>
          <w:szCs w:val="21"/>
          <w:highlight w:val="none"/>
        </w:rPr>
      </w:pPr>
      <w:r>
        <w:rPr>
          <w:rFonts w:hint="eastAsia" w:ascii="宋体" w:hAnsi="宋体" w:eastAsia="宋体" w:cs="宋体"/>
          <w:b/>
          <w:color w:val="auto"/>
          <w:szCs w:val="21"/>
          <w:highlight w:val="none"/>
        </w:rPr>
        <w:t>附件一：投标函</w:t>
      </w:r>
    </w:p>
    <w:p w14:paraId="4928D16D">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招标人名称：</w:t>
      </w:r>
    </w:p>
    <w:p w14:paraId="70DC184A">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1、我方己仔细研究了（项目名称：</w:t>
      </w:r>
      <w:r>
        <w:rPr>
          <w:rFonts w:hint="eastAsia" w:ascii="宋体" w:hAnsi="宋体" w:eastAsia="宋体" w:cs="宋体"/>
          <w:b/>
          <w:bCs/>
          <w:color w:val="auto"/>
          <w:szCs w:val="21"/>
          <w:highlight w:val="none"/>
        </w:rPr>
        <w:t>临沂启阳机场航站楼改扩建及附属工程弱电系统工程一标段行李RFID通道识别设备采购</w:t>
      </w:r>
      <w:r>
        <w:rPr>
          <w:rFonts w:hint="eastAsia" w:ascii="宋体" w:hAnsi="宋体" w:eastAsia="宋体" w:cs="宋体"/>
          <w:b/>
          <w:bCs/>
          <w:color w:val="auto"/>
          <w:highlight w:val="none"/>
        </w:rPr>
        <w:t>）</w:t>
      </w:r>
      <w:r>
        <w:rPr>
          <w:rFonts w:hint="eastAsia" w:ascii="宋体" w:hAnsi="宋体" w:eastAsia="宋体" w:cs="宋体"/>
          <w:color w:val="auto"/>
          <w:highlight w:val="none"/>
        </w:rPr>
        <w:t>招标文件的全部内容，愿意以人民币</w:t>
      </w:r>
      <w:r>
        <w:rPr>
          <w:rFonts w:hint="eastAsia" w:ascii="宋体" w:hAnsi="宋体" w:eastAsia="宋体" w:cs="宋体"/>
          <w:color w:val="auto"/>
          <w:sz w:val="24"/>
          <w:highlight w:val="none"/>
          <w:shd w:val="clear" w:color="auto" w:fill="FFFFFF"/>
        </w:rPr>
        <w:t>****</w:t>
      </w:r>
      <w:r>
        <w:rPr>
          <w:rFonts w:hint="eastAsia" w:ascii="宋体" w:hAnsi="宋体" w:eastAsia="宋体" w:cs="宋体"/>
          <w:color w:val="auto"/>
          <w:highlight w:val="none"/>
        </w:rPr>
        <w:t>（大写）元（¥</w:t>
      </w:r>
      <w:r>
        <w:rPr>
          <w:rFonts w:hint="eastAsia" w:ascii="宋体" w:hAnsi="宋体" w:eastAsia="宋体" w:cs="宋体"/>
          <w:color w:val="auto"/>
          <w:sz w:val="24"/>
          <w:highlight w:val="none"/>
          <w:shd w:val="clear" w:color="auto" w:fill="FFFFFF"/>
        </w:rPr>
        <w:t>****</w:t>
      </w:r>
      <w:r>
        <w:rPr>
          <w:rFonts w:hint="eastAsia" w:ascii="宋体" w:hAnsi="宋体" w:eastAsia="宋体" w:cs="宋体"/>
          <w:color w:val="auto"/>
          <w:highlight w:val="none"/>
        </w:rPr>
        <w:t>）的投标报价，项目周期</w:t>
      </w:r>
      <w:r>
        <w:rPr>
          <w:rFonts w:hint="eastAsia" w:ascii="宋体" w:hAnsi="宋体" w:eastAsia="宋体" w:cs="宋体"/>
          <w:color w:val="auto"/>
          <w:sz w:val="24"/>
          <w:highlight w:val="none"/>
          <w:shd w:val="clear" w:color="auto" w:fill="FFFFFF"/>
        </w:rPr>
        <w:t>****</w:t>
      </w:r>
      <w:r>
        <w:rPr>
          <w:rFonts w:hint="eastAsia" w:ascii="宋体" w:hAnsi="宋体" w:eastAsia="宋体" w:cs="宋体"/>
          <w:color w:val="auto"/>
          <w:highlight w:val="none"/>
        </w:rPr>
        <w:t>，按合同约定时间提供相应服务。</w:t>
      </w:r>
    </w:p>
    <w:p w14:paraId="39EA0357">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2、我方承诺投标时填写的单价、合价及合同总价在合同实施期间不因市场和政策性调价等变化因素而变动，该价格己经考虑合理损耗，为包干费用。</w:t>
      </w:r>
    </w:p>
    <w:p w14:paraId="7A6B596A">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3、我方承诺在投标有效期</w:t>
      </w:r>
      <w:r>
        <w:rPr>
          <w:rFonts w:hint="eastAsia" w:ascii="宋体" w:hAnsi="宋体" w:eastAsia="宋体" w:cs="宋体"/>
          <w:color w:val="auto"/>
          <w:sz w:val="24"/>
          <w:highlight w:val="none"/>
          <w:u w:val="single"/>
          <w:shd w:val="clear" w:color="auto" w:fill="FFFFFF"/>
        </w:rPr>
        <w:t>30</w:t>
      </w:r>
      <w:r>
        <w:rPr>
          <w:rFonts w:hint="eastAsia" w:ascii="宋体" w:hAnsi="宋体" w:eastAsia="宋体" w:cs="宋体"/>
          <w:color w:val="auto"/>
          <w:highlight w:val="none"/>
        </w:rPr>
        <w:t>日内不修改、撤销投标文件。</w:t>
      </w:r>
    </w:p>
    <w:p w14:paraId="64260170">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4、如我方中标：</w:t>
      </w:r>
    </w:p>
    <w:p w14:paraId="45330635">
      <w:pPr>
        <w:adjustRightInd w:val="0"/>
        <w:snapToGrid w:val="0"/>
        <w:spacing w:line="360" w:lineRule="auto"/>
        <w:ind w:firstLine="210" w:firstLineChars="100"/>
        <w:rPr>
          <w:rFonts w:ascii="宋体" w:hAnsi="宋体" w:eastAsia="宋体" w:cs="宋体"/>
          <w:color w:val="auto"/>
          <w:highlight w:val="none"/>
        </w:rPr>
      </w:pPr>
      <w:r>
        <w:rPr>
          <w:rFonts w:hint="eastAsia" w:ascii="宋体" w:hAnsi="宋体" w:eastAsia="宋体" w:cs="宋体"/>
          <w:color w:val="auto"/>
          <w:highlight w:val="none"/>
        </w:rPr>
        <w:t>4.1、我方承诺在收到中标通知书后，在中标通知书规定的期限内与你方签订合同。</w:t>
      </w:r>
    </w:p>
    <w:p w14:paraId="1FDAEC7C">
      <w:pPr>
        <w:adjustRightInd w:val="0"/>
        <w:snapToGrid w:val="0"/>
        <w:spacing w:line="360" w:lineRule="auto"/>
        <w:ind w:firstLine="210" w:firstLineChars="100"/>
        <w:rPr>
          <w:rFonts w:ascii="宋体" w:hAnsi="宋体" w:eastAsia="宋体" w:cs="宋体"/>
          <w:color w:val="auto"/>
          <w:highlight w:val="none"/>
        </w:rPr>
      </w:pPr>
      <w:r>
        <w:rPr>
          <w:rFonts w:hint="eastAsia" w:ascii="宋体" w:hAnsi="宋体" w:eastAsia="宋体" w:cs="宋体"/>
          <w:color w:val="auto"/>
          <w:highlight w:val="none"/>
        </w:rPr>
        <w:t>4.2、我方承诺按照招标文件规定的主要合同条款及格式签订合同。</w:t>
      </w:r>
    </w:p>
    <w:p w14:paraId="57EBC799">
      <w:pPr>
        <w:adjustRightInd w:val="0"/>
        <w:snapToGrid w:val="0"/>
        <w:spacing w:line="360" w:lineRule="auto"/>
        <w:ind w:firstLine="210" w:firstLineChars="100"/>
        <w:rPr>
          <w:rFonts w:ascii="宋体" w:hAnsi="宋体" w:eastAsia="宋体" w:cs="宋体"/>
          <w:color w:val="auto"/>
          <w:highlight w:val="none"/>
        </w:rPr>
      </w:pPr>
      <w:r>
        <w:rPr>
          <w:rFonts w:hint="eastAsia" w:ascii="宋体" w:hAnsi="宋体" w:eastAsia="宋体" w:cs="宋体"/>
          <w:color w:val="auto"/>
          <w:highlight w:val="none"/>
        </w:rPr>
        <w:t>4.3、我方承诺在合同约定的期限内完成并移交全部合同工程。</w:t>
      </w:r>
    </w:p>
    <w:p w14:paraId="26678015">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 xml:space="preserve">  4.4、我方承诺投标文件内容及形式完全符合招标文件相关要求。</w:t>
      </w:r>
    </w:p>
    <w:p w14:paraId="1A873F09">
      <w:pPr>
        <w:adjustRightInd w:val="0"/>
        <w:snapToGrid w:val="0"/>
        <w:spacing w:line="360" w:lineRule="auto"/>
        <w:ind w:firstLine="210" w:firstLineChars="100"/>
        <w:rPr>
          <w:rFonts w:ascii="宋体" w:hAnsi="宋体" w:eastAsia="宋体" w:cs="宋体"/>
          <w:color w:val="auto"/>
          <w:highlight w:val="none"/>
        </w:rPr>
      </w:pPr>
      <w:r>
        <w:rPr>
          <w:rFonts w:hint="eastAsia" w:ascii="宋体" w:hAnsi="宋体" w:eastAsia="宋体" w:cs="宋体"/>
          <w:color w:val="auto"/>
          <w:highlight w:val="none"/>
        </w:rPr>
        <w:t>4.5、我方在此声明，所递交的投标文件及有关资料内容完整、真实和准确。</w:t>
      </w:r>
    </w:p>
    <w:p w14:paraId="357D2B09">
      <w:pPr>
        <w:adjustRightInd w:val="0"/>
        <w:snapToGrid w:val="0"/>
        <w:spacing w:line="360" w:lineRule="auto"/>
        <w:ind w:firstLine="210" w:firstLineChars="100"/>
        <w:rPr>
          <w:rFonts w:ascii="宋体" w:hAnsi="宋体" w:eastAsia="宋体" w:cs="宋体"/>
          <w:color w:val="auto"/>
          <w:highlight w:val="none"/>
        </w:rPr>
      </w:pPr>
      <w:r>
        <w:rPr>
          <w:rFonts w:hint="eastAsia" w:ascii="宋体" w:hAnsi="宋体" w:eastAsia="宋体" w:cs="宋体"/>
          <w:color w:val="auto"/>
          <w:highlight w:val="none"/>
        </w:rPr>
        <w:t>4.6、</w:t>
      </w:r>
      <w:r>
        <w:rPr>
          <w:rFonts w:hint="eastAsia" w:ascii="宋体" w:hAnsi="宋体" w:eastAsia="宋体" w:cs="宋体"/>
          <w:color w:val="auto"/>
          <w:sz w:val="24"/>
          <w:highlight w:val="none"/>
          <w:shd w:val="clear" w:color="auto" w:fill="FFFFFF"/>
        </w:rPr>
        <w:t>****</w:t>
      </w:r>
      <w:r>
        <w:rPr>
          <w:rFonts w:hint="eastAsia" w:ascii="宋体" w:hAnsi="宋体" w:eastAsia="宋体" w:cs="宋体"/>
          <w:color w:val="auto"/>
          <w:highlight w:val="none"/>
        </w:rPr>
        <w:t>(其他补充说明）。</w:t>
      </w:r>
    </w:p>
    <w:p w14:paraId="56321DF5">
      <w:pPr>
        <w:adjustRightInd w:val="0"/>
        <w:snapToGrid w:val="0"/>
        <w:spacing w:line="360" w:lineRule="auto"/>
        <w:rPr>
          <w:rFonts w:ascii="宋体" w:hAnsi="宋体" w:eastAsia="宋体" w:cs="宋体"/>
          <w:color w:val="auto"/>
          <w:highlight w:val="none"/>
        </w:rPr>
      </w:pPr>
    </w:p>
    <w:p w14:paraId="5E5D62F8">
      <w:pPr>
        <w:adjustRightInd w:val="0"/>
        <w:snapToGrid w:val="0"/>
        <w:spacing w:line="360" w:lineRule="auto"/>
        <w:rPr>
          <w:rFonts w:ascii="宋体" w:hAnsi="宋体" w:eastAsia="宋体" w:cs="宋体"/>
          <w:color w:val="auto"/>
          <w:highlight w:val="none"/>
        </w:rPr>
      </w:pPr>
    </w:p>
    <w:p w14:paraId="069136CD">
      <w:pPr>
        <w:adjustRightInd w:val="0"/>
        <w:snapToGrid w:val="0"/>
        <w:spacing w:line="360" w:lineRule="auto"/>
        <w:rPr>
          <w:rFonts w:ascii="宋体" w:hAnsi="宋体" w:eastAsia="宋体" w:cs="宋体"/>
          <w:color w:val="auto"/>
          <w:highlight w:val="none"/>
        </w:rPr>
      </w:pPr>
    </w:p>
    <w:p w14:paraId="4F76606C">
      <w:pPr>
        <w:adjustRightInd w:val="0"/>
        <w:snapToGrid w:val="0"/>
        <w:spacing w:line="360" w:lineRule="auto"/>
        <w:jc w:val="center"/>
        <w:rPr>
          <w:rFonts w:ascii="宋体" w:hAnsi="宋体" w:eastAsia="宋体" w:cs="宋体"/>
          <w:color w:val="auto"/>
          <w:highlight w:val="none"/>
        </w:rPr>
      </w:pPr>
      <w:r>
        <w:rPr>
          <w:rFonts w:hint="eastAsia" w:ascii="宋体" w:hAnsi="宋体" w:eastAsia="宋体" w:cs="宋体"/>
          <w:color w:val="auto"/>
          <w:highlight w:val="none"/>
        </w:rPr>
        <w:t xml:space="preserve">                                投标人：（盖单位章）</w:t>
      </w:r>
    </w:p>
    <w:p w14:paraId="647BB6B4">
      <w:pPr>
        <w:adjustRightInd w:val="0"/>
        <w:snapToGrid w:val="0"/>
        <w:spacing w:line="360" w:lineRule="auto"/>
        <w:jc w:val="right"/>
        <w:rPr>
          <w:rFonts w:ascii="宋体" w:hAnsi="宋体" w:eastAsia="宋体" w:cs="宋体"/>
          <w:color w:val="auto"/>
          <w:highlight w:val="none"/>
        </w:rPr>
      </w:pPr>
      <w:r>
        <w:rPr>
          <w:rFonts w:hint="eastAsia" w:ascii="宋体" w:hAnsi="宋体" w:eastAsia="宋体" w:cs="宋体"/>
          <w:color w:val="auto"/>
          <w:highlight w:val="none"/>
        </w:rPr>
        <w:t>法定代表人或期委托代理人：（签字）</w:t>
      </w:r>
    </w:p>
    <w:p w14:paraId="7C379366">
      <w:pPr>
        <w:adjustRightInd w:val="0"/>
        <w:snapToGrid w:val="0"/>
        <w:spacing w:line="360" w:lineRule="auto"/>
        <w:ind w:firstLine="840" w:firstLineChars="400"/>
        <w:jc w:val="right"/>
        <w:rPr>
          <w:rFonts w:ascii="宋体" w:hAnsi="宋体" w:eastAsia="宋体" w:cs="宋体"/>
          <w:color w:val="auto"/>
          <w:highlight w:val="none"/>
        </w:rPr>
      </w:pPr>
      <w:r>
        <w:rPr>
          <w:rFonts w:hint="eastAsia" w:ascii="宋体" w:hAnsi="宋体" w:eastAsia="宋体" w:cs="宋体"/>
          <w:color w:val="auto"/>
          <w:highlight w:val="none"/>
        </w:rPr>
        <w:t>年    月     日</w:t>
      </w:r>
    </w:p>
    <w:p w14:paraId="1E6F3A45">
      <w:pPr>
        <w:adjustRightInd w:val="0"/>
        <w:snapToGrid w:val="0"/>
        <w:spacing w:line="360" w:lineRule="auto"/>
        <w:rPr>
          <w:rFonts w:ascii="宋体" w:hAnsi="宋体" w:eastAsia="宋体" w:cs="宋体"/>
          <w:color w:val="auto"/>
          <w:highlight w:val="none"/>
        </w:rPr>
      </w:pPr>
    </w:p>
    <w:p w14:paraId="2B0BE6FA">
      <w:pPr>
        <w:adjustRightInd w:val="0"/>
        <w:snapToGrid w:val="0"/>
        <w:spacing w:line="360" w:lineRule="auto"/>
        <w:rPr>
          <w:rFonts w:ascii="宋体" w:hAnsi="宋体" w:eastAsia="宋体" w:cs="宋体"/>
          <w:color w:val="auto"/>
          <w:highlight w:val="none"/>
        </w:rPr>
      </w:pPr>
    </w:p>
    <w:p w14:paraId="5ED0B3B1">
      <w:pPr>
        <w:adjustRightInd w:val="0"/>
        <w:snapToGrid w:val="0"/>
        <w:spacing w:line="360" w:lineRule="auto"/>
        <w:rPr>
          <w:rFonts w:ascii="宋体" w:hAnsi="宋体" w:eastAsia="宋体" w:cs="宋体"/>
          <w:color w:val="auto"/>
          <w:highlight w:val="none"/>
        </w:rPr>
      </w:pPr>
    </w:p>
    <w:p w14:paraId="01F06A27">
      <w:pPr>
        <w:adjustRightInd w:val="0"/>
        <w:snapToGrid w:val="0"/>
        <w:spacing w:line="360" w:lineRule="auto"/>
        <w:rPr>
          <w:rFonts w:ascii="宋体" w:hAnsi="宋体" w:eastAsia="宋体" w:cs="宋体"/>
          <w:color w:val="auto"/>
          <w:highlight w:val="none"/>
        </w:rPr>
      </w:pPr>
    </w:p>
    <w:p w14:paraId="5D151485">
      <w:pPr>
        <w:adjustRightInd w:val="0"/>
        <w:snapToGrid w:val="0"/>
        <w:spacing w:line="360" w:lineRule="auto"/>
        <w:rPr>
          <w:rFonts w:ascii="宋体" w:hAnsi="宋体" w:eastAsia="宋体" w:cs="宋体"/>
          <w:color w:val="auto"/>
          <w:highlight w:val="none"/>
        </w:rPr>
      </w:pPr>
    </w:p>
    <w:p w14:paraId="2EF2B242">
      <w:pPr>
        <w:adjustRightInd w:val="0"/>
        <w:snapToGrid w:val="0"/>
        <w:spacing w:line="360" w:lineRule="auto"/>
        <w:rPr>
          <w:rFonts w:ascii="宋体" w:hAnsi="宋体" w:eastAsia="宋体" w:cs="宋体"/>
          <w:color w:val="auto"/>
          <w:highlight w:val="none"/>
        </w:rPr>
      </w:pPr>
    </w:p>
    <w:p w14:paraId="38E4F71A">
      <w:pPr>
        <w:adjustRightInd w:val="0"/>
        <w:snapToGrid w:val="0"/>
        <w:spacing w:line="360" w:lineRule="auto"/>
        <w:rPr>
          <w:rFonts w:ascii="宋体" w:hAnsi="宋体" w:eastAsia="宋体" w:cs="宋体"/>
          <w:color w:val="auto"/>
          <w:highlight w:val="none"/>
        </w:rPr>
      </w:pPr>
    </w:p>
    <w:p w14:paraId="6EB4DD27">
      <w:pPr>
        <w:adjustRightInd w:val="0"/>
        <w:snapToGrid w:val="0"/>
        <w:spacing w:line="360" w:lineRule="auto"/>
        <w:rPr>
          <w:rFonts w:ascii="宋体" w:hAnsi="宋体" w:eastAsia="宋体" w:cs="宋体"/>
          <w:color w:val="auto"/>
          <w:highlight w:val="none"/>
        </w:rPr>
      </w:pPr>
    </w:p>
    <w:p w14:paraId="74CEAC92">
      <w:pPr>
        <w:adjustRightInd w:val="0"/>
        <w:snapToGrid w:val="0"/>
        <w:spacing w:line="360" w:lineRule="auto"/>
        <w:rPr>
          <w:rFonts w:ascii="宋体" w:hAnsi="宋体" w:eastAsia="宋体" w:cs="宋体"/>
          <w:color w:val="auto"/>
          <w:highlight w:val="none"/>
        </w:rPr>
      </w:pPr>
    </w:p>
    <w:p w14:paraId="4781BE35">
      <w:pPr>
        <w:rPr>
          <w:rFonts w:ascii="宋体" w:hAnsi="宋体" w:eastAsia="宋体" w:cs="宋体"/>
          <w:b/>
          <w:color w:val="auto"/>
          <w:szCs w:val="21"/>
          <w:highlight w:val="none"/>
        </w:rPr>
      </w:pPr>
      <w:r>
        <w:rPr>
          <w:rFonts w:hint="eastAsia" w:ascii="宋体" w:hAnsi="宋体" w:eastAsia="宋体" w:cs="宋体"/>
          <w:b/>
          <w:color w:val="auto"/>
          <w:szCs w:val="21"/>
          <w:highlight w:val="none"/>
        </w:rPr>
        <w:br w:type="page"/>
      </w:r>
    </w:p>
    <w:p w14:paraId="37A49D27">
      <w:pPr>
        <w:spacing w:line="360" w:lineRule="auto"/>
        <w:outlineLvl w:val="0"/>
        <w:rPr>
          <w:rFonts w:ascii="宋体" w:hAnsi="宋体" w:eastAsia="宋体" w:cs="宋体"/>
          <w:b/>
          <w:color w:val="auto"/>
          <w:szCs w:val="21"/>
          <w:highlight w:val="none"/>
        </w:rPr>
      </w:pPr>
      <w:r>
        <w:rPr>
          <w:rFonts w:hint="eastAsia" w:ascii="宋体" w:hAnsi="宋体" w:eastAsia="宋体" w:cs="宋体"/>
          <w:b/>
          <w:color w:val="auto"/>
          <w:szCs w:val="21"/>
          <w:highlight w:val="none"/>
        </w:rPr>
        <w:t>附件二：法定代表人授权委托书</w:t>
      </w:r>
    </w:p>
    <w:p w14:paraId="22581C2B">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A6A1939">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代理人无转委托权。</w:t>
      </w:r>
    </w:p>
    <w:p w14:paraId="7A327974">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附：法定代表人身份证明</w:t>
      </w:r>
    </w:p>
    <w:p w14:paraId="43EA1191">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 xml:space="preserve">    </w:t>
      </w:r>
    </w:p>
    <w:p w14:paraId="2F60F368">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投标人：（盖单位章）</w:t>
      </w:r>
    </w:p>
    <w:p w14:paraId="6A11F766">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法定代表人：（签字或盖章）</w:t>
      </w:r>
    </w:p>
    <w:p w14:paraId="29013B94">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身份证号码：</w:t>
      </w:r>
    </w:p>
    <w:p w14:paraId="713A53DD">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委托代理人：（签字）</w:t>
      </w:r>
    </w:p>
    <w:p w14:paraId="10D4457C">
      <w:pPr>
        <w:adjustRightInd w:val="0"/>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身份证号码：</w:t>
      </w:r>
    </w:p>
    <w:p w14:paraId="1B3FA6E7">
      <w:pPr>
        <w:adjustRightInd w:val="0"/>
        <w:snapToGrid w:val="0"/>
        <w:spacing w:line="360" w:lineRule="auto"/>
        <w:rPr>
          <w:rFonts w:ascii="宋体" w:hAnsi="宋体" w:eastAsia="宋体" w:cs="宋体"/>
          <w:color w:val="auto"/>
          <w:highlight w:val="none"/>
        </w:rPr>
      </w:pPr>
    </w:p>
    <w:p w14:paraId="3AF7042A">
      <w:pPr>
        <w:rPr>
          <w:rFonts w:ascii="宋体" w:hAnsi="宋体" w:eastAsia="宋体" w:cs="宋体"/>
          <w:b/>
          <w:color w:val="auto"/>
          <w:szCs w:val="21"/>
          <w:highlight w:val="none"/>
        </w:rPr>
      </w:pPr>
      <w:r>
        <w:rPr>
          <w:rFonts w:hint="eastAsia" w:ascii="宋体" w:hAnsi="宋体" w:eastAsia="宋体" w:cs="宋体"/>
          <w:b/>
          <w:color w:val="auto"/>
          <w:szCs w:val="21"/>
          <w:highlight w:val="none"/>
        </w:rPr>
        <w:br w:type="page"/>
      </w:r>
    </w:p>
    <w:p w14:paraId="6F39D48D">
      <w:pPr>
        <w:spacing w:line="360" w:lineRule="auto"/>
        <w:outlineLvl w:val="0"/>
        <w:rPr>
          <w:rFonts w:ascii="宋体" w:hAnsi="宋体" w:eastAsia="宋体" w:cs="宋体"/>
          <w:b/>
          <w:color w:val="auto"/>
          <w:szCs w:val="21"/>
          <w:highlight w:val="none"/>
        </w:rPr>
      </w:pPr>
      <w:r>
        <w:rPr>
          <w:rFonts w:hint="eastAsia" w:ascii="宋体" w:hAnsi="宋体" w:eastAsia="宋体" w:cs="宋体"/>
          <w:b/>
          <w:color w:val="auto"/>
          <w:szCs w:val="21"/>
          <w:highlight w:val="none"/>
        </w:rPr>
        <w:t>附件三：报价一览表</w:t>
      </w:r>
    </w:p>
    <w:p w14:paraId="63EEAB04">
      <w:pPr>
        <w:rPr>
          <w:rFonts w:ascii="宋体" w:hAnsi="宋体" w:eastAsia="宋体" w:cs="宋体"/>
          <w:color w:val="auto"/>
          <w:szCs w:val="21"/>
          <w:highlight w:val="none"/>
        </w:rPr>
      </w:pPr>
      <w:r>
        <w:rPr>
          <w:rFonts w:hint="eastAsia" w:ascii="宋体" w:hAnsi="宋体" w:eastAsia="宋体" w:cs="宋体"/>
          <w:b/>
          <w:color w:val="auto"/>
          <w:szCs w:val="21"/>
          <w:highlight w:val="none"/>
        </w:rPr>
        <w:t xml:space="preserve">  </w:t>
      </w:r>
    </w:p>
    <w:p w14:paraId="576E677D">
      <w:pPr>
        <w:rPr>
          <w:color w:val="auto"/>
          <w:highlight w:val="none"/>
        </w:rPr>
      </w:pPr>
      <w:r>
        <w:rPr>
          <w:rFonts w:hint="eastAsia"/>
          <w:color w:val="auto"/>
          <w:highlight w:val="none"/>
        </w:rPr>
        <w:t xml:space="preserve"> </w:t>
      </w:r>
      <w:r>
        <w:rPr>
          <w:rFonts w:hint="eastAsia" w:ascii="宋体" w:hAnsi="宋体" w:eastAsia="宋体" w:cs="宋体"/>
          <w:b/>
          <w:bCs/>
          <w:color w:val="auto"/>
          <w:szCs w:val="21"/>
          <w:highlight w:val="none"/>
        </w:rPr>
        <w:t xml:space="preserve"> 项目名称：临沂启阳机场航站楼改扩建及附属工程弱电系统工程一标段行李RFID通道识别设备采购 </w:t>
      </w:r>
      <w:r>
        <w:rPr>
          <w:rFonts w:hint="eastAsia"/>
          <w:color w:val="auto"/>
          <w:highlight w:val="none"/>
        </w:rPr>
        <w:t xml:space="preserve">  </w:t>
      </w:r>
    </w:p>
    <w:p w14:paraId="437237ED">
      <w:pPr>
        <w:rPr>
          <w:rFonts w:ascii="宋体" w:hAnsi="宋体" w:eastAsia="宋体" w:cs="宋体"/>
          <w:color w:val="auto"/>
          <w:szCs w:val="21"/>
          <w:highlight w:val="none"/>
        </w:rPr>
      </w:pPr>
      <w:r>
        <w:rPr>
          <w:rFonts w:hint="eastAsia" w:ascii="宋体" w:hAnsi="宋体" w:eastAsia="宋体" w:cs="宋体"/>
          <w:b/>
          <w:color w:val="auto"/>
          <w:szCs w:val="21"/>
          <w:highlight w:val="none"/>
        </w:rPr>
        <w:t xml:space="preserve">  项目编号：</w:t>
      </w:r>
      <w:r>
        <w:rPr>
          <w:rFonts w:hint="eastAsia" w:ascii="宋体" w:hAnsi="宋体" w:eastAsia="宋体" w:cs="宋体"/>
          <w:b/>
          <w:color w:val="auto"/>
          <w:szCs w:val="21"/>
          <w:highlight w:val="none"/>
          <w:u w:val="single"/>
        </w:rPr>
        <w:t xml:space="preserve">              </w:t>
      </w:r>
      <w:r>
        <w:rPr>
          <w:rFonts w:hint="eastAsia" w:ascii="宋体" w:hAnsi="宋体" w:eastAsia="宋体" w:cs="宋体"/>
          <w:b/>
          <w:color w:val="auto"/>
          <w:szCs w:val="21"/>
          <w:highlight w:val="none"/>
        </w:rPr>
        <w:t xml:space="preserve">                                                            </w:t>
      </w:r>
    </w:p>
    <w:p w14:paraId="45ADD26B">
      <w:pPr>
        <w:ind w:left="7494" w:hanging="7379" w:hangingChars="3500"/>
        <w:rPr>
          <w:rFonts w:ascii="宋体" w:hAnsi="宋体" w:eastAsia="宋体" w:cs="宋体"/>
          <w:color w:val="auto"/>
          <w:szCs w:val="21"/>
          <w:highlight w:val="none"/>
        </w:rPr>
      </w:pPr>
      <w:r>
        <w:rPr>
          <w:rFonts w:hint="eastAsia" w:ascii="宋体" w:hAnsi="宋体" w:eastAsia="宋体" w:cs="宋体"/>
          <w:b/>
          <w:color w:val="auto"/>
          <w:szCs w:val="21"/>
          <w:highlight w:val="none"/>
        </w:rPr>
        <w:t xml:space="preserve">                                                                      单位：元</w:t>
      </w:r>
    </w:p>
    <w:tbl>
      <w:tblPr>
        <w:tblStyle w:val="6"/>
        <w:tblW w:w="5713" w:type="pct"/>
        <w:tblInd w:w="0" w:type="dxa"/>
        <w:tblLayout w:type="autofit"/>
        <w:tblCellMar>
          <w:top w:w="0" w:type="dxa"/>
          <w:left w:w="108" w:type="dxa"/>
          <w:bottom w:w="0" w:type="dxa"/>
          <w:right w:w="108" w:type="dxa"/>
        </w:tblCellMar>
      </w:tblPr>
      <w:tblGrid>
        <w:gridCol w:w="688"/>
        <w:gridCol w:w="2098"/>
        <w:gridCol w:w="1511"/>
        <w:gridCol w:w="869"/>
        <w:gridCol w:w="1187"/>
        <w:gridCol w:w="1187"/>
        <w:gridCol w:w="1267"/>
        <w:gridCol w:w="930"/>
      </w:tblGrid>
      <w:tr w14:paraId="6F1DD11A">
        <w:tblPrEx>
          <w:tblCellMar>
            <w:top w:w="0" w:type="dxa"/>
            <w:left w:w="108" w:type="dxa"/>
            <w:bottom w:w="0" w:type="dxa"/>
            <w:right w:w="108" w:type="dxa"/>
          </w:tblCellMar>
        </w:tblPrEx>
        <w:trPr>
          <w:trHeight w:val="702" w:hRule="atLeast"/>
        </w:trPr>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BD63E">
            <w:pPr>
              <w:widowControl/>
              <w:jc w:val="center"/>
              <w:textAlignment w:val="center"/>
              <w:rPr>
                <w:rFonts w:ascii="微软雅黑" w:hAnsi="微软雅黑" w:eastAsia="微软雅黑" w:cs="微软雅黑"/>
                <w:color w:val="auto"/>
                <w:sz w:val="18"/>
                <w:szCs w:val="18"/>
                <w:highlight w:val="none"/>
              </w:rPr>
            </w:pPr>
            <w:r>
              <w:rPr>
                <w:rFonts w:hint="eastAsia" w:ascii="微软雅黑" w:hAnsi="微软雅黑" w:eastAsia="微软雅黑" w:cs="微软雅黑"/>
                <w:color w:val="auto"/>
                <w:kern w:val="0"/>
                <w:sz w:val="18"/>
                <w:szCs w:val="18"/>
                <w:highlight w:val="none"/>
                <w:lang w:bidi="ar"/>
              </w:rPr>
              <w:t>序号</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BB998">
            <w:pPr>
              <w:widowControl/>
              <w:jc w:val="center"/>
              <w:textAlignment w:val="center"/>
              <w:rPr>
                <w:rFonts w:ascii="微软雅黑" w:hAnsi="微软雅黑" w:eastAsia="微软雅黑" w:cs="微软雅黑"/>
                <w:color w:val="auto"/>
                <w:sz w:val="18"/>
                <w:szCs w:val="18"/>
                <w:highlight w:val="none"/>
              </w:rPr>
            </w:pPr>
            <w:r>
              <w:rPr>
                <w:rFonts w:hint="eastAsia" w:ascii="微软雅黑" w:hAnsi="微软雅黑" w:eastAsia="微软雅黑" w:cs="微软雅黑"/>
                <w:color w:val="auto"/>
                <w:kern w:val="0"/>
                <w:sz w:val="18"/>
                <w:szCs w:val="18"/>
                <w:highlight w:val="none"/>
                <w:lang w:bidi="ar"/>
              </w:rPr>
              <w:t>项目名称</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38EB2">
            <w:pPr>
              <w:widowControl/>
              <w:jc w:val="center"/>
              <w:textAlignment w:val="center"/>
              <w:rPr>
                <w:rFonts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厂商</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C87F5">
            <w:pPr>
              <w:widowControl/>
              <w:jc w:val="center"/>
              <w:textAlignment w:val="center"/>
              <w:rPr>
                <w:rFonts w:ascii="微软雅黑" w:hAnsi="微软雅黑" w:eastAsia="微软雅黑" w:cs="微软雅黑"/>
                <w:color w:val="auto"/>
                <w:sz w:val="18"/>
                <w:szCs w:val="18"/>
                <w:highlight w:val="none"/>
              </w:rPr>
            </w:pPr>
            <w:r>
              <w:rPr>
                <w:rFonts w:hint="eastAsia" w:ascii="微软雅黑" w:hAnsi="微软雅黑" w:eastAsia="微软雅黑" w:cs="微软雅黑"/>
                <w:color w:val="auto"/>
                <w:kern w:val="0"/>
                <w:sz w:val="18"/>
                <w:szCs w:val="18"/>
                <w:highlight w:val="none"/>
                <w:lang w:bidi="ar"/>
              </w:rPr>
              <w:t>单位</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94B1E">
            <w:pPr>
              <w:widowControl/>
              <w:jc w:val="center"/>
              <w:textAlignment w:val="center"/>
              <w:rPr>
                <w:rFonts w:ascii="微软雅黑" w:hAnsi="微软雅黑" w:eastAsia="微软雅黑" w:cs="微软雅黑"/>
                <w:color w:val="auto"/>
                <w:kern w:val="0"/>
                <w:sz w:val="18"/>
                <w:szCs w:val="18"/>
                <w:highlight w:val="none"/>
                <w:lang w:bidi="ar"/>
              </w:rPr>
            </w:pPr>
            <w:r>
              <w:rPr>
                <w:rFonts w:hint="eastAsia" w:ascii="微软雅黑" w:hAnsi="微软雅黑" w:eastAsia="微软雅黑" w:cs="微软雅黑"/>
                <w:color w:val="auto"/>
                <w:kern w:val="0"/>
                <w:sz w:val="18"/>
                <w:szCs w:val="18"/>
                <w:highlight w:val="none"/>
                <w:lang w:bidi="ar"/>
              </w:rPr>
              <w:t>数量</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69712">
            <w:pPr>
              <w:widowControl/>
              <w:jc w:val="center"/>
              <w:textAlignment w:val="center"/>
              <w:rPr>
                <w:rFonts w:ascii="微软雅黑" w:hAnsi="微软雅黑" w:eastAsia="微软雅黑" w:cs="微软雅黑"/>
                <w:color w:val="auto"/>
                <w:sz w:val="18"/>
                <w:szCs w:val="18"/>
                <w:highlight w:val="none"/>
              </w:rPr>
            </w:pPr>
            <w:r>
              <w:rPr>
                <w:rFonts w:hint="eastAsia" w:ascii="微软雅黑" w:hAnsi="微软雅黑" w:eastAsia="微软雅黑" w:cs="微软雅黑"/>
                <w:color w:val="auto"/>
                <w:kern w:val="0"/>
                <w:sz w:val="18"/>
                <w:szCs w:val="18"/>
                <w:highlight w:val="none"/>
                <w:lang w:bidi="ar"/>
              </w:rPr>
              <w:t>单价</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F18D7">
            <w:pPr>
              <w:widowControl/>
              <w:jc w:val="center"/>
              <w:textAlignment w:val="center"/>
              <w:rPr>
                <w:rFonts w:ascii="微软雅黑" w:hAnsi="微软雅黑" w:eastAsia="微软雅黑" w:cs="微软雅黑"/>
                <w:color w:val="auto"/>
                <w:sz w:val="18"/>
                <w:szCs w:val="18"/>
                <w:highlight w:val="none"/>
              </w:rPr>
            </w:pPr>
            <w:r>
              <w:rPr>
                <w:rFonts w:hint="eastAsia" w:ascii="微软雅黑" w:hAnsi="微软雅黑" w:eastAsia="微软雅黑" w:cs="微软雅黑"/>
                <w:color w:val="auto"/>
                <w:kern w:val="0"/>
                <w:sz w:val="18"/>
                <w:szCs w:val="18"/>
                <w:highlight w:val="none"/>
                <w:lang w:bidi="ar"/>
              </w:rPr>
              <w:t>合价</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59708">
            <w:pPr>
              <w:widowControl/>
              <w:jc w:val="center"/>
              <w:textAlignment w:val="center"/>
              <w:rPr>
                <w:rFonts w:ascii="微软雅黑" w:hAnsi="微软雅黑" w:eastAsia="微软雅黑" w:cs="微软雅黑"/>
                <w:color w:val="auto"/>
                <w:sz w:val="18"/>
                <w:szCs w:val="18"/>
                <w:highlight w:val="none"/>
              </w:rPr>
            </w:pPr>
            <w:r>
              <w:rPr>
                <w:rFonts w:hint="eastAsia" w:ascii="微软雅黑" w:hAnsi="微软雅黑" w:eastAsia="微软雅黑" w:cs="微软雅黑"/>
                <w:color w:val="auto"/>
                <w:kern w:val="0"/>
                <w:sz w:val="18"/>
                <w:szCs w:val="18"/>
                <w:highlight w:val="none"/>
                <w:lang w:bidi="ar"/>
              </w:rPr>
              <w:t>备注</w:t>
            </w:r>
          </w:p>
        </w:tc>
      </w:tr>
      <w:tr w14:paraId="20C35639">
        <w:tblPrEx>
          <w:tblCellMar>
            <w:top w:w="0" w:type="dxa"/>
            <w:left w:w="108" w:type="dxa"/>
            <w:bottom w:w="0" w:type="dxa"/>
            <w:right w:w="108" w:type="dxa"/>
          </w:tblCellMar>
        </w:tblPrEx>
        <w:trPr>
          <w:trHeight w:val="658" w:hRule="atLeast"/>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BEB2A">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4EF5A">
            <w:pPr>
              <w:widowControl/>
              <w:jc w:val="left"/>
              <w:textAlignment w:val="center"/>
              <w:rPr>
                <w:rFonts w:ascii="宋体" w:hAnsi="宋体" w:eastAsia="宋体" w:cs="宋体"/>
                <w:color w:val="auto"/>
                <w:sz w:val="18"/>
                <w:szCs w:val="18"/>
                <w:highlight w:val="none"/>
              </w:rPr>
            </w:pP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DEDCB">
            <w:pPr>
              <w:widowControl/>
              <w:jc w:val="center"/>
              <w:textAlignment w:val="center"/>
              <w:rPr>
                <w:rFonts w:ascii="宋体" w:hAnsi="宋体" w:eastAsia="宋体" w:cs="宋体"/>
                <w:color w:val="auto"/>
                <w:sz w:val="18"/>
                <w:szCs w:val="18"/>
                <w:highlight w:val="none"/>
              </w:rPr>
            </w:pPr>
          </w:p>
        </w:tc>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3CBCF">
            <w:pPr>
              <w:widowControl/>
              <w:jc w:val="center"/>
              <w:textAlignment w:val="center"/>
              <w:rPr>
                <w:rFonts w:ascii="宋体" w:hAnsi="宋体" w:eastAsia="宋体" w:cs="宋体"/>
                <w:color w:val="auto"/>
                <w:sz w:val="18"/>
                <w:szCs w:val="18"/>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CF1A3">
            <w:pPr>
              <w:jc w:val="center"/>
              <w:rPr>
                <w:rFonts w:ascii="宋体" w:hAnsi="宋体" w:eastAsia="宋体" w:cs="宋体"/>
                <w:color w:val="auto"/>
                <w:sz w:val="18"/>
                <w:szCs w:val="18"/>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1DDC9">
            <w:pPr>
              <w:jc w:val="center"/>
              <w:rPr>
                <w:rFonts w:ascii="宋体" w:hAnsi="宋体" w:eastAsia="宋体" w:cs="宋体"/>
                <w:color w:val="auto"/>
                <w:sz w:val="18"/>
                <w:szCs w:val="18"/>
                <w:highlight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10EAF">
            <w:pPr>
              <w:jc w:val="center"/>
              <w:rPr>
                <w:rFonts w:ascii="宋体" w:hAnsi="宋体" w:eastAsia="宋体" w:cs="宋体"/>
                <w:color w:val="auto"/>
                <w:sz w:val="18"/>
                <w:szCs w:val="18"/>
                <w:highlight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4DE3C">
            <w:pPr>
              <w:widowControl/>
              <w:jc w:val="center"/>
              <w:textAlignment w:val="center"/>
              <w:rPr>
                <w:rFonts w:ascii="宋体" w:hAnsi="宋体" w:eastAsia="宋体" w:cs="宋体"/>
                <w:color w:val="auto"/>
                <w:sz w:val="18"/>
                <w:szCs w:val="18"/>
                <w:highlight w:val="none"/>
              </w:rPr>
            </w:pPr>
          </w:p>
        </w:tc>
      </w:tr>
      <w:tr w14:paraId="12BD8AEF">
        <w:tblPrEx>
          <w:tblCellMar>
            <w:top w:w="0" w:type="dxa"/>
            <w:left w:w="108" w:type="dxa"/>
            <w:bottom w:w="0" w:type="dxa"/>
            <w:right w:w="108" w:type="dxa"/>
          </w:tblCellMar>
        </w:tblPrEx>
        <w:trPr>
          <w:trHeight w:val="602" w:hRule="atLeast"/>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BC0C0">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2</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7F11B">
            <w:pPr>
              <w:widowControl/>
              <w:jc w:val="left"/>
              <w:textAlignment w:val="center"/>
              <w:rPr>
                <w:rFonts w:ascii="宋体" w:hAnsi="宋体" w:eastAsia="宋体" w:cs="宋体"/>
                <w:color w:val="auto"/>
                <w:sz w:val="18"/>
                <w:szCs w:val="18"/>
                <w:highlight w:val="none"/>
              </w:rPr>
            </w:pP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5D9A4">
            <w:pPr>
              <w:widowControl/>
              <w:jc w:val="center"/>
              <w:textAlignment w:val="center"/>
              <w:rPr>
                <w:rFonts w:ascii="宋体" w:hAnsi="宋体" w:eastAsia="宋体" w:cs="宋体"/>
                <w:color w:val="auto"/>
                <w:sz w:val="18"/>
                <w:szCs w:val="18"/>
                <w:highlight w:val="none"/>
              </w:rPr>
            </w:pPr>
          </w:p>
        </w:tc>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D04D8">
            <w:pPr>
              <w:widowControl/>
              <w:jc w:val="center"/>
              <w:textAlignment w:val="center"/>
              <w:rPr>
                <w:rFonts w:ascii="宋体" w:hAnsi="宋体" w:eastAsia="宋体" w:cs="宋体"/>
                <w:color w:val="auto"/>
                <w:sz w:val="18"/>
                <w:szCs w:val="18"/>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A1815">
            <w:pPr>
              <w:jc w:val="center"/>
              <w:rPr>
                <w:rFonts w:ascii="宋体" w:hAnsi="宋体" w:eastAsia="宋体" w:cs="宋体"/>
                <w:color w:val="auto"/>
                <w:sz w:val="18"/>
                <w:szCs w:val="18"/>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B32BE">
            <w:pPr>
              <w:jc w:val="center"/>
              <w:rPr>
                <w:rFonts w:ascii="宋体" w:hAnsi="宋体" w:eastAsia="宋体" w:cs="宋体"/>
                <w:color w:val="auto"/>
                <w:sz w:val="18"/>
                <w:szCs w:val="18"/>
                <w:highlight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F13D5">
            <w:pPr>
              <w:jc w:val="center"/>
              <w:rPr>
                <w:rFonts w:ascii="宋体" w:hAnsi="宋体" w:eastAsia="宋体" w:cs="宋体"/>
                <w:color w:val="auto"/>
                <w:sz w:val="18"/>
                <w:szCs w:val="18"/>
                <w:highlight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26BE2">
            <w:pPr>
              <w:widowControl/>
              <w:jc w:val="center"/>
              <w:textAlignment w:val="center"/>
              <w:rPr>
                <w:rFonts w:ascii="宋体" w:hAnsi="宋体" w:eastAsia="宋体" w:cs="宋体"/>
                <w:color w:val="auto"/>
                <w:sz w:val="18"/>
                <w:szCs w:val="18"/>
                <w:highlight w:val="none"/>
              </w:rPr>
            </w:pPr>
          </w:p>
        </w:tc>
      </w:tr>
      <w:tr w14:paraId="0A32A0F8">
        <w:tblPrEx>
          <w:tblCellMar>
            <w:top w:w="0" w:type="dxa"/>
            <w:left w:w="108" w:type="dxa"/>
            <w:bottom w:w="0" w:type="dxa"/>
            <w:right w:w="108" w:type="dxa"/>
          </w:tblCellMar>
        </w:tblPrEx>
        <w:trPr>
          <w:trHeight w:val="227" w:hRule="atLeast"/>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03141">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3</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74A99">
            <w:pPr>
              <w:widowControl/>
              <w:jc w:val="left"/>
              <w:textAlignment w:val="center"/>
              <w:rPr>
                <w:rFonts w:ascii="宋体" w:hAnsi="宋体" w:eastAsia="宋体" w:cs="宋体"/>
                <w:color w:val="auto"/>
                <w:sz w:val="18"/>
                <w:szCs w:val="18"/>
                <w:highlight w:val="none"/>
              </w:rPr>
            </w:pP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93869">
            <w:pPr>
              <w:widowControl/>
              <w:jc w:val="center"/>
              <w:textAlignment w:val="center"/>
              <w:rPr>
                <w:rFonts w:ascii="宋体" w:hAnsi="宋体" w:eastAsia="宋体" w:cs="宋体"/>
                <w:color w:val="auto"/>
                <w:sz w:val="18"/>
                <w:szCs w:val="18"/>
                <w:highlight w:val="none"/>
              </w:rPr>
            </w:pPr>
          </w:p>
        </w:tc>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133E3">
            <w:pPr>
              <w:widowControl/>
              <w:jc w:val="center"/>
              <w:textAlignment w:val="center"/>
              <w:rPr>
                <w:rFonts w:ascii="宋体" w:hAnsi="宋体" w:eastAsia="宋体" w:cs="宋体"/>
                <w:color w:val="auto"/>
                <w:sz w:val="18"/>
                <w:szCs w:val="18"/>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C2B30">
            <w:pPr>
              <w:jc w:val="center"/>
              <w:rPr>
                <w:rFonts w:ascii="宋体" w:hAnsi="宋体" w:eastAsia="宋体" w:cs="宋体"/>
                <w:color w:val="auto"/>
                <w:sz w:val="18"/>
                <w:szCs w:val="18"/>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17507">
            <w:pPr>
              <w:jc w:val="center"/>
              <w:rPr>
                <w:rFonts w:ascii="宋体" w:hAnsi="宋体" w:eastAsia="宋体" w:cs="宋体"/>
                <w:color w:val="auto"/>
                <w:sz w:val="18"/>
                <w:szCs w:val="18"/>
                <w:highlight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B49E4">
            <w:pPr>
              <w:jc w:val="center"/>
              <w:rPr>
                <w:rFonts w:ascii="宋体" w:hAnsi="宋体" w:eastAsia="宋体" w:cs="宋体"/>
                <w:color w:val="auto"/>
                <w:sz w:val="18"/>
                <w:szCs w:val="18"/>
                <w:highlight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15CA4">
            <w:pPr>
              <w:widowControl/>
              <w:jc w:val="center"/>
              <w:textAlignment w:val="center"/>
              <w:rPr>
                <w:rFonts w:ascii="宋体" w:hAnsi="宋体" w:eastAsia="宋体" w:cs="宋体"/>
                <w:color w:val="auto"/>
                <w:sz w:val="18"/>
                <w:szCs w:val="18"/>
                <w:highlight w:val="none"/>
              </w:rPr>
            </w:pPr>
          </w:p>
        </w:tc>
      </w:tr>
      <w:tr w14:paraId="3491F23E">
        <w:tblPrEx>
          <w:tblCellMar>
            <w:top w:w="0" w:type="dxa"/>
            <w:left w:w="108" w:type="dxa"/>
            <w:bottom w:w="0" w:type="dxa"/>
            <w:right w:w="108" w:type="dxa"/>
          </w:tblCellMar>
        </w:tblPrEx>
        <w:trPr>
          <w:trHeight w:val="227" w:hRule="atLeast"/>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9879D">
            <w:pPr>
              <w:widowControl/>
              <w:jc w:val="center"/>
              <w:textAlignment w:val="center"/>
              <w:rPr>
                <w:rFonts w:ascii="宋体" w:hAnsi="宋体" w:eastAsia="宋体" w:cs="宋体"/>
                <w:color w:val="auto"/>
                <w:sz w:val="22"/>
                <w:szCs w:val="22"/>
                <w:highlight w:val="none"/>
              </w:rPr>
            </w:pPr>
            <w:r>
              <w:rPr>
                <w:rFonts w:hint="eastAsia" w:ascii="宋体" w:hAnsi="宋体" w:eastAsia="宋体" w:cs="宋体"/>
                <w:color w:val="auto"/>
                <w:sz w:val="22"/>
                <w:szCs w:val="22"/>
                <w:highlight w:val="none"/>
              </w:rPr>
              <w:t>4</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D81F8">
            <w:pPr>
              <w:widowControl/>
              <w:jc w:val="left"/>
              <w:textAlignment w:val="center"/>
              <w:rPr>
                <w:rFonts w:ascii="宋体" w:hAnsi="宋体" w:eastAsia="宋体" w:cs="宋体"/>
                <w:color w:val="auto"/>
                <w:sz w:val="18"/>
                <w:szCs w:val="18"/>
                <w:highlight w:val="none"/>
              </w:rPr>
            </w:pP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D2E61E">
            <w:pPr>
              <w:widowControl/>
              <w:jc w:val="center"/>
              <w:textAlignment w:val="center"/>
              <w:rPr>
                <w:rFonts w:ascii="宋体" w:hAnsi="宋体" w:eastAsia="宋体" w:cs="宋体"/>
                <w:color w:val="auto"/>
                <w:sz w:val="18"/>
                <w:szCs w:val="18"/>
                <w:highlight w:val="none"/>
              </w:rPr>
            </w:pPr>
          </w:p>
        </w:tc>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73013">
            <w:pPr>
              <w:widowControl/>
              <w:jc w:val="center"/>
              <w:textAlignment w:val="center"/>
              <w:rPr>
                <w:rFonts w:ascii="宋体" w:hAnsi="宋体" w:eastAsia="宋体" w:cs="宋体"/>
                <w:color w:val="auto"/>
                <w:sz w:val="18"/>
                <w:szCs w:val="18"/>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85885">
            <w:pPr>
              <w:jc w:val="center"/>
              <w:rPr>
                <w:rFonts w:ascii="宋体" w:hAnsi="宋体" w:eastAsia="宋体" w:cs="宋体"/>
                <w:color w:val="auto"/>
                <w:sz w:val="18"/>
                <w:szCs w:val="18"/>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0F447">
            <w:pPr>
              <w:jc w:val="center"/>
              <w:rPr>
                <w:rFonts w:ascii="宋体" w:hAnsi="宋体" w:eastAsia="宋体" w:cs="宋体"/>
                <w:color w:val="auto"/>
                <w:sz w:val="18"/>
                <w:szCs w:val="18"/>
                <w:highlight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EC3DC">
            <w:pPr>
              <w:jc w:val="center"/>
              <w:rPr>
                <w:rFonts w:ascii="宋体" w:hAnsi="宋体" w:eastAsia="宋体" w:cs="宋体"/>
                <w:color w:val="auto"/>
                <w:sz w:val="18"/>
                <w:szCs w:val="18"/>
                <w:highlight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44CA5">
            <w:pPr>
              <w:jc w:val="center"/>
              <w:rPr>
                <w:rFonts w:ascii="宋体" w:hAnsi="宋体" w:eastAsia="宋体" w:cs="宋体"/>
                <w:color w:val="auto"/>
                <w:sz w:val="18"/>
                <w:szCs w:val="18"/>
                <w:highlight w:val="none"/>
              </w:rPr>
            </w:pPr>
          </w:p>
        </w:tc>
      </w:tr>
      <w:tr w14:paraId="2E1F5020">
        <w:tblPrEx>
          <w:tblCellMar>
            <w:top w:w="0" w:type="dxa"/>
            <w:left w:w="108" w:type="dxa"/>
            <w:bottom w:w="0" w:type="dxa"/>
            <w:right w:w="108" w:type="dxa"/>
          </w:tblCellMar>
        </w:tblPrEx>
        <w:trPr>
          <w:trHeight w:val="227" w:hRule="atLeast"/>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F7568">
            <w:pPr>
              <w:widowControl/>
              <w:jc w:val="left"/>
              <w:textAlignment w:val="center"/>
              <w:rPr>
                <w:rFonts w:ascii="宋体" w:hAnsi="宋体" w:eastAsia="宋体" w:cs="宋体"/>
                <w:color w:val="auto"/>
                <w:sz w:val="24"/>
                <w:highlight w:val="none"/>
              </w:rPr>
            </w:pPr>
            <w:r>
              <w:rPr>
                <w:rFonts w:hint="eastAsia" w:ascii="微软雅黑" w:hAnsi="微软雅黑" w:eastAsia="微软雅黑" w:cs="微软雅黑"/>
                <w:color w:val="auto"/>
                <w:kern w:val="0"/>
                <w:sz w:val="18"/>
                <w:szCs w:val="18"/>
                <w:highlight w:val="none"/>
                <w:lang w:bidi="ar"/>
              </w:rPr>
              <w:t>合计</w:t>
            </w:r>
          </w:p>
        </w:tc>
        <w:tc>
          <w:tcPr>
            <w:tcW w:w="10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BBE4E">
            <w:pPr>
              <w:rPr>
                <w:rFonts w:ascii="宋体" w:hAnsi="宋体" w:eastAsia="宋体" w:cs="宋体"/>
                <w:color w:val="auto"/>
                <w:sz w:val="24"/>
                <w:highlight w:val="none"/>
              </w:rPr>
            </w:pP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2F4AF">
            <w:pPr>
              <w:jc w:val="center"/>
              <w:rPr>
                <w:rFonts w:ascii="宋体" w:hAnsi="宋体" w:eastAsia="宋体" w:cs="宋体"/>
                <w:color w:val="auto"/>
                <w:sz w:val="24"/>
                <w:highlight w:val="none"/>
              </w:rPr>
            </w:pPr>
          </w:p>
        </w:tc>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B3B0B">
            <w:pPr>
              <w:jc w:val="center"/>
              <w:rPr>
                <w:rFonts w:ascii="宋体" w:hAnsi="宋体" w:eastAsia="宋体" w:cs="宋体"/>
                <w:color w:val="auto"/>
                <w:sz w:val="24"/>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3AA32">
            <w:pPr>
              <w:jc w:val="center"/>
              <w:rPr>
                <w:rFonts w:ascii="宋体" w:hAnsi="宋体" w:eastAsia="宋体" w:cs="宋体"/>
                <w:color w:val="auto"/>
                <w:sz w:val="24"/>
                <w:highlight w:val="none"/>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E290F">
            <w:pPr>
              <w:jc w:val="center"/>
              <w:rPr>
                <w:rFonts w:ascii="宋体" w:hAnsi="宋体" w:eastAsia="宋体" w:cs="宋体"/>
                <w:color w:val="auto"/>
                <w:sz w:val="24"/>
                <w:highlight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BB392">
            <w:pPr>
              <w:jc w:val="center"/>
              <w:rPr>
                <w:rFonts w:ascii="宋体" w:hAnsi="宋体" w:eastAsia="宋体" w:cs="宋体"/>
                <w:color w:val="auto"/>
                <w:sz w:val="24"/>
                <w:highlight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656EA">
            <w:pPr>
              <w:jc w:val="center"/>
              <w:rPr>
                <w:rFonts w:ascii="宋体" w:hAnsi="宋体" w:eastAsia="宋体" w:cs="宋体"/>
                <w:color w:val="auto"/>
                <w:sz w:val="24"/>
                <w:highlight w:val="none"/>
              </w:rPr>
            </w:pPr>
          </w:p>
        </w:tc>
      </w:tr>
    </w:tbl>
    <w:p w14:paraId="41B056C1">
      <w:pPr>
        <w:rPr>
          <w:color w:val="auto"/>
          <w:highlight w:val="none"/>
        </w:rPr>
      </w:pPr>
    </w:p>
    <w:p w14:paraId="743197A2">
      <w:pPr>
        <w:rPr>
          <w:rFonts w:ascii="宋体" w:hAnsi="宋体" w:eastAsia="宋体" w:cs="宋体"/>
          <w:color w:val="auto"/>
          <w:szCs w:val="21"/>
          <w:highlight w:val="none"/>
        </w:rPr>
      </w:pPr>
      <w:r>
        <w:rPr>
          <w:rFonts w:hint="eastAsia" w:ascii="宋体" w:hAnsi="宋体" w:eastAsia="宋体" w:cs="宋体"/>
          <w:color w:val="auto"/>
          <w:highlight w:val="none"/>
        </w:rPr>
        <w:t>注：</w:t>
      </w:r>
      <w:r>
        <w:rPr>
          <w:rFonts w:hint="eastAsia" w:ascii="宋体" w:hAnsi="宋体" w:eastAsia="宋体" w:cs="宋体"/>
          <w:color w:val="auto"/>
          <w:szCs w:val="21"/>
          <w:highlight w:val="none"/>
        </w:rPr>
        <w:t>请根据附件报价清单补充报价明细。</w:t>
      </w:r>
    </w:p>
    <w:p w14:paraId="01DA534A">
      <w:pPr>
        <w:rPr>
          <w:rFonts w:ascii="宋体" w:hAnsi="宋体" w:eastAsia="宋体" w:cs="宋体"/>
          <w:color w:val="auto"/>
          <w:highlight w:val="none"/>
        </w:rPr>
      </w:pPr>
    </w:p>
    <w:p w14:paraId="59C44C55">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19F" w:csb1="0000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520678"/>
    <w:multiLevelType w:val="singleLevel"/>
    <w:tmpl w:val="E0520678"/>
    <w:lvl w:ilvl="0" w:tentative="0">
      <w:start w:val="1"/>
      <w:numFmt w:val="chineseCounting"/>
      <w:suff w:val="nothing"/>
      <w:lvlText w:val="%1、"/>
      <w:lvlJc w:val="left"/>
      <w:rPr>
        <w:rFonts w:hint="eastAsia"/>
      </w:rPr>
    </w:lvl>
  </w:abstractNum>
  <w:abstractNum w:abstractNumId="1">
    <w:nsid w:val="0C89F7BB"/>
    <w:multiLevelType w:val="singleLevel"/>
    <w:tmpl w:val="0C89F7BB"/>
    <w:lvl w:ilvl="0" w:tentative="0">
      <w:start w:val="1"/>
      <w:numFmt w:val="decimal"/>
      <w:suff w:val="space"/>
      <w:lvlText w:val="%1."/>
      <w:lvlJc w:val="left"/>
    </w:lvl>
  </w:abstractNum>
  <w:abstractNum w:abstractNumId="2">
    <w:nsid w:val="29A38A64"/>
    <w:multiLevelType w:val="singleLevel"/>
    <w:tmpl w:val="29A38A64"/>
    <w:lvl w:ilvl="0" w:tentative="0">
      <w:start w:val="8"/>
      <w:numFmt w:val="chineseCounting"/>
      <w:suff w:val="space"/>
      <w:lvlText w:val="%1、"/>
      <w:lvlJc w:val="left"/>
      <w:rPr>
        <w:rFonts w:hint="eastAsia"/>
      </w:rPr>
    </w:lvl>
  </w:abstractNum>
  <w:abstractNum w:abstractNumId="3">
    <w:nsid w:val="57E01045"/>
    <w:multiLevelType w:val="singleLevel"/>
    <w:tmpl w:val="57E01045"/>
    <w:lvl w:ilvl="0" w:tentative="0">
      <w:start w:val="1"/>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xZDkxNzNjNzQwMzMyM2JhNjlmYmFiYzg3MDhjNDYifQ=="/>
  </w:docVars>
  <w:rsids>
    <w:rsidRoot w:val="11024F3F"/>
    <w:rsid w:val="00063807"/>
    <w:rsid w:val="00151924"/>
    <w:rsid w:val="00171BD3"/>
    <w:rsid w:val="002125B0"/>
    <w:rsid w:val="002B78A4"/>
    <w:rsid w:val="00421A7C"/>
    <w:rsid w:val="00492A7B"/>
    <w:rsid w:val="004B3AE1"/>
    <w:rsid w:val="004D36C1"/>
    <w:rsid w:val="006B5BD1"/>
    <w:rsid w:val="008D2C7F"/>
    <w:rsid w:val="008E664F"/>
    <w:rsid w:val="00910915"/>
    <w:rsid w:val="00912605"/>
    <w:rsid w:val="009236BE"/>
    <w:rsid w:val="00957E00"/>
    <w:rsid w:val="00975F1E"/>
    <w:rsid w:val="00A402B7"/>
    <w:rsid w:val="00B726B4"/>
    <w:rsid w:val="00B90D1F"/>
    <w:rsid w:val="00C25796"/>
    <w:rsid w:val="00C431A6"/>
    <w:rsid w:val="00CF3A3E"/>
    <w:rsid w:val="00D62883"/>
    <w:rsid w:val="00D97209"/>
    <w:rsid w:val="00E33901"/>
    <w:rsid w:val="00EE3951"/>
    <w:rsid w:val="00FF3221"/>
    <w:rsid w:val="0167342C"/>
    <w:rsid w:val="062713DE"/>
    <w:rsid w:val="08D3303E"/>
    <w:rsid w:val="11024F3F"/>
    <w:rsid w:val="2BA54DCB"/>
    <w:rsid w:val="2E3718B1"/>
    <w:rsid w:val="2F3F0E4F"/>
    <w:rsid w:val="2F774080"/>
    <w:rsid w:val="346868AB"/>
    <w:rsid w:val="42646E38"/>
    <w:rsid w:val="42CE66BF"/>
    <w:rsid w:val="593A47D8"/>
    <w:rsid w:val="5CF8460C"/>
    <w:rsid w:val="5FF53085"/>
    <w:rsid w:val="664B3D02"/>
    <w:rsid w:val="7C154D25"/>
    <w:rsid w:val="7EC23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120" w:after="140" w:line="30" w:lineRule="atLeast"/>
      <w:outlineLvl w:val="2"/>
    </w:pPr>
    <w:rPr>
      <w:rFonts w:ascii="Calibri" w:hAnsi="Calibri" w:eastAsia="黑体" w:cs="宋体"/>
      <w:bCs/>
      <w:color w:val="333333"/>
      <w:kern w:val="0"/>
      <w:sz w:val="24"/>
      <w:szCs w:val="32"/>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ody Text"/>
    <w:basedOn w:val="1"/>
    <w:next w:val="1"/>
    <w:qFormat/>
    <w:uiPriority w:val="1"/>
  </w:style>
  <w:style w:type="paragraph" w:styleId="4">
    <w:name w:val="Plain Text"/>
    <w:basedOn w:val="1"/>
    <w:autoRedefine/>
    <w:qFormat/>
    <w:uiPriority w:val="0"/>
    <w:pPr>
      <w:spacing w:line="400" w:lineRule="exact"/>
      <w:ind w:firstLine="200" w:firstLineChars="200"/>
    </w:pPr>
    <w:rPr>
      <w:rFonts w:ascii="宋体" w:hAnsi="Courier New" w:eastAsia="宋体" w:cs="Courier New"/>
      <w:szCs w:val="21"/>
    </w:rPr>
  </w:style>
  <w:style w:type="paragraph" w:styleId="5">
    <w:name w:val="Normal (Web)"/>
    <w:basedOn w:val="1"/>
    <w:autoRedefine/>
    <w:qFormat/>
    <w:uiPriority w:val="99"/>
    <w:pPr>
      <w:spacing w:beforeAutospacing="1" w:afterAutospacing="1"/>
      <w:jc w:val="left"/>
    </w:pPr>
    <w:rPr>
      <w:rFonts w:cs="Times New Roman"/>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列表段落1"/>
    <w:basedOn w:val="1"/>
    <w:qFormat/>
    <w:uiPriority w:val="0"/>
    <w:pPr>
      <w:ind w:firstLine="420" w:firstLineChars="200"/>
    </w:pPr>
    <w:rPr>
      <w:rFonts w:ascii="Calibri" w:hAnsi="Calibri" w:eastAsia="宋体" w:cs="Calibri"/>
      <w:szCs w:val="21"/>
    </w:rPr>
  </w:style>
  <w:style w:type="paragraph" w:styleId="10">
    <w:name w:val="No Spacing"/>
    <w:qFormat/>
    <w:uiPriority w:val="1"/>
    <w:rPr>
      <w:rFonts w:ascii="Times New Roman" w:hAnsi="Times New Roman" w:eastAsia="宋体" w:cs="Times New Roman"/>
      <w:color w:val="000000"/>
      <w:kern w:val="1"/>
      <w:sz w:val="21"/>
      <w:lang w:val="en-US" w:eastAsia="zh-CN" w:bidi="ar-SA"/>
    </w:rPr>
  </w:style>
  <w:style w:type="paragraph" w:customStyle="1" w:styleId="11">
    <w:name w:val="p1"/>
    <w:basedOn w:val="1"/>
    <w:qFormat/>
    <w:uiPriority w:val="0"/>
    <w:pPr>
      <w:widowControl/>
      <w:jc w:val="left"/>
    </w:pPr>
    <w:rPr>
      <w:rFonts w:ascii="Helvetica" w:hAnsi="Helvetica" w:eastAsia="宋体" w:cs="宋体"/>
      <w:color w:val="000000"/>
      <w:kern w:val="0"/>
      <w:sz w:val="16"/>
      <w:szCs w:val="16"/>
    </w:rPr>
  </w:style>
  <w:style w:type="character" w:customStyle="1" w:styleId="12">
    <w:name w:val="s1"/>
    <w:basedOn w:val="8"/>
    <w:qFormat/>
    <w:uiPriority w:val="0"/>
    <w:rPr>
      <w:rFonts w:hint="default" w:ascii="Helvetica" w:hAnsi="Helvetica"/>
      <w:sz w:val="14"/>
      <w:szCs w:val="14"/>
    </w:rPr>
  </w:style>
  <w:style w:type="character" w:customStyle="1" w:styleId="13">
    <w:name w:val="s2"/>
    <w:basedOn w:val="8"/>
    <w:qFormat/>
    <w:uiPriority w:val="0"/>
    <w:rPr>
      <w:rFonts w:hint="default" w:ascii="Arial" w:hAnsi="Arial" w:cs="Arial"/>
      <w:sz w:val="14"/>
      <w:szCs w:val="14"/>
    </w:rPr>
  </w:style>
  <w:style w:type="character" w:customStyle="1" w:styleId="14">
    <w:name w:val="s3"/>
    <w:basedOn w:val="8"/>
    <w:qFormat/>
    <w:uiPriority w:val="0"/>
    <w:rPr>
      <w:rFonts w:hint="default" w:ascii="Times New Roman" w:hAnsi="Times New Roman" w:cs="Times New Roman"/>
      <w:sz w:val="16"/>
      <w:szCs w:val="16"/>
    </w:rPr>
  </w:style>
  <w:style w:type="character" w:customStyle="1" w:styleId="15">
    <w:name w:val="s4"/>
    <w:basedOn w:val="8"/>
    <w:qFormat/>
    <w:uiPriority w:val="0"/>
    <w:rPr>
      <w:rFonts w:hint="default" w:ascii="Helvetica" w:hAnsi="Helvetica"/>
      <w:sz w:val="16"/>
      <w:szCs w:val="16"/>
    </w:rPr>
  </w:style>
  <w:style w:type="character" w:customStyle="1" w:styleId="16">
    <w:name w:val="s5"/>
    <w:basedOn w:val="8"/>
    <w:qFormat/>
    <w:uiPriority w:val="0"/>
    <w:rPr>
      <w:rFonts w:hint="default" w:ascii="Arial" w:hAnsi="Arial" w:cs="Arial"/>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8040</Words>
  <Characters>8828</Characters>
  <Lines>70</Lines>
  <Paragraphs>19</Paragraphs>
  <TotalTime>23</TotalTime>
  <ScaleCrop>false</ScaleCrop>
  <LinksUpToDate>false</LinksUpToDate>
  <CharactersWithSpaces>9559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2024-09-19T07:03:00Z</dcterms:created>
  <dc:creator>书林</dc:creator>
  <cp:lastModifiedBy>乐佳佳</cp:lastModifiedBy>
  <cp:lastPrinted>2025-09-05T08:09:00Z</cp:lastPrinted>
  <dcterms:modified xsi:type="dcterms:W3CDTF">2025-09-15T01:13:55Z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BB0B5A7587D940CE8A3795D9484A3A97_13</vt:lpwstr>
  </property>
  <property fmtid="{D5CDD505-2E9C-101B-9397-08002B2CF9AE}" pid="4" name="KSOTemplateDocerSaveRecord">
    <vt:lpwstr>eyJoZGlkIjoiYzIzMjQyMGY0YTcxMGM0NTgwYjRlYWRkZWNhMzYzNmQiLCJ1c2VySWQiOiI3MzI1MTQ3MTcifQ==</vt:lpwstr>
  </property>
</Properties>
</file>