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392</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342A3E79">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1、投标人须是中华人民共和国境内正式注册并具有有效独立法人资格的法人，注册资本不少于</w:t>
      </w:r>
      <w:r>
        <w:rPr>
          <w:rFonts w:hint="eastAsia" w:ascii="宋体" w:hAnsi="宋体" w:eastAsia="宋体" w:cs="宋体"/>
          <w:szCs w:val="21"/>
          <w:highlight w:val="none"/>
          <w:lang w:val="en-US" w:eastAsia="zh-CN"/>
        </w:rPr>
        <w:t>50</w:t>
      </w:r>
      <w:r>
        <w:rPr>
          <w:rFonts w:hint="eastAsia" w:ascii="宋体" w:hAnsi="宋体" w:eastAsia="宋体" w:cs="宋体"/>
          <w:szCs w:val="21"/>
          <w:highlight w:val="none"/>
        </w:rPr>
        <w:t>0万。（需提供加盖公章的营业执照复印件）</w:t>
      </w:r>
    </w:p>
    <w:p w14:paraId="302D581B">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2、投标人须提供2021年1月1日至本公告发布之日止本次采购类似项目</w:t>
      </w:r>
      <w:r>
        <w:rPr>
          <w:rFonts w:hint="eastAsia" w:ascii="宋体" w:hAnsi="宋体" w:eastAsia="宋体" w:cs="宋体"/>
          <w:color w:val="auto"/>
          <w:kern w:val="2"/>
          <w:sz w:val="21"/>
          <w:szCs w:val="21"/>
          <w:highlight w:val="none"/>
          <w:lang w:val="en-US" w:eastAsia="zh-CN"/>
        </w:rPr>
        <w:t>（单个合同金额不低于100万）</w:t>
      </w:r>
      <w:r>
        <w:rPr>
          <w:rFonts w:hint="eastAsia" w:ascii="宋体" w:hAnsi="宋体" w:eastAsia="宋体" w:cs="宋体"/>
          <w:szCs w:val="21"/>
          <w:highlight w:val="none"/>
        </w:rPr>
        <w:t>（提供加盖公章的合同复印件，原件备查）。</w:t>
      </w:r>
    </w:p>
    <w:p w14:paraId="7053ED66">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2DF827E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 本项目因为涉及原厂交付和支持，需提供原厂针对本项目的质保函并加盖公章，否则视为无效投标。</w:t>
      </w:r>
    </w:p>
    <w:p w14:paraId="57FFB03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 本项目不接受联合体投标，不得转包、不得挂靠。</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2</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EE01B20">
      <w:pPr>
        <w:kinsoku/>
        <w:wordWrap/>
        <w:overflowPunct/>
        <w:topLinePunct w:val="0"/>
        <w:bidi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4、投标人需要完全响应技术规格书。</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5"/>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szCs w:val="21"/>
          <w:lang w:val="en-US" w:eastAsia="zh-CN"/>
        </w:rPr>
        <w:t>电子版壹份</w:t>
      </w:r>
      <w:bookmarkStart w:id="0" w:name="_GoBack"/>
      <w:bookmarkEnd w:id="0"/>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13</w:t>
      </w:r>
      <w:r>
        <w:rPr>
          <w:rFonts w:hint="eastAsia" w:ascii="宋体" w:hAnsi="宋体" w:eastAsia="宋体" w:cs="宋体"/>
          <w:szCs w:val="21"/>
        </w:rPr>
        <w:t>日</w:t>
      </w:r>
      <w:r>
        <w:rPr>
          <w:rFonts w:hint="eastAsia" w:ascii="宋体" w:hAnsi="宋体" w:eastAsia="宋体" w:cs="宋体"/>
          <w:szCs w:val="21"/>
          <w:lang w:val="en-US" w:eastAsia="zh-CN"/>
        </w:rPr>
        <w:t>12时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KG2025-G028-ZB09</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60EE81A">
      <w:pPr>
        <w:pStyle w:val="4"/>
        <w:numPr>
          <w:ilvl w:val="0"/>
          <w:numId w:val="1"/>
        </w:numPr>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合同模板（具体条款中标后双方可协商修订）</w:t>
      </w: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 xml:space="preserve"> 扬州泰州国际机场二期扩建工程民航专业弱电系统工程标段二</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3B8C0C3">
      <w:pPr>
        <w:rPr>
          <w:rFonts w:hint="eastAsia" w:eastAsia="宋体"/>
          <w:b/>
          <w:bCs/>
          <w:lang w:val="en-US" w:eastAsia="zh-CN"/>
        </w:rPr>
      </w:pPr>
      <w:r>
        <w:rPr>
          <w:rFonts w:hint="eastAsia" w:eastAsia="宋体"/>
          <w:b/>
          <w:bCs/>
          <w:lang w:val="en-US" w:eastAsia="zh-CN"/>
        </w:rPr>
        <w:t>附件三：报价一览标</w:t>
      </w:r>
    </w:p>
    <w:p w14:paraId="64C0B3E4">
      <w:pPr>
        <w:rPr>
          <w:rFonts w:hint="default" w:eastAsia="宋体"/>
          <w:b/>
          <w:bCs/>
          <w:lang w:val="en-US" w:eastAsia="zh-CN"/>
        </w:rPr>
      </w:pPr>
    </w:p>
    <w:tbl>
      <w:tblPr>
        <w:tblStyle w:val="10"/>
        <w:tblW w:w="12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489"/>
        <w:gridCol w:w="1744"/>
        <w:gridCol w:w="2763"/>
        <w:gridCol w:w="1267"/>
        <w:gridCol w:w="667"/>
        <w:gridCol w:w="733"/>
        <w:gridCol w:w="1417"/>
        <w:gridCol w:w="1433"/>
        <w:gridCol w:w="1520"/>
        <w:gridCol w:w="608"/>
      </w:tblGrid>
      <w:tr w14:paraId="7086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B1773">
            <w:pPr>
              <w:keepNext w:val="0"/>
              <w:keepLines w:val="0"/>
              <w:widowControl/>
              <w:suppressLineNumbers w:val="0"/>
              <w:snapToGrid w:val="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8BE06">
            <w:pPr>
              <w:keepNext w:val="0"/>
              <w:keepLines w:val="0"/>
              <w:widowControl/>
              <w:suppressLineNumbers w:val="0"/>
              <w:snapToGrid w:val="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项目名称</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91983">
            <w:pPr>
              <w:keepNext w:val="0"/>
              <w:keepLines w:val="0"/>
              <w:widowControl/>
              <w:suppressLineNumbers w:val="0"/>
              <w:snapToGrid w:val="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项目特征</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784F">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110C">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9B6">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06A">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单价（含税运）</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E8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A3C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7CC7">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D5A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FF" w:fill="FADADE"/>
            <w:vAlign w:val="center"/>
          </w:tcPr>
          <w:p w14:paraId="3D5A616D">
            <w:pPr>
              <w:snapToGrid w:val="0"/>
              <w:jc w:val="center"/>
              <w:rPr>
                <w:rFonts w:hint="eastAsia" w:ascii="宋体" w:hAnsi="宋体" w:eastAsia="宋体" w:cs="宋体"/>
                <w:i w:val="0"/>
                <w:iCs w:val="0"/>
                <w:color w:val="000000"/>
                <w:sz w:val="18"/>
                <w:szCs w:val="18"/>
                <w:u w:val="none"/>
              </w:rPr>
            </w:pPr>
          </w:p>
        </w:tc>
        <w:tc>
          <w:tcPr>
            <w:tcW w:w="1744" w:type="dxa"/>
            <w:tcBorders>
              <w:top w:val="single" w:color="000000" w:sz="4" w:space="0"/>
              <w:left w:val="single" w:color="000000" w:sz="4" w:space="0"/>
              <w:bottom w:val="single" w:color="000000" w:sz="4" w:space="0"/>
              <w:right w:val="single" w:color="000000" w:sz="4" w:space="0"/>
            </w:tcBorders>
            <w:shd w:val="clear" w:color="FFFFFF" w:fill="FADADE"/>
            <w:vAlign w:val="center"/>
          </w:tcPr>
          <w:p w14:paraId="6A579A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08网络系统</w:t>
            </w:r>
          </w:p>
        </w:tc>
        <w:tc>
          <w:tcPr>
            <w:tcW w:w="2763" w:type="dxa"/>
            <w:tcBorders>
              <w:top w:val="single" w:color="000000" w:sz="4" w:space="0"/>
              <w:left w:val="single" w:color="000000" w:sz="4" w:space="0"/>
              <w:bottom w:val="single" w:color="000000" w:sz="4" w:space="0"/>
              <w:right w:val="single" w:color="000000" w:sz="4" w:space="0"/>
            </w:tcBorders>
            <w:shd w:val="clear" w:color="FFFFFF" w:fill="FADADE"/>
            <w:vAlign w:val="center"/>
          </w:tcPr>
          <w:p w14:paraId="29CA5453">
            <w:pPr>
              <w:snapToGrid w:val="0"/>
              <w:jc w:val="center"/>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8A80">
            <w:pPr>
              <w:snapToGrid w:val="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CD6A">
            <w:pPr>
              <w:snapToGrid w:val="0"/>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C3F6">
            <w:pPr>
              <w:snapToGrid w:val="0"/>
              <w:jc w:val="cente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2DF7">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E12D">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1423">
            <w:pPr>
              <w:snapToGrid w:val="0"/>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4D6F">
            <w:pPr>
              <w:snapToGrid w:val="0"/>
              <w:jc w:val="center"/>
              <w:rPr>
                <w:rFonts w:hint="eastAsia" w:ascii="宋体" w:hAnsi="宋体" w:eastAsia="宋体" w:cs="宋体"/>
                <w:i w:val="0"/>
                <w:iCs w:val="0"/>
                <w:color w:val="000000"/>
                <w:sz w:val="18"/>
                <w:szCs w:val="18"/>
                <w:u w:val="none"/>
              </w:rPr>
            </w:pPr>
          </w:p>
        </w:tc>
      </w:tr>
      <w:tr w14:paraId="6018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F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D5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旅客WIFI核心交换机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8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1.名称:旅客WIFI核心交换机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2.规格、型号:1、交换容量≥150Tbps，包转发率≥57000Mpps；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2、主控槽数量≥2，业务槽数量≥6；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3、配置双主控，冗余交流电源，32个万兆光口（单台配置32块万兆光单模10KM光模块），48个千兆光口。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10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S7506X-G</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B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41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4690">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73CE">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EC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BB08">
            <w:pPr>
              <w:snapToGrid w:val="0"/>
              <w:jc w:val="center"/>
              <w:rPr>
                <w:rFonts w:hint="eastAsia" w:ascii="宋体" w:hAnsi="宋体" w:eastAsia="宋体" w:cs="宋体"/>
                <w:i w:val="0"/>
                <w:iCs w:val="0"/>
                <w:color w:val="000000"/>
                <w:sz w:val="18"/>
                <w:szCs w:val="18"/>
                <w:u w:val="none"/>
              </w:rPr>
            </w:pPr>
          </w:p>
        </w:tc>
      </w:tr>
      <w:tr w14:paraId="627B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D6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2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旅客WiFi业务网汇聚交换机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A1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1.名称:旅客WiFi业务网汇聚交换机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2.规格、型号:1、交换容量≥2.5Tbps，包转发率≥1600Mpps；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2、配置48个万兆光口（单台配置48个万兆单模10KM光模块），6个40GE QSFP+端口，冗余电源、风扇。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90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S6520X-54HF-EI</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C6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9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45C7">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3C78">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4C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6278">
            <w:pPr>
              <w:snapToGrid w:val="0"/>
              <w:jc w:val="center"/>
              <w:rPr>
                <w:rFonts w:hint="eastAsia" w:ascii="宋体" w:hAnsi="宋体" w:eastAsia="宋体" w:cs="宋体"/>
                <w:i w:val="0"/>
                <w:iCs w:val="0"/>
                <w:color w:val="000000"/>
                <w:sz w:val="18"/>
                <w:szCs w:val="18"/>
                <w:u w:val="none"/>
              </w:rPr>
            </w:pPr>
          </w:p>
        </w:tc>
      </w:tr>
      <w:tr w14:paraId="07C0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9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E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旅客WIFI业务网POE接入交换机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3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1.名称:旅客WIFI业务网POE接入交换机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2.规格、型号:1、交换容量≥670Gbps，包转发率≥160Mpps；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2、配置48个千兆电口（支持POE+），4个万兆光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口(单台配置4个万兆单模10KM光模块)。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BA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S5570S-54S-PWR-EI-A</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73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7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712A">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756F">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2F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858C">
            <w:pPr>
              <w:snapToGrid w:val="0"/>
              <w:jc w:val="center"/>
              <w:rPr>
                <w:rFonts w:hint="eastAsia" w:ascii="宋体" w:hAnsi="宋体" w:eastAsia="宋体" w:cs="宋体"/>
                <w:i w:val="0"/>
                <w:iCs w:val="0"/>
                <w:color w:val="000000"/>
                <w:sz w:val="18"/>
                <w:szCs w:val="18"/>
                <w:u w:val="none"/>
              </w:rPr>
            </w:pPr>
          </w:p>
        </w:tc>
      </w:tr>
      <w:tr w14:paraId="5949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D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1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旅客WIFI业务网接入交换机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C7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1.名称:旅客WIFI业务网接入交换机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2.规格、型号:1、交换容量≥670Gbps，包转发率≥160Mpps；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2、配置48个千兆电口，4个万兆光口（单台配置4个万兆单模10KM光模块）。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0D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S5130S-52S-EI</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1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5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3A39">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5A79">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30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5D80">
            <w:pPr>
              <w:snapToGrid w:val="0"/>
              <w:jc w:val="center"/>
              <w:rPr>
                <w:rFonts w:hint="eastAsia" w:ascii="宋体" w:hAnsi="宋体" w:eastAsia="宋体" w:cs="宋体"/>
                <w:i w:val="0"/>
                <w:iCs w:val="0"/>
                <w:color w:val="000000"/>
                <w:sz w:val="18"/>
                <w:szCs w:val="18"/>
                <w:u w:val="none"/>
              </w:rPr>
            </w:pPr>
          </w:p>
        </w:tc>
      </w:tr>
      <w:tr w14:paraId="5B99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1B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4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无线AC</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C6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1.名称:无线AC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2.规格、型号:1、集中转发性能≥10Gbps；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2、满足常规AP最大数量≥384；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3、提供≥12个千兆GE端口，≥8个千兆SFP端口，以及≥2个万兆SFP+端口。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BD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WX3510X</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4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C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935">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C4CF">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C8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BE06">
            <w:pPr>
              <w:snapToGrid w:val="0"/>
              <w:jc w:val="center"/>
              <w:rPr>
                <w:rFonts w:hint="eastAsia" w:ascii="宋体" w:hAnsi="宋体" w:eastAsia="宋体" w:cs="宋体"/>
                <w:i w:val="0"/>
                <w:iCs w:val="0"/>
                <w:color w:val="000000"/>
                <w:sz w:val="18"/>
                <w:szCs w:val="18"/>
                <w:u w:val="none"/>
              </w:rPr>
            </w:pPr>
          </w:p>
        </w:tc>
      </w:tr>
      <w:tr w14:paraId="5CB3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53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高密AP</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E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1.名称:高密AP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2.规格、型号:1、采用三射频设计，可工作在802.11a/b/g/n/ac/ac wave2/ax/be模式；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2、整机协商速率≥5.375Gbps；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3、提供≥2个接口，其中不少于1个固化2.5G电口或光口，1个千兆电口。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2A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WA7230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50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14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2C0B">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5630">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9A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BE26">
            <w:pPr>
              <w:snapToGrid w:val="0"/>
              <w:jc w:val="center"/>
              <w:rPr>
                <w:rFonts w:hint="eastAsia" w:ascii="宋体" w:hAnsi="宋体" w:eastAsia="宋体" w:cs="宋体"/>
                <w:i w:val="0"/>
                <w:iCs w:val="0"/>
                <w:color w:val="000000"/>
                <w:sz w:val="18"/>
                <w:szCs w:val="18"/>
                <w:u w:val="none"/>
              </w:rPr>
            </w:pPr>
          </w:p>
        </w:tc>
      </w:tr>
      <w:tr w14:paraId="4250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07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A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放装AP</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6C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1.名称:放装AP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2.规格、型号:1、双频4流设计，可同时工作在802.11a/b/g/n/ac/ac wave2/ax/be模式；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2、整机协商速率≥2.975Gbps；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3、固化接口数≥1个，包括1个千兆电口。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65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WA7220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B7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C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CCDB">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B026">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A3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F057">
            <w:pPr>
              <w:snapToGrid w:val="0"/>
              <w:jc w:val="center"/>
              <w:rPr>
                <w:rFonts w:hint="eastAsia" w:ascii="宋体" w:hAnsi="宋体" w:eastAsia="宋体" w:cs="宋体"/>
                <w:i w:val="0"/>
                <w:iCs w:val="0"/>
                <w:color w:val="000000"/>
                <w:sz w:val="18"/>
                <w:szCs w:val="18"/>
                <w:u w:val="none"/>
              </w:rPr>
            </w:pPr>
          </w:p>
        </w:tc>
      </w:tr>
      <w:tr w14:paraId="16A0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51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BB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安防网核心交换机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AC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1.名称:安防网核心交换机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2.规格、型号:1、交换容量≥640Tbps，包转发率≥230000Mpps；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2、主控板槽位数≥2，交换网板槽位数≥4，业务板槽位数≥8；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3、配置双主控，2块交换网板，冗余交流电源，48个万兆光口（单台配置20个万兆单模10KM光模块）。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B0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S10508X-G</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51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B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0522">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D32C">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F7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9995">
            <w:pPr>
              <w:snapToGrid w:val="0"/>
              <w:jc w:val="center"/>
              <w:rPr>
                <w:rFonts w:hint="eastAsia" w:ascii="宋体" w:hAnsi="宋体" w:eastAsia="宋体" w:cs="宋体"/>
                <w:i w:val="0"/>
                <w:iCs w:val="0"/>
                <w:color w:val="000000"/>
                <w:sz w:val="18"/>
                <w:szCs w:val="18"/>
                <w:u w:val="none"/>
              </w:rPr>
            </w:pPr>
          </w:p>
        </w:tc>
      </w:tr>
      <w:tr w14:paraId="791D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9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16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安防网汇聚交换机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7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1.名称:安防网汇聚交换机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2.规格、型号:1、交换容量≥150Tbps，包转发率≥57000Mpps；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2、主控槽数量≥2，业务槽数量≥6；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3、配置双主控，冗余交流电源，不低于64个万兆光口（单台配置64个万兆单模10KM光模块）。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F1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S7506X-G</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D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EF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AB14">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8365">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12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C0CD">
            <w:pPr>
              <w:snapToGrid w:val="0"/>
              <w:jc w:val="center"/>
              <w:rPr>
                <w:rFonts w:hint="eastAsia" w:ascii="宋体" w:hAnsi="宋体" w:eastAsia="宋体" w:cs="宋体"/>
                <w:i w:val="0"/>
                <w:iCs w:val="0"/>
                <w:color w:val="000000"/>
                <w:sz w:val="18"/>
                <w:szCs w:val="18"/>
                <w:u w:val="none"/>
              </w:rPr>
            </w:pPr>
          </w:p>
        </w:tc>
      </w:tr>
      <w:tr w14:paraId="11C9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6C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C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安防网POE接入交换机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8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1.名称:安防网POE接入交换机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2.规格、型号:1、交换容量≥670Gbps，包转发率≥160Mpps；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2、配置48个千兆电口（支持POE+），4个万兆光口（单台配置4个万兆单模10KM光模块）。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2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S5570S-54S-PWR-EI-A</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06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C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9790">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BBE">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18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692">
            <w:pPr>
              <w:snapToGrid w:val="0"/>
              <w:jc w:val="center"/>
              <w:rPr>
                <w:rFonts w:hint="eastAsia" w:ascii="宋体" w:hAnsi="宋体" w:eastAsia="宋体" w:cs="宋体"/>
                <w:i w:val="0"/>
                <w:iCs w:val="0"/>
                <w:color w:val="000000"/>
                <w:sz w:val="18"/>
                <w:szCs w:val="18"/>
                <w:u w:val="none"/>
              </w:rPr>
            </w:pPr>
          </w:p>
        </w:tc>
      </w:tr>
      <w:tr w14:paraId="64ED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1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6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安防网接入交换机</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22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1.名称:安防网接入交换机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2.规格、型号:1、交换容量≥670Gbps，包转发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率≥160Mpps；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2、配置48个千兆电口，4个万兆光口（单台配置4个万兆单模10KM光模块）。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3.设备基本参数/指标或设备配置要求:满足图纸设计、施工验收规范及招标文件技术规格书要求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1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S5130S-52S-EI</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4F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35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A45">
            <w:pPr>
              <w:snapToGrid w:val="0"/>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7372">
            <w:pPr>
              <w:snapToGrid w:val="0"/>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E0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8085">
            <w:pPr>
              <w:snapToGrid w:val="0"/>
              <w:jc w:val="center"/>
              <w:rPr>
                <w:rFonts w:hint="eastAsia" w:ascii="宋体" w:hAnsi="宋体" w:eastAsia="宋体" w:cs="宋体"/>
                <w:i w:val="0"/>
                <w:iCs w:val="0"/>
                <w:color w:val="000000"/>
                <w:sz w:val="18"/>
                <w:szCs w:val="18"/>
                <w:u w:val="none"/>
              </w:rPr>
            </w:pPr>
          </w:p>
        </w:tc>
      </w:tr>
      <w:tr w14:paraId="710C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4D51">
            <w:pPr>
              <w:keepNext w:val="0"/>
              <w:keepLines w:val="0"/>
              <w:widowControl/>
              <w:suppressLineNumbers w:val="0"/>
              <w:snapToGrid w:val="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7DCB">
            <w:pPr>
              <w:snapToGrid w:val="0"/>
              <w:jc w:val="center"/>
              <w:rPr>
                <w:rFonts w:hint="eastAsia" w:ascii="宋体" w:hAnsi="宋体" w:eastAsia="宋体" w:cs="宋体"/>
                <w:b/>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DD61">
            <w:pPr>
              <w:snapToGrid w:val="0"/>
              <w:jc w:val="center"/>
              <w:rPr>
                <w:rFonts w:hint="eastAsia" w:ascii="宋体" w:hAnsi="宋体" w:eastAsia="宋体" w:cs="宋体"/>
                <w:b/>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BB57">
            <w:pPr>
              <w:snapToGrid w:val="0"/>
              <w:jc w:val="center"/>
              <w:rPr>
                <w:rFonts w:hint="eastAsia" w:ascii="宋体" w:hAnsi="宋体" w:eastAsia="宋体" w:cs="宋体"/>
                <w:b/>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DE2D">
            <w:pPr>
              <w:snapToGrid w:val="0"/>
              <w:jc w:val="center"/>
              <w:rPr>
                <w:rFonts w:hint="eastAsia" w:ascii="宋体" w:hAnsi="宋体" w:eastAsia="宋体" w:cs="宋体"/>
                <w:b/>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8B97">
            <w:pPr>
              <w:snapToGrid w:val="0"/>
              <w:jc w:val="center"/>
              <w:rPr>
                <w:rFonts w:hint="eastAsia" w:ascii="宋体" w:hAnsi="宋体" w:eastAsia="宋体" w:cs="宋体"/>
                <w:b/>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6E0D">
            <w:pPr>
              <w:snapToGrid w:val="0"/>
              <w:jc w:val="center"/>
              <w:rPr>
                <w:rFonts w:hint="eastAsia" w:ascii="宋体" w:hAnsi="宋体" w:eastAsia="宋体" w:cs="宋体"/>
                <w:b/>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693A">
            <w:pPr>
              <w:snapToGrid w:val="0"/>
              <w:jc w:val="center"/>
              <w:rPr>
                <w:rFonts w:hint="eastAsia" w:ascii="宋体" w:hAnsi="宋体" w:eastAsia="宋体" w:cs="宋体"/>
                <w:b/>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B68A">
            <w:pPr>
              <w:snapToGrid w:val="0"/>
              <w:jc w:val="center"/>
              <w:rPr>
                <w:rFonts w:hint="eastAsia" w:ascii="宋体" w:hAnsi="宋体" w:eastAsia="宋体" w:cs="宋体"/>
                <w:b/>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22AC">
            <w:pPr>
              <w:snapToGrid w:val="0"/>
              <w:jc w:val="center"/>
              <w:rPr>
                <w:rFonts w:hint="eastAsia" w:ascii="宋体" w:hAnsi="宋体" w:eastAsia="宋体" w:cs="宋体"/>
                <w:b/>
                <w:i w:val="0"/>
                <w:iCs w:val="0"/>
                <w:color w:val="000000"/>
                <w:sz w:val="18"/>
                <w:szCs w:val="18"/>
                <w:u w:val="none"/>
              </w:rPr>
            </w:pPr>
          </w:p>
        </w:tc>
      </w:tr>
    </w:tbl>
    <w:p w14:paraId="7486A7B2">
      <w:pPr>
        <w:rPr>
          <w:rFonts w:hint="default" w:eastAsia="宋体"/>
          <w:b/>
          <w:bCs/>
          <w:lang w:val="en-US" w:eastAsia="zh-CN"/>
        </w:rPr>
        <w:sectPr>
          <w:pgSz w:w="16838" w:h="11906" w:orient="landscape"/>
          <w:pgMar w:top="1293" w:right="1440" w:bottom="1519"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附件四：</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4AC32EAF">
      <w:pPr>
        <w:jc w:val="center"/>
        <w:rPr>
          <w:rFonts w:hint="eastAsia" w:ascii="宋体" w:hAnsi="宋体"/>
          <w:sz w:val="36"/>
        </w:rPr>
      </w:pPr>
      <w:r>
        <w:rPr>
          <w:rFonts w:hint="eastAsia" w:ascii="宋体" w:hAnsi="宋体"/>
          <w:b/>
          <w:sz w:val="52"/>
          <w:szCs w:val="52"/>
          <w:lang w:val="en-US" w:eastAsia="zh-CN"/>
        </w:rPr>
        <w:t xml:space="preserve"> 扬州泰州国际机场二期扩建工程民航专业弱电系统工程标段二</w:t>
      </w: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77B48CA2">
      <w:pPr>
        <w:ind w:firstLine="2400" w:firstLineChars="800"/>
        <w:rPr>
          <w:rFonts w:hint="eastAsia" w:ascii="华文中宋" w:hAnsi="华文中宋" w:eastAsia="华文中宋"/>
          <w:sz w:val="30"/>
          <w:szCs w:val="30"/>
        </w:rPr>
      </w:pPr>
      <w:r>
        <w:rPr>
          <w:rFonts w:ascii="华文中宋" w:hAnsi="华文中宋" w:eastAsia="华文中宋"/>
          <w:sz w:val="30"/>
          <w:szCs w:val="30"/>
        </w:rPr>
        <w:br w:type="page"/>
      </w:r>
    </w:p>
    <w:p w14:paraId="7D92CAF4">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79A4F43F">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0A0E0B3E">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C1492DD">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3C05C8A9">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481C0502">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4199F34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4E51B10A">
      <w:pPr>
        <w:adjustRightInd w:val="0"/>
        <w:snapToGrid w:val="0"/>
        <w:spacing w:line="360" w:lineRule="auto"/>
        <w:ind w:firstLine="420" w:firstLineChars="200"/>
        <w:jc w:val="left"/>
        <w:rPr>
          <w:rFonts w:ascii="宋体" w:hAnsi="宋体"/>
          <w:szCs w:val="21"/>
        </w:rPr>
      </w:pPr>
      <w:r>
        <w:rPr>
          <w:rFonts w:ascii="宋体" w:hAnsi="宋体"/>
          <w:szCs w:val="21"/>
        </w:rPr>
        <w:t xml:space="preserve">2.2 </w:t>
      </w:r>
      <w:r>
        <w:rPr>
          <w:rFonts w:hint="eastAsia" w:ascii="宋体" w:hAnsi="宋体"/>
          <w:szCs w:val="21"/>
        </w:rPr>
        <w:t>除非技术规格中另有规定，计量单位均采用中华人民共和国法定计量单位。</w:t>
      </w:r>
    </w:p>
    <w:p w14:paraId="347CE655">
      <w:pPr>
        <w:adjustRightInd w:val="0"/>
        <w:snapToGrid w:val="0"/>
        <w:spacing w:before="156" w:beforeLines="50" w:after="156" w:afterLines="50"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0A887F3">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4AB2C25">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7DCFAA3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4B0CD1F9">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6AED460F">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5E8F7092">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3FC47CBE">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0480C6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34B0B46B">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195869B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06356F4F">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2CE9D910">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07C9BEB7">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0738485E">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2DFA0C3">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309AFD50">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2F5362B9">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1297D865">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702A0E80">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00A16D3B">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049F47E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46853998">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1C4B456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512557D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6C44612A">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4A139914">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70F9AB3E">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64E634E7">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76C1EF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421832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0894B782">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7A1C5A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7E22923E">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0FF21735">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241E0756">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1AC85D05">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072211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0C17D8D6">
      <w:pPr>
        <w:pStyle w:val="5"/>
        <w:rPr>
          <w:rFonts w:ascii="宋体" w:hAnsi="宋体"/>
          <w:szCs w:val="21"/>
        </w:rPr>
      </w:pPr>
      <w:r>
        <w:rPr>
          <w:rFonts w:hint="eastAsia"/>
          <w:b/>
          <w:sz w:val="24"/>
          <w:szCs w:val="24"/>
        </w:rPr>
        <w:t>第八条  检验和测试</w:t>
      </w:r>
    </w:p>
    <w:p w14:paraId="01D4B875">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50C15EAE">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139E624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5EBC8ED2">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7CD3003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4BEE143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4511B0AC">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60CA25D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2BC2B82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D4125BA">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18F45CD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725375F6">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5D5B1D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6456CC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甲乙双方约定合同总金额的</w:t>
      </w:r>
      <w:permStart w:id="39"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20</w:t>
      </w:r>
      <w:r>
        <w:rPr>
          <w:rFonts w:hint="eastAsia" w:ascii="宋体" w:hAnsi="宋体"/>
          <w:szCs w:val="21"/>
          <w:highlight w:val="none"/>
        </w:rPr>
        <w:t>%</w:t>
      </w:r>
      <w:permEnd w:id="39"/>
      <w:r>
        <w:rPr>
          <w:rFonts w:hint="eastAsia" w:ascii="宋体" w:hAnsi="宋体"/>
          <w:szCs w:val="21"/>
          <w:highlight w:val="none"/>
        </w:rPr>
        <w:t>，即人民币</w:t>
      </w:r>
      <w:permStart w:id="40"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40"/>
      <w:r>
        <w:rPr>
          <w:rFonts w:hint="eastAsia" w:ascii="宋体" w:hAnsi="宋体"/>
          <w:szCs w:val="21"/>
          <w:highlight w:val="none"/>
        </w:rPr>
        <w:t>元，作为预付款。预付款应在合同生效后支付。</w:t>
      </w:r>
    </w:p>
    <w:p w14:paraId="502D7EA7">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（2）</w:t>
      </w:r>
      <w:r>
        <w:rPr>
          <w:rFonts w:hint="eastAsia" w:ascii="宋体" w:hAnsi="宋体"/>
          <w:szCs w:val="21"/>
          <w:lang w:val="en-US" w:eastAsia="zh-CN"/>
        </w:rPr>
        <w:t>甲方应</w:t>
      </w:r>
      <w:r>
        <w:rPr>
          <w:rFonts w:hint="default" w:ascii="宋体" w:hAnsi="宋体"/>
          <w:szCs w:val="21"/>
          <w:lang w:val="en-US" w:eastAsia="zh-CN"/>
        </w:rPr>
        <w:t>按审核的</w:t>
      </w:r>
      <w:r>
        <w:rPr>
          <w:rFonts w:hint="eastAsia" w:ascii="宋体" w:hAnsi="宋体"/>
          <w:szCs w:val="21"/>
          <w:lang w:val="en-US" w:eastAsia="zh-CN"/>
        </w:rPr>
        <w:t>每个计量周期</w:t>
      </w:r>
      <w:r>
        <w:rPr>
          <w:rFonts w:hint="default" w:ascii="宋体" w:hAnsi="宋体"/>
          <w:szCs w:val="21"/>
          <w:lang w:val="en-US" w:eastAsia="zh-CN"/>
        </w:rPr>
        <w:t>工程量支付工程进度款</w:t>
      </w:r>
      <w:r>
        <w:rPr>
          <w:rFonts w:hint="eastAsia" w:ascii="宋体" w:hAnsi="宋体"/>
          <w:szCs w:val="21"/>
          <w:lang w:val="en-US" w:eastAsia="zh-CN"/>
        </w:rPr>
        <w:t>，</w:t>
      </w:r>
      <w:r>
        <w:rPr>
          <w:rFonts w:hint="default" w:ascii="宋体" w:hAnsi="宋体"/>
          <w:szCs w:val="21"/>
          <w:lang w:val="en-US" w:eastAsia="zh-CN"/>
        </w:rPr>
        <w:t>累计进度款支付至合同价款的80%时，停止支付</w:t>
      </w:r>
      <w:r>
        <w:rPr>
          <w:rFonts w:hint="eastAsia" w:ascii="宋体" w:hAnsi="宋体"/>
          <w:szCs w:val="21"/>
          <w:lang w:val="en-US" w:eastAsia="zh-CN"/>
        </w:rPr>
        <w:t>；</w:t>
      </w:r>
    </w:p>
    <w:p w14:paraId="5E7A738E">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（3）本工程竣工验收合格后安装调试完毕并验收合格、能正常运行交付使用后支付至合同额的90%</w:t>
      </w:r>
      <w:r>
        <w:rPr>
          <w:rFonts w:hint="eastAsia" w:ascii="宋体" w:hAnsi="宋体" w:eastAsia="宋体" w:cs="Times New Roman"/>
          <w:szCs w:val="21"/>
          <w:highlight w:val="none"/>
          <w:lang w:val="en-US" w:eastAsia="zh-CN"/>
        </w:rPr>
        <w:t>；</w:t>
      </w:r>
    </w:p>
    <w:p w14:paraId="3C6BF5BE">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（4）工程竣工复核审计结束后支付至工程审定价的97%，留工程结算审定价的3%作为质保金，待质保期结束无任何质量问题的情况下，一次性无息付清</w:t>
      </w:r>
      <w:r>
        <w:rPr>
          <w:rFonts w:hint="eastAsia" w:ascii="宋体" w:hAnsi="宋体" w:eastAsia="宋体" w:cs="Times New Roman"/>
          <w:szCs w:val="21"/>
          <w:highlight w:val="none"/>
          <w:lang w:val="en-US" w:eastAsia="zh-CN"/>
        </w:rPr>
        <w:t>；</w:t>
      </w:r>
    </w:p>
    <w:p w14:paraId="7D0EA5E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甲方付款前，乙方须提供合同全额、合法增值税专用发票、支付手续、请款函及相关工程档案资料并送达甲方。乙方收到上述材料</w:t>
      </w:r>
      <w:r>
        <w:rPr>
          <w:rFonts w:ascii="宋体" w:hAnsi="宋体"/>
          <w:szCs w:val="21"/>
          <w:highlight w:val="none"/>
          <w:u w:val="single"/>
        </w:rPr>
        <w:t xml:space="preserve"> 5 </w:t>
      </w:r>
      <w:r>
        <w:rPr>
          <w:rFonts w:hint="eastAsia" w:ascii="宋体" w:hAnsi="宋体"/>
          <w:szCs w:val="21"/>
          <w:highlight w:val="none"/>
        </w:rPr>
        <w:t>个工作日内应向乙方付款。</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36238E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41"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41"/>
      <w:r>
        <w:rPr>
          <w:rFonts w:hint="eastAsia" w:ascii="宋体" w:hAnsi="宋体"/>
          <w:szCs w:val="21"/>
          <w:highlight w:val="none"/>
        </w:rPr>
        <w:t>个工作日内向乙方进行同比例支付；</w:t>
      </w:r>
    </w:p>
    <w:p w14:paraId="6F5BD4AE">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2" w:edGrp="everyone"/>
      <w:r>
        <w:rPr>
          <w:rFonts w:hint="eastAsia" w:ascii="宋体" w:hAnsi="宋体"/>
          <w:szCs w:val="21"/>
          <w:highlight w:val="none"/>
          <w:u w:val="single"/>
        </w:rPr>
        <w:t xml:space="preserve"> /  </w:t>
      </w:r>
      <w:permEnd w:id="42"/>
      <w:r>
        <w:rPr>
          <w:rFonts w:hint="eastAsia" w:ascii="宋体" w:hAnsi="宋体"/>
          <w:szCs w:val="21"/>
          <w:highlight w:val="none"/>
        </w:rPr>
        <w:t>。</w:t>
      </w:r>
    </w:p>
    <w:p w14:paraId="0A230611">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3"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3"/>
      <w:r>
        <w:rPr>
          <w:rFonts w:hint="eastAsia" w:ascii="宋体" w:hAnsi="宋体"/>
          <w:szCs w:val="21"/>
        </w:rPr>
        <w:t xml:space="preserve">增值税专用发票 </w:t>
      </w:r>
      <w:permStart w:id="44" w:edGrp="everyone"/>
      <w:r>
        <w:rPr>
          <w:rFonts w:hint="eastAsia" w:ascii="宋体" w:hAnsi="宋体"/>
          <w:szCs w:val="21"/>
        </w:rPr>
        <w:t>□</w:t>
      </w:r>
      <w:permEnd w:id="44"/>
      <w:r>
        <w:rPr>
          <w:rFonts w:hint="eastAsia" w:ascii="宋体" w:hAnsi="宋体"/>
          <w:szCs w:val="21"/>
        </w:rPr>
        <w:t xml:space="preserve">增值税普通发票 </w:t>
      </w:r>
      <w:permStart w:id="45" w:edGrp="everyone"/>
      <w:r>
        <w:rPr>
          <w:rFonts w:hint="eastAsia" w:ascii="宋体" w:hAnsi="宋体"/>
          <w:szCs w:val="21"/>
        </w:rPr>
        <w:t>□</w:t>
      </w:r>
      <w:permEnd w:id="45"/>
      <w:r>
        <w:rPr>
          <w:rFonts w:hint="eastAsia" w:ascii="宋体" w:hAnsi="宋体"/>
          <w:szCs w:val="21"/>
        </w:rPr>
        <w:t>其他类型发票给甲方，付款时间以甲方收到乙方开据发票原件后算起。</w:t>
      </w:r>
    </w:p>
    <w:p w14:paraId="441C10A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5E5DBA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1CC728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092889C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12065CE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369099E8">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5EBCB025">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467D4FD">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10CED90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5D41EF4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0AA6DFCC">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6" w:edGrp="everyone"/>
      <w:r>
        <w:rPr>
          <w:rFonts w:hint="eastAsia" w:ascii="宋体" w:hAnsi="宋体"/>
          <w:szCs w:val="21"/>
          <w:u w:val="single"/>
        </w:rPr>
        <w:t xml:space="preserve">  </w:t>
      </w:r>
      <w:permEnd w:id="46"/>
    </w:p>
    <w:p w14:paraId="131D2461">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7" w:edGrp="everyone"/>
      <w:r>
        <w:rPr>
          <w:rFonts w:hint="eastAsia" w:ascii="宋体" w:hAnsi="宋体"/>
          <w:szCs w:val="21"/>
          <w:u w:val="single"/>
        </w:rPr>
        <w:t xml:space="preserve">  </w:t>
      </w:r>
      <w:permEnd w:id="47"/>
    </w:p>
    <w:p w14:paraId="302918B2">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8" w:edGrp="everyone"/>
      <w:r>
        <w:rPr>
          <w:rFonts w:hint="eastAsia" w:ascii="宋体" w:hAnsi="宋体"/>
          <w:szCs w:val="21"/>
          <w:u w:val="single"/>
        </w:rPr>
        <w:t xml:space="preserve">  </w:t>
      </w:r>
      <w:permEnd w:id="48"/>
    </w:p>
    <w:p w14:paraId="4B75854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199C4A26">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2</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72BED073">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4CA933B2">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5ADCD96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5C6A5EF2">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扬州</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182D348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335DD1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7993565">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678228E4">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4F576DA3">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09AEC6B5">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281AE3C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3622FF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0B8CF44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2CADD1F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3BC70A82">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61EF4F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B839479">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6282F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79CE4D1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9ED845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32B9441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5A86709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6E4C7579">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231215C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36C696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1BE67B14">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31C92276">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73E31F1C">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5A30EB99">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C37F898">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256B8F80">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037F28A">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3150EA12">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B65C6A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58F4E6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5571603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6B1424AB">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658F6A3E">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696FA12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490FE8D6">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11E1EA52">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658762FA">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1825E302">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4DBE6FC6">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763AFC19">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65B09A62">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E1E1ECD">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558FE01E">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06D21C6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3F321F4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0F2D7F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10A26C56">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875B5B0">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份，甲方执</w:t>
      </w:r>
      <w:permStart w:id="50"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0"/>
      <w:r>
        <w:rPr>
          <w:rFonts w:hint="eastAsia" w:ascii="宋体" w:hAnsi="宋体" w:cs="宋体"/>
          <w:szCs w:val="21"/>
        </w:rPr>
        <w:t>份，乙方执</w:t>
      </w:r>
      <w:permStart w:id="51"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1"/>
      <w:r>
        <w:rPr>
          <w:rFonts w:hint="eastAsia" w:ascii="宋体" w:hAnsi="宋体" w:cs="宋体"/>
          <w:szCs w:val="21"/>
        </w:rPr>
        <w:t xml:space="preserve">份，每份具有同等法律效力。 </w:t>
      </w:r>
    </w:p>
    <w:p w14:paraId="7E2A85AD">
      <w:pPr>
        <w:adjustRightInd w:val="0"/>
        <w:snapToGrid w:val="0"/>
        <w:spacing w:line="360" w:lineRule="auto"/>
        <w:ind w:firstLine="420" w:firstLineChars="200"/>
        <w:jc w:val="left"/>
        <w:rPr>
          <w:rFonts w:hint="eastAsia" w:ascii="宋体" w:hAnsi="宋体" w:cs="宋体"/>
          <w:szCs w:val="21"/>
        </w:rPr>
      </w:pPr>
    </w:p>
    <w:p w14:paraId="74B5C628">
      <w:pPr>
        <w:adjustRightInd w:val="0"/>
        <w:snapToGrid w:val="0"/>
        <w:spacing w:line="360" w:lineRule="auto"/>
        <w:ind w:firstLine="420" w:firstLineChars="200"/>
        <w:jc w:val="left"/>
        <w:rPr>
          <w:rFonts w:hint="eastAsia" w:ascii="宋体" w:hAnsi="宋体" w:cs="宋体"/>
          <w:szCs w:val="21"/>
        </w:rPr>
      </w:pPr>
    </w:p>
    <w:p w14:paraId="6282B9A4">
      <w:pPr>
        <w:adjustRightInd w:val="0"/>
        <w:snapToGrid w:val="0"/>
        <w:spacing w:line="360" w:lineRule="auto"/>
        <w:ind w:firstLine="420" w:firstLineChars="200"/>
        <w:jc w:val="left"/>
        <w:rPr>
          <w:rFonts w:hint="eastAsia" w:ascii="宋体" w:hAnsi="宋体" w:cs="宋体"/>
          <w:szCs w:val="21"/>
        </w:rPr>
      </w:pPr>
    </w:p>
    <w:p w14:paraId="1E0342C6">
      <w:pPr>
        <w:adjustRightInd w:val="0"/>
        <w:snapToGrid w:val="0"/>
        <w:spacing w:line="360" w:lineRule="auto"/>
        <w:ind w:firstLine="420" w:firstLineChars="200"/>
        <w:jc w:val="left"/>
        <w:rPr>
          <w:rFonts w:hint="eastAsia" w:ascii="宋体" w:hAnsi="宋体" w:cs="宋体"/>
          <w:szCs w:val="21"/>
        </w:rPr>
      </w:pPr>
    </w:p>
    <w:p w14:paraId="5213D76B">
      <w:pPr>
        <w:adjustRightInd w:val="0"/>
        <w:snapToGrid w:val="0"/>
        <w:spacing w:line="360" w:lineRule="auto"/>
        <w:ind w:firstLine="420" w:firstLineChars="200"/>
        <w:jc w:val="left"/>
        <w:rPr>
          <w:rFonts w:hint="eastAsia" w:ascii="宋体" w:hAnsi="宋体" w:cs="宋体"/>
          <w:szCs w:val="21"/>
        </w:rPr>
      </w:pPr>
    </w:p>
    <w:p w14:paraId="5DD1D5E2">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E8B88FC">
        <w:tblPrEx>
          <w:tblCellMar>
            <w:top w:w="0" w:type="dxa"/>
            <w:left w:w="108" w:type="dxa"/>
            <w:bottom w:w="0" w:type="dxa"/>
            <w:right w:w="108" w:type="dxa"/>
          </w:tblCellMar>
        </w:tblPrEx>
        <w:trPr>
          <w:trHeight w:val="567" w:hRule="atLeast"/>
        </w:trPr>
        <w:tc>
          <w:tcPr>
            <w:tcW w:w="1234" w:type="dxa"/>
            <w:noWrap w:val="0"/>
            <w:vAlign w:val="top"/>
          </w:tcPr>
          <w:p w14:paraId="14DDFFAB">
            <w:pPr>
              <w:pStyle w:val="8"/>
              <w:adjustRightInd w:val="0"/>
              <w:snapToGrid w:val="0"/>
              <w:rPr>
                <w:rFonts w:hint="eastAsia"/>
                <w:sz w:val="21"/>
                <w:szCs w:val="21"/>
              </w:rPr>
            </w:pPr>
            <w:permStart w:id="52" w:edGrp="everyone" w:colFirst="3" w:colLast="3"/>
            <w:permStart w:id="53" w:edGrp="everyone" w:colFirst="4" w:colLast="4"/>
            <w:r>
              <w:rPr>
                <w:rFonts w:hint="eastAsia"/>
                <w:sz w:val="21"/>
                <w:szCs w:val="21"/>
              </w:rPr>
              <w:t>甲方名称：</w:t>
            </w:r>
          </w:p>
        </w:tc>
        <w:tc>
          <w:tcPr>
            <w:tcW w:w="3180" w:type="dxa"/>
            <w:noWrap w:val="0"/>
            <w:vAlign w:val="top"/>
          </w:tcPr>
          <w:p w14:paraId="65D5296B">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0E8BE53">
            <w:pPr>
              <w:pStyle w:val="8"/>
              <w:adjustRightInd w:val="0"/>
              <w:snapToGrid w:val="0"/>
              <w:rPr>
                <w:rFonts w:hint="eastAsia"/>
                <w:sz w:val="21"/>
                <w:szCs w:val="21"/>
              </w:rPr>
            </w:pPr>
          </w:p>
        </w:tc>
        <w:tc>
          <w:tcPr>
            <w:tcW w:w="1545" w:type="dxa"/>
            <w:noWrap w:val="0"/>
            <w:vAlign w:val="top"/>
          </w:tcPr>
          <w:p w14:paraId="68F25740">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476D9252">
            <w:pPr>
              <w:pStyle w:val="8"/>
              <w:adjustRightInd w:val="0"/>
              <w:snapToGrid w:val="0"/>
              <w:rPr>
                <w:rFonts w:hint="eastAsia"/>
                <w:sz w:val="21"/>
                <w:szCs w:val="21"/>
              </w:rPr>
            </w:pPr>
          </w:p>
        </w:tc>
      </w:tr>
      <w:permEnd w:id="52"/>
      <w:permEnd w:id="53"/>
      <w:tr w14:paraId="5BFB7436">
        <w:tblPrEx>
          <w:tblCellMar>
            <w:top w:w="0" w:type="dxa"/>
            <w:left w:w="108" w:type="dxa"/>
            <w:bottom w:w="0" w:type="dxa"/>
            <w:right w:w="108" w:type="dxa"/>
          </w:tblCellMar>
        </w:tblPrEx>
        <w:trPr>
          <w:trHeight w:val="567" w:hRule="atLeast"/>
        </w:trPr>
        <w:tc>
          <w:tcPr>
            <w:tcW w:w="1234" w:type="dxa"/>
            <w:noWrap w:val="0"/>
            <w:vAlign w:val="top"/>
          </w:tcPr>
          <w:p w14:paraId="11DD51CE">
            <w:pPr>
              <w:pStyle w:val="8"/>
              <w:adjustRightInd w:val="0"/>
              <w:snapToGrid w:val="0"/>
              <w:rPr>
                <w:rFonts w:hint="eastAsia"/>
                <w:sz w:val="21"/>
                <w:szCs w:val="21"/>
              </w:rPr>
            </w:pPr>
            <w:permStart w:id="54" w:edGrp="everyone" w:colFirst="3" w:colLast="3"/>
            <w:permStart w:id="55" w:edGrp="everyone" w:colFirst="4" w:colLast="4"/>
          </w:p>
        </w:tc>
        <w:tc>
          <w:tcPr>
            <w:tcW w:w="3180" w:type="dxa"/>
            <w:noWrap w:val="0"/>
            <w:vAlign w:val="top"/>
          </w:tcPr>
          <w:p w14:paraId="136AACFE">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4CB2552D">
            <w:pPr>
              <w:pStyle w:val="8"/>
              <w:adjustRightInd w:val="0"/>
              <w:snapToGrid w:val="0"/>
              <w:rPr>
                <w:rFonts w:hint="eastAsia"/>
                <w:sz w:val="21"/>
                <w:szCs w:val="21"/>
              </w:rPr>
            </w:pPr>
          </w:p>
        </w:tc>
        <w:tc>
          <w:tcPr>
            <w:tcW w:w="1545" w:type="dxa"/>
            <w:noWrap w:val="0"/>
            <w:vAlign w:val="top"/>
          </w:tcPr>
          <w:p w14:paraId="18447587">
            <w:pPr>
              <w:pStyle w:val="8"/>
              <w:adjustRightInd w:val="0"/>
              <w:snapToGrid w:val="0"/>
              <w:rPr>
                <w:rFonts w:hint="eastAsia"/>
                <w:sz w:val="21"/>
                <w:szCs w:val="21"/>
              </w:rPr>
            </w:pPr>
          </w:p>
        </w:tc>
        <w:tc>
          <w:tcPr>
            <w:tcW w:w="2865" w:type="dxa"/>
            <w:noWrap w:val="0"/>
            <w:vAlign w:val="top"/>
          </w:tcPr>
          <w:p w14:paraId="47EC4048">
            <w:pPr>
              <w:pStyle w:val="8"/>
              <w:adjustRightInd w:val="0"/>
              <w:snapToGrid w:val="0"/>
              <w:jc w:val="center"/>
              <w:rPr>
                <w:rFonts w:hint="eastAsia"/>
                <w:sz w:val="21"/>
                <w:szCs w:val="21"/>
              </w:rPr>
            </w:pPr>
            <w:r>
              <w:rPr>
                <w:rFonts w:hint="eastAsia"/>
                <w:sz w:val="21"/>
                <w:szCs w:val="21"/>
              </w:rPr>
              <w:t>（签章）</w:t>
            </w:r>
          </w:p>
        </w:tc>
      </w:tr>
      <w:permEnd w:id="54"/>
      <w:permEnd w:id="55"/>
      <w:tr w14:paraId="1D799DCE">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0A39C615">
            <w:pPr>
              <w:pStyle w:val="8"/>
              <w:adjustRightInd w:val="0"/>
              <w:snapToGrid w:val="0"/>
              <w:rPr>
                <w:rFonts w:hint="eastAsia"/>
                <w:sz w:val="21"/>
                <w:szCs w:val="21"/>
              </w:rPr>
            </w:pPr>
            <w:permStart w:id="56" w:edGrp="everyone"/>
            <w:permStart w:id="57" w:edGrp="everyone" w:colFirst="2" w:colLast="2"/>
            <w:r>
              <w:rPr>
                <w:rFonts w:hint="eastAsia"/>
                <w:sz w:val="21"/>
                <w:szCs w:val="21"/>
              </w:rPr>
              <w:t>法定代表/授权代表：（签字或盖章）</w:t>
            </w:r>
          </w:p>
          <w:permEnd w:id="56"/>
          <w:p w14:paraId="56CF4F5A">
            <w:pPr>
              <w:pStyle w:val="8"/>
              <w:adjustRightInd w:val="0"/>
              <w:snapToGrid w:val="0"/>
              <w:rPr>
                <w:rFonts w:hint="eastAsia"/>
                <w:sz w:val="21"/>
                <w:szCs w:val="21"/>
              </w:rPr>
            </w:pPr>
          </w:p>
        </w:tc>
        <w:tc>
          <w:tcPr>
            <w:tcW w:w="705" w:type="dxa"/>
            <w:noWrap w:val="0"/>
            <w:vAlign w:val="top"/>
          </w:tcPr>
          <w:p w14:paraId="32874995">
            <w:pPr>
              <w:pStyle w:val="8"/>
              <w:adjustRightInd w:val="0"/>
              <w:snapToGrid w:val="0"/>
              <w:rPr>
                <w:rFonts w:hint="eastAsia"/>
                <w:sz w:val="21"/>
                <w:szCs w:val="21"/>
              </w:rPr>
            </w:pPr>
          </w:p>
        </w:tc>
        <w:tc>
          <w:tcPr>
            <w:tcW w:w="4410" w:type="dxa"/>
            <w:gridSpan w:val="2"/>
            <w:vMerge w:val="restart"/>
            <w:noWrap w:val="0"/>
            <w:vAlign w:val="top"/>
          </w:tcPr>
          <w:p w14:paraId="3AD6664A">
            <w:pPr>
              <w:pStyle w:val="8"/>
              <w:adjustRightInd w:val="0"/>
              <w:snapToGrid w:val="0"/>
              <w:rPr>
                <w:rFonts w:hint="eastAsia"/>
                <w:sz w:val="21"/>
                <w:szCs w:val="21"/>
              </w:rPr>
            </w:pPr>
            <w:r>
              <w:rPr>
                <w:rFonts w:hint="eastAsia"/>
                <w:sz w:val="21"/>
                <w:szCs w:val="21"/>
              </w:rPr>
              <w:t>法定代表/授权代表：（签字或盖章）</w:t>
            </w:r>
          </w:p>
        </w:tc>
      </w:tr>
      <w:permEnd w:id="57"/>
      <w:tr w14:paraId="2F5209A3">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53F9ADEB">
            <w:pPr>
              <w:pStyle w:val="8"/>
              <w:adjustRightInd w:val="0"/>
              <w:snapToGrid w:val="0"/>
              <w:rPr>
                <w:rFonts w:hint="eastAsia"/>
                <w:sz w:val="21"/>
                <w:szCs w:val="21"/>
              </w:rPr>
            </w:pPr>
            <w:permStart w:id="58" w:edGrp="everyone" w:colFirst="2" w:colLast="2"/>
          </w:p>
        </w:tc>
        <w:tc>
          <w:tcPr>
            <w:tcW w:w="705" w:type="dxa"/>
            <w:noWrap w:val="0"/>
            <w:vAlign w:val="top"/>
          </w:tcPr>
          <w:p w14:paraId="3620B0C8">
            <w:pPr>
              <w:pStyle w:val="8"/>
              <w:adjustRightInd w:val="0"/>
              <w:snapToGrid w:val="0"/>
              <w:rPr>
                <w:rFonts w:hint="eastAsia"/>
                <w:sz w:val="21"/>
                <w:szCs w:val="21"/>
              </w:rPr>
            </w:pPr>
          </w:p>
        </w:tc>
        <w:tc>
          <w:tcPr>
            <w:tcW w:w="4410" w:type="dxa"/>
            <w:gridSpan w:val="2"/>
            <w:vMerge w:val="continue"/>
            <w:noWrap w:val="0"/>
            <w:vAlign w:val="top"/>
          </w:tcPr>
          <w:p w14:paraId="536EDCF8">
            <w:pPr>
              <w:pStyle w:val="8"/>
              <w:adjustRightInd w:val="0"/>
              <w:snapToGrid w:val="0"/>
              <w:rPr>
                <w:rFonts w:hint="eastAsia"/>
                <w:sz w:val="21"/>
                <w:szCs w:val="21"/>
              </w:rPr>
            </w:pPr>
          </w:p>
        </w:tc>
      </w:tr>
      <w:permEnd w:id="58"/>
      <w:tr w14:paraId="2B9103BC">
        <w:tblPrEx>
          <w:tblCellMar>
            <w:top w:w="0" w:type="dxa"/>
            <w:left w:w="108" w:type="dxa"/>
            <w:bottom w:w="0" w:type="dxa"/>
            <w:right w:w="108" w:type="dxa"/>
          </w:tblCellMar>
        </w:tblPrEx>
        <w:trPr>
          <w:trHeight w:val="567" w:hRule="atLeast"/>
        </w:trPr>
        <w:tc>
          <w:tcPr>
            <w:tcW w:w="4414" w:type="dxa"/>
            <w:gridSpan w:val="2"/>
            <w:noWrap w:val="0"/>
            <w:vAlign w:val="top"/>
          </w:tcPr>
          <w:p w14:paraId="04AC4ACF">
            <w:pPr>
              <w:pStyle w:val="8"/>
              <w:adjustRightInd w:val="0"/>
              <w:snapToGrid w:val="0"/>
              <w:rPr>
                <w:rFonts w:hint="eastAsia"/>
                <w:sz w:val="21"/>
                <w:szCs w:val="21"/>
              </w:rPr>
            </w:pPr>
            <w:permStart w:id="59" w:edGrp="everyone" w:colFirst="2" w:colLast="2"/>
            <w:permStart w:id="60" w:edGrp="everyone" w:colFirst="3" w:colLast="3"/>
            <w:r>
              <w:rPr>
                <w:rFonts w:hint="eastAsia"/>
                <w:sz w:val="21"/>
                <w:szCs w:val="21"/>
              </w:rPr>
              <w:t>纳税人识别号：913200007140930345</w:t>
            </w:r>
          </w:p>
        </w:tc>
        <w:tc>
          <w:tcPr>
            <w:tcW w:w="705" w:type="dxa"/>
            <w:noWrap w:val="0"/>
            <w:vAlign w:val="top"/>
          </w:tcPr>
          <w:p w14:paraId="5B7C2142">
            <w:pPr>
              <w:pStyle w:val="8"/>
              <w:adjustRightInd w:val="0"/>
              <w:snapToGrid w:val="0"/>
              <w:rPr>
                <w:rFonts w:hint="eastAsia"/>
                <w:sz w:val="21"/>
                <w:szCs w:val="21"/>
              </w:rPr>
            </w:pPr>
          </w:p>
        </w:tc>
        <w:tc>
          <w:tcPr>
            <w:tcW w:w="1545" w:type="dxa"/>
            <w:noWrap w:val="0"/>
            <w:vAlign w:val="top"/>
          </w:tcPr>
          <w:p w14:paraId="18EBE9B5">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62A0DB8F">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9"/>
      <w:permEnd w:id="60"/>
      <w:tr w14:paraId="1EA7DE6D">
        <w:tblPrEx>
          <w:tblCellMar>
            <w:top w:w="0" w:type="dxa"/>
            <w:left w:w="108" w:type="dxa"/>
            <w:bottom w:w="0" w:type="dxa"/>
            <w:right w:w="108" w:type="dxa"/>
          </w:tblCellMar>
        </w:tblPrEx>
        <w:trPr>
          <w:trHeight w:val="1134" w:hRule="atLeast"/>
        </w:trPr>
        <w:tc>
          <w:tcPr>
            <w:tcW w:w="1234" w:type="dxa"/>
            <w:noWrap w:val="0"/>
            <w:vAlign w:val="top"/>
          </w:tcPr>
          <w:p w14:paraId="67EF7760">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甲方地址：</w:t>
            </w:r>
          </w:p>
        </w:tc>
        <w:tc>
          <w:tcPr>
            <w:tcW w:w="3180" w:type="dxa"/>
            <w:noWrap w:val="0"/>
            <w:vAlign w:val="top"/>
          </w:tcPr>
          <w:p w14:paraId="67B6453B">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767E93FA">
            <w:pPr>
              <w:pStyle w:val="8"/>
              <w:adjustRightInd w:val="0"/>
              <w:snapToGrid w:val="0"/>
              <w:rPr>
                <w:rFonts w:hint="eastAsia"/>
                <w:sz w:val="21"/>
                <w:szCs w:val="21"/>
              </w:rPr>
            </w:pPr>
          </w:p>
        </w:tc>
        <w:tc>
          <w:tcPr>
            <w:tcW w:w="1545" w:type="dxa"/>
            <w:noWrap w:val="0"/>
            <w:vAlign w:val="top"/>
          </w:tcPr>
          <w:p w14:paraId="1DE508FE">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261157FF">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61"/>
      <w:permEnd w:id="62"/>
      <w:tr w14:paraId="0D8EF20B">
        <w:tblPrEx>
          <w:tblCellMar>
            <w:top w:w="0" w:type="dxa"/>
            <w:left w:w="108" w:type="dxa"/>
            <w:bottom w:w="0" w:type="dxa"/>
            <w:right w:w="108" w:type="dxa"/>
          </w:tblCellMar>
        </w:tblPrEx>
        <w:trPr>
          <w:trHeight w:val="567" w:hRule="atLeast"/>
        </w:trPr>
        <w:tc>
          <w:tcPr>
            <w:tcW w:w="1234" w:type="dxa"/>
            <w:noWrap w:val="0"/>
            <w:vAlign w:val="top"/>
          </w:tcPr>
          <w:p w14:paraId="55677DD8">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开户银行：</w:t>
            </w:r>
          </w:p>
        </w:tc>
        <w:tc>
          <w:tcPr>
            <w:tcW w:w="3180" w:type="dxa"/>
            <w:noWrap w:val="0"/>
            <w:vAlign w:val="top"/>
          </w:tcPr>
          <w:p w14:paraId="45B5B2B1">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349DCEEA">
            <w:pPr>
              <w:pStyle w:val="8"/>
              <w:adjustRightInd w:val="0"/>
              <w:snapToGrid w:val="0"/>
              <w:rPr>
                <w:rFonts w:hint="eastAsia"/>
                <w:sz w:val="21"/>
                <w:szCs w:val="21"/>
              </w:rPr>
            </w:pPr>
          </w:p>
        </w:tc>
        <w:tc>
          <w:tcPr>
            <w:tcW w:w="1545" w:type="dxa"/>
            <w:noWrap w:val="0"/>
            <w:vAlign w:val="top"/>
          </w:tcPr>
          <w:p w14:paraId="5B61DCF6">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09BE9042">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2B548A8D">
        <w:tblPrEx>
          <w:tblCellMar>
            <w:top w:w="0" w:type="dxa"/>
            <w:left w:w="108" w:type="dxa"/>
            <w:bottom w:w="0" w:type="dxa"/>
            <w:right w:w="108" w:type="dxa"/>
          </w:tblCellMar>
        </w:tblPrEx>
        <w:trPr>
          <w:trHeight w:val="567" w:hRule="atLeast"/>
        </w:trPr>
        <w:tc>
          <w:tcPr>
            <w:tcW w:w="1234" w:type="dxa"/>
            <w:noWrap w:val="0"/>
            <w:vAlign w:val="top"/>
          </w:tcPr>
          <w:p w14:paraId="1C1D441B">
            <w:pPr>
              <w:pStyle w:val="8"/>
              <w:adjustRightInd w:val="0"/>
              <w:snapToGrid w:val="0"/>
              <w:rPr>
                <w:rFonts w:hint="eastAsia"/>
                <w:sz w:val="21"/>
                <w:szCs w:val="21"/>
              </w:rPr>
            </w:pPr>
            <w:permStart w:id="65" w:edGrp="everyone" w:colFirst="3" w:colLast="3"/>
            <w:permStart w:id="66" w:edGrp="everyone" w:colFirst="4" w:colLast="4"/>
            <w:r>
              <w:rPr>
                <w:rFonts w:hint="eastAsia"/>
                <w:sz w:val="21"/>
                <w:szCs w:val="21"/>
              </w:rPr>
              <w:t>账    号：</w:t>
            </w:r>
          </w:p>
        </w:tc>
        <w:tc>
          <w:tcPr>
            <w:tcW w:w="3180" w:type="dxa"/>
            <w:noWrap w:val="0"/>
            <w:vAlign w:val="top"/>
          </w:tcPr>
          <w:p w14:paraId="64A18FE2">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35EC4AA9">
            <w:pPr>
              <w:pStyle w:val="8"/>
              <w:adjustRightInd w:val="0"/>
              <w:snapToGrid w:val="0"/>
              <w:rPr>
                <w:rFonts w:hint="eastAsia"/>
                <w:sz w:val="21"/>
                <w:szCs w:val="21"/>
              </w:rPr>
            </w:pPr>
          </w:p>
        </w:tc>
        <w:tc>
          <w:tcPr>
            <w:tcW w:w="1545" w:type="dxa"/>
            <w:noWrap w:val="0"/>
            <w:vAlign w:val="top"/>
          </w:tcPr>
          <w:p w14:paraId="2172430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2723D446">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tr w14:paraId="339DFCF1">
        <w:tblPrEx>
          <w:tblCellMar>
            <w:top w:w="0" w:type="dxa"/>
            <w:left w:w="108" w:type="dxa"/>
            <w:bottom w:w="0" w:type="dxa"/>
            <w:right w:w="108" w:type="dxa"/>
          </w:tblCellMar>
        </w:tblPrEx>
        <w:trPr>
          <w:trHeight w:val="567" w:hRule="atLeast"/>
        </w:trPr>
        <w:tc>
          <w:tcPr>
            <w:tcW w:w="1234" w:type="dxa"/>
            <w:noWrap w:val="0"/>
            <w:vAlign w:val="top"/>
          </w:tcPr>
          <w:p w14:paraId="7E0EA165">
            <w:pPr>
              <w:pStyle w:val="8"/>
              <w:adjustRightInd w:val="0"/>
              <w:snapToGrid w:val="0"/>
              <w:rPr>
                <w:rFonts w:hint="eastAsia"/>
                <w:sz w:val="21"/>
                <w:szCs w:val="21"/>
              </w:rPr>
            </w:pPr>
            <w:permStart w:id="67" w:edGrp="everyone" w:colFirst="1" w:colLast="1"/>
            <w:permStart w:id="68" w:edGrp="everyone" w:colFirst="3" w:colLast="3"/>
            <w:permStart w:id="69" w:edGrp="everyone" w:colFirst="4" w:colLast="4"/>
            <w:r>
              <w:rPr>
                <w:rFonts w:hint="eastAsia"/>
                <w:sz w:val="21"/>
                <w:szCs w:val="21"/>
              </w:rPr>
              <w:t>电    话：</w:t>
            </w:r>
          </w:p>
        </w:tc>
        <w:tc>
          <w:tcPr>
            <w:tcW w:w="3180" w:type="dxa"/>
            <w:noWrap w:val="0"/>
            <w:vAlign w:val="top"/>
          </w:tcPr>
          <w:p w14:paraId="722DFCB0">
            <w:pPr>
              <w:pStyle w:val="8"/>
              <w:adjustRightInd w:val="0"/>
              <w:snapToGrid w:val="0"/>
              <w:rPr>
                <w:sz w:val="21"/>
                <w:szCs w:val="21"/>
              </w:rPr>
            </w:pPr>
            <w:r>
              <w:rPr>
                <w:rFonts w:hint="eastAsia"/>
                <w:sz w:val="21"/>
                <w:szCs w:val="21"/>
              </w:rPr>
              <w:t>025-69820630</w:t>
            </w:r>
          </w:p>
        </w:tc>
        <w:tc>
          <w:tcPr>
            <w:tcW w:w="705" w:type="dxa"/>
            <w:noWrap w:val="0"/>
            <w:vAlign w:val="top"/>
          </w:tcPr>
          <w:p w14:paraId="0DD73B87">
            <w:pPr>
              <w:pStyle w:val="8"/>
              <w:adjustRightInd w:val="0"/>
              <w:snapToGrid w:val="0"/>
              <w:rPr>
                <w:rFonts w:hint="eastAsia"/>
                <w:sz w:val="21"/>
                <w:szCs w:val="21"/>
              </w:rPr>
            </w:pPr>
          </w:p>
        </w:tc>
        <w:tc>
          <w:tcPr>
            <w:tcW w:w="1545" w:type="dxa"/>
            <w:noWrap w:val="0"/>
            <w:vAlign w:val="top"/>
          </w:tcPr>
          <w:p w14:paraId="1D12397B">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5D2C8C6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7"/>
      <w:permEnd w:id="68"/>
      <w:permEnd w:id="69"/>
      <w:tr w14:paraId="18862CD9">
        <w:tblPrEx>
          <w:tblCellMar>
            <w:top w:w="0" w:type="dxa"/>
            <w:left w:w="108" w:type="dxa"/>
            <w:bottom w:w="0" w:type="dxa"/>
            <w:right w:w="108" w:type="dxa"/>
          </w:tblCellMar>
        </w:tblPrEx>
        <w:trPr>
          <w:trHeight w:val="567" w:hRule="atLeast"/>
        </w:trPr>
        <w:tc>
          <w:tcPr>
            <w:tcW w:w="1234" w:type="dxa"/>
            <w:noWrap w:val="0"/>
            <w:vAlign w:val="top"/>
          </w:tcPr>
          <w:p w14:paraId="34AD9ED5">
            <w:pPr>
              <w:pStyle w:val="8"/>
              <w:adjustRightInd w:val="0"/>
              <w:snapToGrid w:val="0"/>
              <w:rPr>
                <w:rFonts w:hint="eastAsia"/>
                <w:sz w:val="21"/>
                <w:szCs w:val="21"/>
              </w:rPr>
            </w:pPr>
            <w:permStart w:id="70" w:edGrp="everyone" w:colFirst="1" w:colLast="1"/>
            <w:permStart w:id="71" w:edGrp="everyone" w:colFirst="3" w:colLast="3"/>
            <w:permStart w:id="72" w:edGrp="everyone" w:colFirst="4" w:colLast="4"/>
            <w:r>
              <w:rPr>
                <w:rFonts w:hint="eastAsia"/>
                <w:sz w:val="21"/>
                <w:szCs w:val="21"/>
              </w:rPr>
              <w:t>传    真：</w:t>
            </w:r>
          </w:p>
        </w:tc>
        <w:tc>
          <w:tcPr>
            <w:tcW w:w="3180" w:type="dxa"/>
            <w:noWrap w:val="0"/>
            <w:vAlign w:val="top"/>
          </w:tcPr>
          <w:p w14:paraId="57CE5B8E">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0D229BF7">
            <w:pPr>
              <w:pStyle w:val="8"/>
              <w:adjustRightInd w:val="0"/>
              <w:snapToGrid w:val="0"/>
              <w:rPr>
                <w:rFonts w:hint="eastAsia"/>
                <w:sz w:val="21"/>
                <w:szCs w:val="21"/>
              </w:rPr>
            </w:pPr>
          </w:p>
        </w:tc>
        <w:tc>
          <w:tcPr>
            <w:tcW w:w="1545" w:type="dxa"/>
            <w:noWrap w:val="0"/>
            <w:vAlign w:val="top"/>
          </w:tcPr>
          <w:p w14:paraId="5A01219F">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25097D98">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70"/>
      <w:permEnd w:id="71"/>
      <w:permEnd w:id="72"/>
      <w:tr w14:paraId="768FB9AA">
        <w:tblPrEx>
          <w:tblCellMar>
            <w:top w:w="0" w:type="dxa"/>
            <w:left w:w="108" w:type="dxa"/>
            <w:bottom w:w="0" w:type="dxa"/>
            <w:right w:w="108" w:type="dxa"/>
          </w:tblCellMar>
        </w:tblPrEx>
        <w:trPr>
          <w:trHeight w:val="567" w:hRule="atLeast"/>
        </w:trPr>
        <w:tc>
          <w:tcPr>
            <w:tcW w:w="1234" w:type="dxa"/>
            <w:noWrap w:val="0"/>
            <w:vAlign w:val="top"/>
          </w:tcPr>
          <w:p w14:paraId="770D98FF">
            <w:pPr>
              <w:pStyle w:val="8"/>
              <w:adjustRightInd w:val="0"/>
              <w:snapToGrid w:val="0"/>
              <w:rPr>
                <w:rFonts w:hint="eastAsia"/>
                <w:sz w:val="21"/>
                <w:szCs w:val="21"/>
              </w:rPr>
            </w:pPr>
            <w:permStart w:id="73" w:edGrp="everyone" w:colFirst="1" w:colLast="1"/>
            <w:permStart w:id="74" w:edGrp="everyone" w:colFirst="3" w:colLast="3"/>
            <w:permStart w:id="75" w:edGrp="everyone" w:colFirst="4" w:colLast="4"/>
            <w:r>
              <w:rPr>
                <w:rFonts w:hint="eastAsia"/>
                <w:sz w:val="21"/>
                <w:szCs w:val="21"/>
              </w:rPr>
              <w:t>电子邮箱：</w:t>
            </w:r>
          </w:p>
        </w:tc>
        <w:tc>
          <w:tcPr>
            <w:tcW w:w="3180" w:type="dxa"/>
            <w:noWrap w:val="0"/>
            <w:vAlign w:val="top"/>
          </w:tcPr>
          <w:p w14:paraId="5BE214BB">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1C2FAF0B">
            <w:pPr>
              <w:pStyle w:val="8"/>
              <w:adjustRightInd w:val="0"/>
              <w:snapToGrid w:val="0"/>
              <w:rPr>
                <w:rFonts w:hint="eastAsia"/>
                <w:sz w:val="21"/>
                <w:szCs w:val="21"/>
              </w:rPr>
            </w:pPr>
          </w:p>
        </w:tc>
        <w:tc>
          <w:tcPr>
            <w:tcW w:w="1545" w:type="dxa"/>
            <w:noWrap w:val="0"/>
            <w:vAlign w:val="top"/>
          </w:tcPr>
          <w:p w14:paraId="7395E7B0">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4A37918C">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3"/>
      <w:permEnd w:id="74"/>
      <w:permEnd w:id="75"/>
      <w:tr w14:paraId="6BE0E7F4">
        <w:tblPrEx>
          <w:tblCellMar>
            <w:top w:w="0" w:type="dxa"/>
            <w:left w:w="108" w:type="dxa"/>
            <w:bottom w:w="0" w:type="dxa"/>
            <w:right w:w="108" w:type="dxa"/>
          </w:tblCellMar>
        </w:tblPrEx>
        <w:trPr>
          <w:trHeight w:val="567" w:hRule="atLeast"/>
        </w:trPr>
        <w:tc>
          <w:tcPr>
            <w:tcW w:w="4414" w:type="dxa"/>
            <w:gridSpan w:val="2"/>
            <w:noWrap w:val="0"/>
            <w:vAlign w:val="top"/>
          </w:tcPr>
          <w:p w14:paraId="37D23A08">
            <w:pPr>
              <w:pStyle w:val="8"/>
              <w:adjustRightInd w:val="0"/>
              <w:snapToGrid w:val="0"/>
              <w:jc w:val="right"/>
              <w:rPr>
                <w:rFonts w:hint="eastAsia"/>
                <w:sz w:val="21"/>
                <w:szCs w:val="21"/>
              </w:rPr>
            </w:pPr>
            <w:permStart w:id="76" w:edGrp="everyone"/>
            <w:r>
              <w:rPr>
                <w:rFonts w:hint="eastAsia"/>
                <w:sz w:val="21"/>
                <w:szCs w:val="21"/>
              </w:rPr>
              <w:t xml:space="preserve">年    月 </w:t>
            </w:r>
            <w:r>
              <w:rPr>
                <w:sz w:val="21"/>
                <w:szCs w:val="21"/>
              </w:rPr>
              <w:t xml:space="preserve"> </w:t>
            </w:r>
            <w:r>
              <w:rPr>
                <w:rFonts w:hint="eastAsia"/>
                <w:sz w:val="21"/>
                <w:szCs w:val="21"/>
              </w:rPr>
              <w:t xml:space="preserve">  日</w:t>
            </w:r>
            <w:permEnd w:id="76"/>
          </w:p>
        </w:tc>
        <w:tc>
          <w:tcPr>
            <w:tcW w:w="705" w:type="dxa"/>
            <w:noWrap w:val="0"/>
            <w:vAlign w:val="top"/>
          </w:tcPr>
          <w:p w14:paraId="424CACD1">
            <w:pPr>
              <w:pStyle w:val="8"/>
              <w:adjustRightInd w:val="0"/>
              <w:snapToGrid w:val="0"/>
              <w:rPr>
                <w:rFonts w:hint="eastAsia"/>
                <w:sz w:val="21"/>
                <w:szCs w:val="21"/>
              </w:rPr>
            </w:pPr>
          </w:p>
        </w:tc>
        <w:tc>
          <w:tcPr>
            <w:tcW w:w="4410" w:type="dxa"/>
            <w:gridSpan w:val="2"/>
            <w:noWrap w:val="0"/>
            <w:vAlign w:val="top"/>
          </w:tcPr>
          <w:p w14:paraId="3720F517">
            <w:pPr>
              <w:pStyle w:val="8"/>
              <w:adjustRightInd w:val="0"/>
              <w:snapToGrid w:val="0"/>
              <w:jc w:val="right"/>
              <w:rPr>
                <w:rFonts w:hint="eastAsia"/>
                <w:sz w:val="21"/>
                <w:szCs w:val="21"/>
              </w:rPr>
            </w:pPr>
            <w:permStart w:id="77" w:edGrp="everyone"/>
            <w:r>
              <w:rPr>
                <w:rFonts w:hint="eastAsia"/>
                <w:sz w:val="21"/>
                <w:szCs w:val="21"/>
              </w:rPr>
              <w:t xml:space="preserve">年    月 </w:t>
            </w:r>
            <w:r>
              <w:rPr>
                <w:sz w:val="21"/>
                <w:szCs w:val="21"/>
              </w:rPr>
              <w:t xml:space="preserve"> </w:t>
            </w:r>
            <w:r>
              <w:rPr>
                <w:rFonts w:hint="eastAsia"/>
                <w:sz w:val="21"/>
                <w:szCs w:val="21"/>
              </w:rPr>
              <w:t xml:space="preserve">  日</w:t>
            </w:r>
            <w:permEnd w:id="77"/>
          </w:p>
        </w:tc>
      </w:tr>
    </w:tbl>
    <w:p w14:paraId="66470221">
      <w:pPr>
        <w:jc w:val="left"/>
      </w:pPr>
    </w:p>
    <w:p w14:paraId="3E9501A7">
      <w:pPr>
        <w:jc w:val="left"/>
      </w:pPr>
    </w:p>
    <w:p w14:paraId="0587B16C">
      <w:pPr>
        <w:jc w:val="left"/>
      </w:pPr>
    </w:p>
    <w:p w14:paraId="06FB4E48">
      <w:pPr>
        <w:jc w:val="left"/>
      </w:pPr>
    </w:p>
    <w:p w14:paraId="49331D8E">
      <w:pPr>
        <w:jc w:val="left"/>
      </w:pPr>
    </w:p>
    <w:p w14:paraId="371E150D">
      <w:pPr>
        <w:jc w:val="left"/>
        <w:rPr>
          <w:rFonts w:hint="default"/>
          <w:lang w:val="en-US" w:eastAsia="zh-CN"/>
        </w:rPr>
      </w:pPr>
    </w:p>
    <w:p w14:paraId="50F4ADEA">
      <w:pPr>
        <w:pStyle w:val="4"/>
        <w:rPr>
          <w:rFonts w:hint="eastAsia"/>
          <w:lang w:val="en-US" w:eastAsia="zh-CN"/>
        </w:rPr>
      </w:pPr>
    </w:p>
    <w:p w14:paraId="3A9E8494">
      <w:pPr>
        <w:rPr>
          <w:rFonts w:hint="eastAsia"/>
          <w:lang w:val="en-US" w:eastAsia="zh-CN"/>
        </w:rPr>
      </w:pPr>
    </w:p>
    <w:sectPr>
      <w:pgSz w:w="11906" w:h="16838"/>
      <w:pgMar w:top="1440" w:right="1519" w:bottom="1440" w:left="129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B179F"/>
    <w:rsid w:val="00FC22FE"/>
    <w:rsid w:val="012944F0"/>
    <w:rsid w:val="014C7CE8"/>
    <w:rsid w:val="01635C49"/>
    <w:rsid w:val="017E696D"/>
    <w:rsid w:val="02145195"/>
    <w:rsid w:val="02301FCF"/>
    <w:rsid w:val="0278078C"/>
    <w:rsid w:val="02E50728"/>
    <w:rsid w:val="076F523A"/>
    <w:rsid w:val="078F69E9"/>
    <w:rsid w:val="08E150F4"/>
    <w:rsid w:val="0AC534D0"/>
    <w:rsid w:val="0ACC0D02"/>
    <w:rsid w:val="0AED4AF2"/>
    <w:rsid w:val="0B41349E"/>
    <w:rsid w:val="0C6A07D3"/>
    <w:rsid w:val="0D1644B7"/>
    <w:rsid w:val="0D7B4129"/>
    <w:rsid w:val="0E5350E3"/>
    <w:rsid w:val="0F5D5730"/>
    <w:rsid w:val="10234F21"/>
    <w:rsid w:val="103575C1"/>
    <w:rsid w:val="115D0906"/>
    <w:rsid w:val="11DA5AB3"/>
    <w:rsid w:val="121F524D"/>
    <w:rsid w:val="134A2256"/>
    <w:rsid w:val="16041350"/>
    <w:rsid w:val="19E03E83"/>
    <w:rsid w:val="19F4374E"/>
    <w:rsid w:val="1A24794A"/>
    <w:rsid w:val="1B28788F"/>
    <w:rsid w:val="1CE4012E"/>
    <w:rsid w:val="1D8138E1"/>
    <w:rsid w:val="1F7A2683"/>
    <w:rsid w:val="20DD321B"/>
    <w:rsid w:val="21C61BB0"/>
    <w:rsid w:val="22243E0C"/>
    <w:rsid w:val="22250FCC"/>
    <w:rsid w:val="230B726D"/>
    <w:rsid w:val="2406098A"/>
    <w:rsid w:val="24AD59F2"/>
    <w:rsid w:val="260C00C4"/>
    <w:rsid w:val="282E28F9"/>
    <w:rsid w:val="28BF2A3E"/>
    <w:rsid w:val="294C2226"/>
    <w:rsid w:val="294C32E2"/>
    <w:rsid w:val="2A316D5D"/>
    <w:rsid w:val="2AE9690F"/>
    <w:rsid w:val="2B9920E3"/>
    <w:rsid w:val="2B9F0C5F"/>
    <w:rsid w:val="2E0B7092"/>
    <w:rsid w:val="2E3210E4"/>
    <w:rsid w:val="2EA6515C"/>
    <w:rsid w:val="2FB120F1"/>
    <w:rsid w:val="30E821AF"/>
    <w:rsid w:val="3104623F"/>
    <w:rsid w:val="322A2FB9"/>
    <w:rsid w:val="32DC0FAC"/>
    <w:rsid w:val="331F412B"/>
    <w:rsid w:val="33E175A0"/>
    <w:rsid w:val="34A92764"/>
    <w:rsid w:val="35851A01"/>
    <w:rsid w:val="365C5659"/>
    <w:rsid w:val="37096EB0"/>
    <w:rsid w:val="370E7563"/>
    <w:rsid w:val="377F0AA2"/>
    <w:rsid w:val="37E6017D"/>
    <w:rsid w:val="37F01A66"/>
    <w:rsid w:val="38133FA2"/>
    <w:rsid w:val="39276F80"/>
    <w:rsid w:val="3A7D6FCD"/>
    <w:rsid w:val="3A971EE4"/>
    <w:rsid w:val="3B060054"/>
    <w:rsid w:val="3B8B3A35"/>
    <w:rsid w:val="3BB93C18"/>
    <w:rsid w:val="3D85630A"/>
    <w:rsid w:val="41B11ADD"/>
    <w:rsid w:val="42880842"/>
    <w:rsid w:val="43B9431B"/>
    <w:rsid w:val="43CC51CD"/>
    <w:rsid w:val="447D2BAF"/>
    <w:rsid w:val="46382D6C"/>
    <w:rsid w:val="46B1043E"/>
    <w:rsid w:val="479436FB"/>
    <w:rsid w:val="48C70BD8"/>
    <w:rsid w:val="49487872"/>
    <w:rsid w:val="499B6B7C"/>
    <w:rsid w:val="4A1143CD"/>
    <w:rsid w:val="4A2D016F"/>
    <w:rsid w:val="4A3D6149"/>
    <w:rsid w:val="4AF41787"/>
    <w:rsid w:val="4BC81014"/>
    <w:rsid w:val="4BF83138"/>
    <w:rsid w:val="4C3346A1"/>
    <w:rsid w:val="4D5819A6"/>
    <w:rsid w:val="4E4640FD"/>
    <w:rsid w:val="50EC0254"/>
    <w:rsid w:val="51AF590D"/>
    <w:rsid w:val="523C2B75"/>
    <w:rsid w:val="5318563C"/>
    <w:rsid w:val="532E1C99"/>
    <w:rsid w:val="53446DA8"/>
    <w:rsid w:val="53CA1C02"/>
    <w:rsid w:val="541E59ED"/>
    <w:rsid w:val="54AD25D8"/>
    <w:rsid w:val="54F90545"/>
    <w:rsid w:val="55D25BB9"/>
    <w:rsid w:val="581311FB"/>
    <w:rsid w:val="58964825"/>
    <w:rsid w:val="5A2E46EA"/>
    <w:rsid w:val="5B512FA9"/>
    <w:rsid w:val="5C626C78"/>
    <w:rsid w:val="5CB343B5"/>
    <w:rsid w:val="5D264449"/>
    <w:rsid w:val="5D27671A"/>
    <w:rsid w:val="5D793204"/>
    <w:rsid w:val="5E1E3CAF"/>
    <w:rsid w:val="5E3653EC"/>
    <w:rsid w:val="5F1A7D59"/>
    <w:rsid w:val="5F421E8D"/>
    <w:rsid w:val="602837E7"/>
    <w:rsid w:val="607664FC"/>
    <w:rsid w:val="60B60EA5"/>
    <w:rsid w:val="60BB5D97"/>
    <w:rsid w:val="614926BE"/>
    <w:rsid w:val="61DC10EB"/>
    <w:rsid w:val="620F53D7"/>
    <w:rsid w:val="640C3B9C"/>
    <w:rsid w:val="64AB30F0"/>
    <w:rsid w:val="656478DF"/>
    <w:rsid w:val="662D5327"/>
    <w:rsid w:val="66D46B5D"/>
    <w:rsid w:val="69792EBA"/>
    <w:rsid w:val="6BE836E6"/>
    <w:rsid w:val="6C6967BA"/>
    <w:rsid w:val="6C6C22EE"/>
    <w:rsid w:val="6C9A3FDC"/>
    <w:rsid w:val="6D480C98"/>
    <w:rsid w:val="6D5E1A98"/>
    <w:rsid w:val="6D9A17B5"/>
    <w:rsid w:val="6E1A1EB5"/>
    <w:rsid w:val="6E1D0C30"/>
    <w:rsid w:val="7121200D"/>
    <w:rsid w:val="71381023"/>
    <w:rsid w:val="721B7E4A"/>
    <w:rsid w:val="72C75245"/>
    <w:rsid w:val="72F76BD8"/>
    <w:rsid w:val="74574432"/>
    <w:rsid w:val="74A82012"/>
    <w:rsid w:val="759568B3"/>
    <w:rsid w:val="78743147"/>
    <w:rsid w:val="797A3F30"/>
    <w:rsid w:val="7C896BD7"/>
    <w:rsid w:val="7C98515D"/>
    <w:rsid w:val="7EB13F5A"/>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1"/>
    <w:unhideWhenUsed/>
    <w:qFormat/>
    <w:uiPriority w:val="0"/>
    <w:pPr>
      <w:ind w:firstLine="420" w:firstLineChars="100"/>
    </w:pPr>
  </w:style>
  <w:style w:type="character" w:customStyle="1" w:styleId="12">
    <w:name w:val="标题 1 字符"/>
    <w:basedOn w:val="11"/>
    <w:link w:val="2"/>
    <w:qFormat/>
    <w:uiPriority w:val="9"/>
    <w:rPr>
      <w:b/>
      <w:bCs/>
      <w:kern w:val="44"/>
      <w:sz w:val="44"/>
      <w:szCs w:val="44"/>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Table Paragraph"/>
    <w:basedOn w:val="1"/>
    <w:qFormat/>
    <w:uiPriority w:val="1"/>
    <w:rPr>
      <w:rFonts w:ascii="宋体" w:hAnsi="宋体" w:eastAsia="宋体" w:cs="宋体"/>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1967</Words>
  <Characters>2081</Characters>
  <Lines>14</Lines>
  <Paragraphs>4</Paragraphs>
  <TotalTime>14</TotalTime>
  <ScaleCrop>false</ScaleCrop>
  <LinksUpToDate>false</LinksUpToDate>
  <CharactersWithSpaces>2396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2025-09-30T05:44:00Z</cp:lastPrinted>
  <dcterms:modified xsi:type="dcterms:W3CDTF">2025-09-30T05:59:09Z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