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购400V开关柜设备一批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118</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200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szCs w:val="21"/>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szCs w:val="21"/>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查询结果截图，“黑名单”栏显示为0条记录，加盖投标人公章。若结果截图显示“查询不到该企业”，视同未被列入严重违法失信企业名单）；</w:t>
      </w:r>
    </w:p>
    <w:p w14:paraId="39502224">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4</w:t>
      </w:r>
      <w:r>
        <w:rPr>
          <w:rFonts w:hint="eastAsia" w:ascii="宋体" w:hAnsi="宋体" w:eastAsia="宋体" w:cs="宋体"/>
          <w:szCs w:val="21"/>
        </w:rPr>
        <w:t>、</w:t>
      </w:r>
      <w:r>
        <w:rPr>
          <w:rFonts w:hint="eastAsia" w:ascii="宋体" w:hAnsi="宋体" w:eastAsia="宋体" w:cs="宋体"/>
          <w:kern w:val="2"/>
          <w:sz w:val="21"/>
          <w:szCs w:val="21"/>
          <w:highlight w:val="none"/>
          <w:lang w:val="en-US" w:eastAsia="zh-CN"/>
        </w:rPr>
        <w:t>提供近一年来公司财务报表或审计报告、人员社保证明和履约承诺函。</w:t>
      </w:r>
    </w:p>
    <w:p w14:paraId="346800CF">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主要品牌原厂授权函和质保书</w:t>
      </w:r>
      <w:r>
        <w:rPr>
          <w:rFonts w:hint="eastAsia" w:ascii="宋体" w:hAnsi="宋体" w:eastAsia="宋体" w:cs="宋体"/>
          <w:color w:val="auto"/>
          <w:kern w:val="2"/>
          <w:sz w:val="21"/>
          <w:szCs w:val="21"/>
          <w:highlight w:val="none"/>
        </w:rPr>
        <w:t>。</w:t>
      </w:r>
    </w:p>
    <w:p w14:paraId="701B71B2">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 xml:space="preserve"> 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淮安机场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21"/>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7</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KG2025-X001-ZB08</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3</w:t>
      </w:r>
      <w:bookmarkStart w:id="71" w:name="_GoBack"/>
      <w:bookmarkEnd w:id="71"/>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4"/>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4"/>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4"/>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4"/>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228CF641">
      <w:pPr>
        <w:numPr>
          <w:ilvl w:val="0"/>
          <w:numId w:val="4"/>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lang w:val="en-US" w:eastAsia="zh-CN"/>
        </w:rPr>
        <w:t>履约承诺书（格式见附件四）</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6、合同模板（格式见附件五）,合同条款中标后由双方协商一致后决定。</w:t>
      </w:r>
    </w:p>
    <w:p w14:paraId="4AED18A8">
      <w:pPr>
        <w:pStyle w:val="15"/>
        <w:ind w:left="0" w:leftChars="0" w:firstLine="0" w:firstLineChars="0"/>
        <w:rPr>
          <w:rFonts w:hint="eastAsia" w:ascii="宋体" w:hAnsi="宋体" w:eastAsia="宋体" w:cs="宋体"/>
          <w:lang w:val="en-US" w:eastAsia="zh-CN"/>
        </w:rPr>
      </w:pPr>
      <w:r>
        <w:rPr>
          <w:rFonts w:hint="eastAsia" w:ascii="宋体" w:hAnsi="宋体" w:eastAsia="宋体" w:cs="宋体"/>
          <w:lang w:val="en-US" w:eastAsia="zh-CN"/>
        </w:rPr>
        <w:t>7、技术参数见附件六</w:t>
      </w: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淮安涟水国际机场航站区改扩建工程110KV变配电工程施工合同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tbl>
      <w:tblPr>
        <w:tblStyle w:val="16"/>
        <w:tblW w:w="14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245"/>
        <w:gridCol w:w="6465"/>
        <w:gridCol w:w="1560"/>
        <w:gridCol w:w="593"/>
        <w:gridCol w:w="566"/>
        <w:gridCol w:w="540"/>
        <w:gridCol w:w="925"/>
        <w:gridCol w:w="807"/>
        <w:gridCol w:w="1251"/>
      </w:tblGrid>
      <w:tr w14:paraId="60E6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49E960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0D8AC6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名称</w:t>
            </w:r>
          </w:p>
        </w:tc>
        <w:tc>
          <w:tcPr>
            <w:tcW w:w="64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CCE2F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0830D7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r>
              <w:rPr>
                <w:rFonts w:hint="eastAsia" w:ascii="宋体" w:hAnsi="宋体" w:eastAsia="宋体" w:cs="宋体"/>
                <w:b/>
                <w:bCs/>
                <w:i w:val="0"/>
                <w:iCs w:val="0"/>
                <w:color w:val="auto"/>
                <w:sz w:val="20"/>
                <w:szCs w:val="20"/>
                <w:u w:val="none"/>
                <w:lang w:val="en-US" w:eastAsia="zh-CN"/>
              </w:rPr>
              <w:t>型号</w:t>
            </w: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058080">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0EBA4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D0964C6">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F48484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单价（元）</w:t>
            </w:r>
          </w:p>
        </w:tc>
        <w:tc>
          <w:tcPr>
            <w:tcW w:w="80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6F4DF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总价（元）</w:t>
            </w:r>
          </w:p>
        </w:tc>
        <w:tc>
          <w:tcPr>
            <w:tcW w:w="125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3A62D2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4FDB2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F3DD03">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1</w:t>
            </w:r>
          </w:p>
        </w:tc>
        <w:tc>
          <w:tcPr>
            <w:tcW w:w="7710" w:type="dxa"/>
            <w:gridSpan w:val="2"/>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35629E9">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rPr>
              <w:t>中心变电站开关柜更换工程</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5478FE51">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5ECBC55">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8B0369">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B58901A">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F057F8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p>
        </w:tc>
        <w:tc>
          <w:tcPr>
            <w:tcW w:w="80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12E351A">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p>
        </w:tc>
        <w:tc>
          <w:tcPr>
            <w:tcW w:w="125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732AFAA">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kern w:val="0"/>
                <w:sz w:val="20"/>
                <w:szCs w:val="20"/>
                <w:u w:val="none"/>
                <w:lang w:val="en-US" w:eastAsia="zh-CN" w:bidi="ar"/>
              </w:rPr>
            </w:pPr>
          </w:p>
        </w:tc>
      </w:tr>
      <w:tr w14:paraId="6BEC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69C00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ABA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400V出线开关柜1-AA08、2-AA08</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8B2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6"/>
                <w:szCs w:val="16"/>
                <w:u w:val="none"/>
                <w:lang w:val="en-US" w:eastAsia="zh-CN" w:bidi="ar"/>
              </w:rPr>
              <w:t>1.名称 400V出线开关柜1-AA08、2-AA08</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 尺寸 900*1000*2200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E2D4">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9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73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98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37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8E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3ACD">
            <w:pPr>
              <w:keepNext w:val="0"/>
              <w:keepLines w:val="0"/>
              <w:widowControl/>
              <w:suppressLineNumbers w:val="0"/>
              <w:jc w:val="left"/>
              <w:textAlignment w:val="center"/>
              <w:rPr>
                <w:rFonts w:hint="eastAsia" w:ascii="宋体" w:hAnsi="宋体" w:eastAsia="宋体" w:cs="宋体"/>
                <w:i w:val="0"/>
                <w:iCs w:val="0"/>
                <w:color w:val="auto"/>
                <w:sz w:val="20"/>
                <w:szCs w:val="20"/>
                <w:u w:val="none"/>
                <w:lang w:val="en-US" w:eastAsia="zh-CN"/>
              </w:rPr>
            </w:pPr>
          </w:p>
        </w:tc>
      </w:tr>
      <w:tr w14:paraId="64980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A947E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BF22">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400V出线开关柜3-AA07、4-AA06</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5C00">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400V出线开关柜3-AA07、4-AA06</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 尺寸 900*1000*2200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56D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222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2F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23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28E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A0B6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864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5F965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1529AEFB">
            <w:pPr>
              <w:keepNext w:val="0"/>
              <w:keepLines w:val="0"/>
              <w:widowControl/>
              <w:suppressLineNumbers w:val="0"/>
              <w:ind w:left="0" w:leftChars="0" w:right="0" w:rightChars="0" w:firstLine="0" w:firstLineChars="0"/>
              <w:jc w:val="center"/>
              <w:textAlignment w:val="center"/>
              <w:rPr>
                <w:rFonts w:hint="eastAsia" w:ascii="宋体" w:hAnsi="宋体" w:eastAsia="宋体" w:cs="宋体"/>
                <w:lang w:val="en-US" w:eastAsia="zh-CN"/>
              </w:rPr>
            </w:pPr>
            <w:r>
              <w:rPr>
                <w:rFonts w:hint="eastAsia" w:ascii="宋体" w:hAnsi="宋体" w:eastAsia="宋体" w:cs="宋体"/>
                <w:lang w:val="en-US" w:eastAsia="zh-CN"/>
              </w:rPr>
              <w:t>4</w:t>
            </w:r>
          </w:p>
        </w:tc>
        <w:tc>
          <w:tcPr>
            <w:tcW w:w="7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3F62D">
            <w:pPr>
              <w:keepNext w:val="0"/>
              <w:keepLines w:val="0"/>
              <w:widowControl/>
              <w:suppressLineNumbers w:val="0"/>
              <w:ind w:left="0" w:leftChars="0" w:right="0" w:rightChars="0" w:firstLine="0" w:firstLineChars="0"/>
              <w:jc w:val="center"/>
              <w:textAlignment w:val="center"/>
              <w:rPr>
                <w:rFonts w:hint="eastAsia" w:ascii="宋体" w:hAnsi="宋体" w:eastAsia="宋体" w:cs="宋体"/>
                <w:lang w:val="en-US" w:eastAsia="zh-CN"/>
              </w:rPr>
            </w:pPr>
            <w:r>
              <w:rPr>
                <w:rFonts w:hint="eastAsia" w:ascii="宋体" w:hAnsi="宋体" w:eastAsia="宋体" w:cs="宋体"/>
                <w:lang w:val="en-US" w:eastAsia="zh-CN"/>
              </w:rPr>
              <w:t>110kV站内两台10kV专变工程</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6DD6">
            <w:pPr>
              <w:keepNext w:val="0"/>
              <w:keepLines w:val="0"/>
              <w:widowControl/>
              <w:suppressLineNumbers w:val="0"/>
              <w:ind w:left="0" w:leftChars="0" w:right="0" w:rightChars="0" w:firstLine="0" w:firstLineChars="0"/>
              <w:jc w:val="center"/>
              <w:textAlignment w:val="center"/>
              <w:rPr>
                <w:rFonts w:hint="eastAsia" w:ascii="宋体" w:hAnsi="宋体" w:eastAsia="宋体" w:cs="宋体"/>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9BBF">
            <w:pPr>
              <w:keepNext w:val="0"/>
              <w:keepLines w:val="0"/>
              <w:widowControl/>
              <w:suppressLineNumbers w:val="0"/>
              <w:ind w:left="0" w:leftChars="0" w:right="0" w:rightChars="0" w:firstLine="0" w:firstLineChars="0"/>
              <w:jc w:val="center"/>
              <w:textAlignment w:val="center"/>
              <w:rPr>
                <w:rFonts w:hint="eastAsia" w:ascii="宋体" w:hAnsi="宋体" w:eastAsia="宋体" w:cs="宋体"/>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3655">
            <w:pPr>
              <w:keepNext w:val="0"/>
              <w:keepLines w:val="0"/>
              <w:widowControl/>
              <w:suppressLineNumbers w:val="0"/>
              <w:ind w:left="0" w:leftChars="0" w:right="0" w:rightChars="0" w:firstLine="0" w:firstLineChars="0"/>
              <w:jc w:val="center"/>
              <w:textAlignment w:val="center"/>
              <w:rPr>
                <w:rFonts w:hint="eastAsia" w:ascii="宋体" w:hAnsi="宋体" w:eastAsia="宋体" w:cs="宋体"/>
                <w:lang w:val="en-US" w:eastAsia="zh-CN"/>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65CE3">
            <w:pPr>
              <w:keepNext w:val="0"/>
              <w:keepLines w:val="0"/>
              <w:widowControl/>
              <w:suppressLineNumbers w:val="0"/>
              <w:ind w:left="0" w:leftChars="0" w:right="0" w:rightChars="0" w:firstLine="0" w:firstLineChars="0"/>
              <w:jc w:val="center"/>
              <w:textAlignment w:val="center"/>
              <w:rPr>
                <w:rFonts w:hint="eastAsia" w:ascii="宋体" w:hAnsi="宋体" w:eastAsia="宋体" w:cs="宋体"/>
                <w:lang w:val="en-US" w:eastAsia="zh-CN"/>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B156">
            <w:pPr>
              <w:keepNext w:val="0"/>
              <w:keepLines w:val="0"/>
              <w:widowControl/>
              <w:suppressLineNumbers w:val="0"/>
              <w:ind w:left="0" w:leftChars="0" w:right="0" w:rightChars="0" w:firstLine="0" w:firstLineChars="0"/>
              <w:jc w:val="center"/>
              <w:textAlignment w:val="center"/>
              <w:rPr>
                <w:rFonts w:hint="eastAsia" w:ascii="宋体" w:hAnsi="宋体" w:eastAsia="宋体" w:cs="宋体"/>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E6DA">
            <w:pPr>
              <w:keepNext w:val="0"/>
              <w:keepLines w:val="0"/>
              <w:widowControl/>
              <w:suppressLineNumbers w:val="0"/>
              <w:ind w:left="0" w:leftChars="0" w:right="0" w:rightChars="0" w:firstLine="0" w:firstLineChars="0"/>
              <w:jc w:val="center"/>
              <w:textAlignment w:val="center"/>
              <w:rPr>
                <w:rFonts w:hint="eastAsia" w:ascii="宋体" w:hAnsi="宋体" w:eastAsia="宋体" w:cs="宋体"/>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7F486">
            <w:pPr>
              <w:keepNext w:val="0"/>
              <w:keepLines w:val="0"/>
              <w:widowControl/>
              <w:suppressLineNumbers w:val="0"/>
              <w:ind w:left="0" w:leftChars="0" w:right="0" w:rightChars="0" w:firstLine="0" w:firstLineChars="0"/>
              <w:jc w:val="center"/>
              <w:textAlignment w:val="center"/>
              <w:rPr>
                <w:rFonts w:hint="eastAsia" w:ascii="宋体" w:hAnsi="宋体" w:eastAsia="宋体" w:cs="宋体"/>
                <w:lang w:val="en-US" w:eastAsia="zh-CN"/>
              </w:rPr>
            </w:pPr>
          </w:p>
        </w:tc>
      </w:tr>
      <w:tr w14:paraId="1E636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93588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B61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400V开关柜1-AA01、2-AA01（进线柜）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9A72">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400V开关柜1-AA01、2-AA01（进线柜）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2.尺寸 800*1000*2200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B0189">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9FF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7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EA9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B6B9B">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93CB">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8E5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1D427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B28D4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0663">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400V开关柜1-AA02、1-AA03、2-AA02、2-AA03（电容补偿柜）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D716">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400V开关柜1-AA02、1-AA03、2-AA02、2-AA03（电容补偿柜）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2.尺寸 1000*1000*2200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95E1F">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C1A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F2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5D7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6DC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81774">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D02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0A36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6B7A4B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3C3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400V开关柜1-AA04~7、2-AA04~7（出线柜）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BE1B1">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400V开关柜1-AA04~7、2-AA04~7（出线柜）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2.尺寸 800*1000*2200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40E2">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989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D6E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F5B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4F05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BE55">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7DE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49A6F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2BC442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9267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400V开关柜AA-L（分段柜）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C0BE">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400V开关柜AA-L（分段柜）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2.尺寸 800*1000*2200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 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3CF0">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1B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254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1C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6F5A">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EE1B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0C4C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77C11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56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17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0EF4">
            <w:pPr>
              <w:ind w:left="0" w:leftChars="0" w:right="0" w:rightChars="0" w:firstLine="0" w:firstLineChars="0"/>
              <w:jc w:val="center"/>
              <w:rPr>
                <w:rFonts w:hint="eastAsia" w:ascii="宋体" w:hAnsi="宋体" w:eastAsia="宋体" w:cs="宋体"/>
                <w:i w:val="0"/>
                <w:iCs w:val="0"/>
                <w:color w:val="auto"/>
                <w:sz w:val="18"/>
                <w:szCs w:val="18"/>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ADE">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EBE2">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51678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4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02399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金额总计(元)</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B934">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85F3">
            <w:pPr>
              <w:ind w:left="0" w:leftChars="0" w:right="0" w:rightChars="0" w:firstLine="0" w:firstLineChars="0"/>
              <w:jc w:val="center"/>
              <w:rPr>
                <w:rFonts w:hint="eastAsia" w:ascii="宋体" w:hAnsi="宋体" w:eastAsia="宋体" w:cs="宋体"/>
                <w:i w:val="0"/>
                <w:iCs w:val="0"/>
                <w:color w:val="auto"/>
                <w:sz w:val="20"/>
                <w:szCs w:val="20"/>
                <w:u w:val="none"/>
              </w:rPr>
            </w:pPr>
          </w:p>
        </w:tc>
      </w:tr>
    </w:tbl>
    <w:p w14:paraId="3BD34615">
      <w:pPr>
        <w:pStyle w:val="15"/>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116D5056">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品牌推荐表：</w:t>
      </w:r>
    </w:p>
    <w:tbl>
      <w:tblPr>
        <w:tblStyle w:val="16"/>
        <w:tblW w:w="96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6"/>
        <w:gridCol w:w="3031"/>
        <w:gridCol w:w="3032"/>
        <w:gridCol w:w="2562"/>
      </w:tblGrid>
      <w:tr w14:paraId="6EA95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341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B15C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材料设备</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09A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推荐品牌</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620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12BF6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BBB2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E2B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0.4KV</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低压柜</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ABB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安徽鑫龙、有能电气（大航有</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能）、南京大全</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F1BBD">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柜体为</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ABB</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MNS2.0、施耐</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德</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Blockset、</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西门子8PT</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之</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一；</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内部主要</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零器件品牌必</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须为：</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ABB、</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施耐德、西门</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子（非经济型</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w:t>
            </w:r>
          </w:p>
        </w:tc>
      </w:tr>
      <w:tr w14:paraId="63DC7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1E0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2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A4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多功能电力仪表</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0DA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上海安科瑞、南京榕树、南京</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凯多、纳宇、南京因泰莱、上</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海航灵、GE</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top"/>
          </w:tcPr>
          <w:p w14:paraId="6AD01A6A">
            <w:pPr>
              <w:jc w:val="left"/>
              <w:rPr>
                <w:rFonts w:hint="eastAsia" w:ascii="宋体" w:hAnsi="宋体" w:eastAsia="宋体" w:cs="宋体"/>
                <w:i w:val="0"/>
                <w:iCs w:val="0"/>
                <w:color w:val="000000"/>
                <w:sz w:val="22"/>
                <w:szCs w:val="22"/>
                <w:u w:val="none"/>
              </w:rPr>
            </w:pPr>
          </w:p>
        </w:tc>
      </w:tr>
      <w:tr w14:paraId="09E49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0A5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3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81B0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双电源带旁路自动转</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换开关</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ATS（PC</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级）</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D44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ASCO、ABB、GE、施耐德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(WOTPC/WBTPC</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系列)</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top"/>
          </w:tcPr>
          <w:p w14:paraId="5ED8EE68">
            <w:pPr>
              <w:jc w:val="left"/>
              <w:rPr>
                <w:rFonts w:hint="eastAsia" w:ascii="宋体" w:hAnsi="宋体" w:eastAsia="宋体" w:cs="宋体"/>
                <w:i w:val="0"/>
                <w:iCs w:val="0"/>
                <w:color w:val="000000"/>
                <w:sz w:val="22"/>
                <w:szCs w:val="22"/>
                <w:u w:val="none"/>
              </w:rPr>
            </w:pPr>
          </w:p>
        </w:tc>
      </w:tr>
      <w:tr w14:paraId="764AC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6F7C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4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BB37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有源滤波器、SVG</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6C3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施耐德、北京新能动力、拉赛、</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上海思源、大航电气、南京亚</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派、莱提</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top"/>
          </w:tcPr>
          <w:p w14:paraId="4D6CFB1E">
            <w:pPr>
              <w:jc w:val="left"/>
              <w:rPr>
                <w:rFonts w:hint="eastAsia" w:ascii="宋体" w:hAnsi="宋体" w:eastAsia="宋体" w:cs="宋体"/>
                <w:i w:val="0"/>
                <w:iCs w:val="0"/>
                <w:color w:val="000000"/>
                <w:sz w:val="22"/>
                <w:szCs w:val="22"/>
                <w:u w:val="none"/>
              </w:rPr>
            </w:pPr>
          </w:p>
        </w:tc>
      </w:tr>
      <w:tr w14:paraId="729FD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D4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5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D2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10kV</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电容器成套装置</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DC0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施耐德、北京新能动力、拉赛、</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上海思源、大航电气、南京亚</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派、莱提</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top"/>
          </w:tcPr>
          <w:p w14:paraId="384D1EE1">
            <w:pPr>
              <w:jc w:val="left"/>
              <w:rPr>
                <w:rFonts w:hint="eastAsia" w:ascii="宋体" w:hAnsi="宋体" w:eastAsia="宋体" w:cs="宋体"/>
                <w:i w:val="0"/>
                <w:iCs w:val="0"/>
                <w:color w:val="000000"/>
                <w:sz w:val="22"/>
                <w:szCs w:val="22"/>
                <w:u w:val="none"/>
              </w:rPr>
            </w:pPr>
          </w:p>
        </w:tc>
      </w:tr>
      <w:tr w14:paraId="64751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ED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6 </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6FAD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浪涌保护器</w:t>
            </w:r>
          </w:p>
        </w:tc>
        <w:tc>
          <w:tcPr>
            <w:tcW w:w="3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98B1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上海森图（sentaur）、</w:t>
            </w:r>
            <w:r>
              <w:rPr>
                <w:rStyle w:val="34"/>
                <w:rFonts w:hint="eastAsia" w:ascii="宋体" w:hAnsi="宋体" w:eastAsia="宋体" w:cs="宋体"/>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t>中力防</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雷（中力智电）、上海宜事</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top"/>
          </w:tcPr>
          <w:p w14:paraId="65496B6C">
            <w:pPr>
              <w:jc w:val="left"/>
              <w:rPr>
                <w:rFonts w:hint="eastAsia" w:ascii="宋体" w:hAnsi="宋体" w:eastAsia="宋体" w:cs="宋体"/>
                <w:i w:val="0"/>
                <w:iCs w:val="0"/>
                <w:color w:val="000000"/>
                <w:sz w:val="22"/>
                <w:szCs w:val="22"/>
                <w:u w:val="none"/>
              </w:rPr>
            </w:pPr>
          </w:p>
        </w:tc>
      </w:tr>
    </w:tbl>
    <w:p w14:paraId="70AC7C59">
      <w:pPr>
        <w:kinsoku/>
        <w:wordWrap/>
        <w:overflowPunct/>
        <w:topLinePunct w:val="0"/>
        <w:bidi w:val="0"/>
        <w:spacing w:line="360" w:lineRule="auto"/>
        <w:rPr>
          <w:rFonts w:hint="eastAsia" w:ascii="宋体" w:hAnsi="宋体" w:eastAsia="宋体" w:cs="宋体"/>
          <w:snapToGrid w:val="0"/>
          <w:szCs w:val="21"/>
          <w:lang w:val="en-US" w:eastAsia="zh-CN"/>
        </w:rPr>
      </w:pPr>
    </w:p>
    <w:p w14:paraId="3016C950">
      <w:pPr>
        <w:kinsoku/>
        <w:wordWrap/>
        <w:overflowPunct/>
        <w:topLinePunct w:val="0"/>
        <w:bidi w:val="0"/>
        <w:spacing w:line="360" w:lineRule="auto"/>
        <w:rPr>
          <w:rFonts w:hint="eastAsia" w:ascii="宋体" w:hAnsi="宋体" w:eastAsia="宋体" w:cs="宋体"/>
          <w:snapToGrid w:val="0"/>
          <w:szCs w:val="21"/>
          <w:lang w:val="en-US" w:eastAsia="zh-CN"/>
        </w:rPr>
      </w:pPr>
    </w:p>
    <w:p w14:paraId="0F3EB99B">
      <w:pPr>
        <w:kinsoku/>
        <w:wordWrap/>
        <w:overflowPunct/>
        <w:topLinePunct w:val="0"/>
        <w:bidi w:val="0"/>
        <w:spacing w:line="360" w:lineRule="auto"/>
        <w:rPr>
          <w:rFonts w:hint="eastAsia" w:ascii="宋体" w:hAnsi="宋体" w:eastAsia="宋体" w:cs="宋体"/>
          <w:snapToGrid w:val="0"/>
          <w:szCs w:val="21"/>
          <w:lang w:val="en-US" w:eastAsia="zh-CN"/>
        </w:rPr>
      </w:pPr>
    </w:p>
    <w:p w14:paraId="25B30BAC">
      <w:pPr>
        <w:kinsoku/>
        <w:wordWrap/>
        <w:overflowPunct/>
        <w:topLinePunct w:val="0"/>
        <w:bidi w:val="0"/>
        <w:spacing w:line="360" w:lineRule="auto"/>
        <w:rPr>
          <w:rFonts w:hint="eastAsia" w:ascii="宋体" w:hAnsi="宋体" w:eastAsia="宋体" w:cs="宋体"/>
          <w:snapToGrid w:val="0"/>
          <w:szCs w:val="21"/>
          <w:lang w:val="en-US" w:eastAsia="zh-CN"/>
        </w:rPr>
      </w:pPr>
    </w:p>
    <w:p w14:paraId="5F3210E2">
      <w:pPr>
        <w:kinsoku/>
        <w:wordWrap/>
        <w:overflowPunct/>
        <w:topLinePunct w:val="0"/>
        <w:bidi w:val="0"/>
        <w:spacing w:line="360" w:lineRule="auto"/>
        <w:rPr>
          <w:rFonts w:hint="eastAsia" w:ascii="宋体" w:hAnsi="宋体" w:eastAsia="宋体" w:cs="宋体"/>
          <w:snapToGrid w:val="0"/>
          <w:szCs w:val="21"/>
          <w:lang w:val="en-US" w:eastAsia="zh-CN"/>
        </w:rPr>
      </w:pPr>
    </w:p>
    <w:p w14:paraId="6E506CD6">
      <w:pPr>
        <w:kinsoku/>
        <w:wordWrap/>
        <w:overflowPunct/>
        <w:topLinePunct w:val="0"/>
        <w:bidi w:val="0"/>
        <w:spacing w:line="360" w:lineRule="auto"/>
        <w:rPr>
          <w:rFonts w:hint="eastAsia" w:ascii="宋体" w:hAnsi="宋体" w:eastAsia="宋体" w:cs="宋体"/>
          <w:snapToGrid w:val="0"/>
          <w:szCs w:val="21"/>
          <w:lang w:val="en-US" w:eastAsia="zh-CN"/>
        </w:rPr>
      </w:pPr>
    </w:p>
    <w:p w14:paraId="1FC02D04">
      <w:pPr>
        <w:kinsoku/>
        <w:wordWrap/>
        <w:overflowPunct/>
        <w:topLinePunct w:val="0"/>
        <w:bidi w:val="0"/>
        <w:spacing w:line="360" w:lineRule="auto"/>
        <w:rPr>
          <w:rFonts w:hint="eastAsia" w:ascii="宋体" w:hAnsi="宋体" w:eastAsia="宋体" w:cs="宋体"/>
          <w:snapToGrid w:val="0"/>
          <w:szCs w:val="21"/>
          <w:lang w:val="en-US" w:eastAsia="zh-CN"/>
        </w:rPr>
      </w:pPr>
    </w:p>
    <w:p w14:paraId="5B58007F">
      <w:pPr>
        <w:kinsoku/>
        <w:wordWrap/>
        <w:overflowPunct/>
        <w:topLinePunct w:val="0"/>
        <w:bidi w:val="0"/>
        <w:spacing w:line="360" w:lineRule="auto"/>
        <w:rPr>
          <w:rFonts w:hint="eastAsia" w:ascii="宋体" w:hAnsi="宋体" w:eastAsia="宋体" w:cs="宋体"/>
          <w:snapToGrid w:val="0"/>
          <w:szCs w:val="21"/>
          <w:lang w:val="en-US" w:eastAsia="zh-CN"/>
        </w:rPr>
      </w:pPr>
    </w:p>
    <w:p w14:paraId="538037B6">
      <w:pPr>
        <w:kinsoku/>
        <w:wordWrap/>
        <w:overflowPunct/>
        <w:topLinePunct w:val="0"/>
        <w:bidi w:val="0"/>
        <w:spacing w:line="360" w:lineRule="auto"/>
        <w:rPr>
          <w:rFonts w:hint="eastAsia" w:ascii="宋体" w:hAnsi="宋体" w:eastAsia="宋体" w:cs="宋体"/>
          <w:snapToGrid w:val="0"/>
          <w:szCs w:val="21"/>
          <w:lang w:val="en-US" w:eastAsia="zh-CN"/>
        </w:rPr>
      </w:pPr>
    </w:p>
    <w:p w14:paraId="567488CD">
      <w:pPr>
        <w:kinsoku/>
        <w:wordWrap/>
        <w:overflowPunct/>
        <w:topLinePunct w:val="0"/>
        <w:bidi w:val="0"/>
        <w:spacing w:line="360" w:lineRule="auto"/>
        <w:rPr>
          <w:rFonts w:hint="eastAsia" w:ascii="宋体" w:hAnsi="宋体" w:eastAsia="宋体" w:cs="宋体"/>
          <w:snapToGrid w:val="0"/>
          <w:szCs w:val="21"/>
          <w:lang w:val="en-US" w:eastAsia="zh-CN"/>
        </w:rPr>
      </w:pPr>
    </w:p>
    <w:p w14:paraId="6B5EE7F5">
      <w:pPr>
        <w:kinsoku/>
        <w:wordWrap/>
        <w:overflowPunct/>
        <w:topLinePunct w:val="0"/>
        <w:bidi w:val="0"/>
        <w:spacing w:line="360" w:lineRule="auto"/>
        <w:rPr>
          <w:rFonts w:hint="eastAsia" w:ascii="宋体" w:hAnsi="宋体" w:eastAsia="宋体" w:cs="宋体"/>
          <w:snapToGrid w:val="0"/>
          <w:szCs w:val="21"/>
          <w:lang w:val="en-US" w:eastAsia="zh-CN"/>
        </w:rPr>
      </w:pPr>
    </w:p>
    <w:p w14:paraId="7DF35A44">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附件四：履约承诺书</w:t>
      </w:r>
    </w:p>
    <w:p w14:paraId="46AEE01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致:南京禄口国际机场空港科技有限公司</w:t>
      </w:r>
    </w:p>
    <w:p w14:paraId="5A4B780D">
      <w:pPr>
        <w:keepNext w:val="0"/>
        <w:keepLines w:val="0"/>
        <w:pageBreakBefore w:val="0"/>
        <w:widowControl w:val="0"/>
        <w:kinsoku/>
        <w:wordWrap/>
        <w:overflowPunct/>
        <w:topLinePunct w:val="0"/>
        <w:autoSpaceDE/>
        <w:autoSpaceDN/>
        <w:bidi w:val="0"/>
        <w:adjustRightInd/>
        <w:snapToGrid/>
        <w:spacing w:line="480" w:lineRule="auto"/>
        <w:ind w:firstLine="630" w:firstLineChars="300"/>
        <w:textAlignment w:val="auto"/>
        <w:rPr>
          <w:rFonts w:hint="eastAsia" w:ascii="宋体" w:hAnsi="宋体" w:eastAsia="宋体" w:cs="宋体"/>
        </w:rPr>
      </w:pPr>
      <w:r>
        <w:rPr>
          <w:rFonts w:hint="eastAsia" w:ascii="宋体" w:hAnsi="宋体" w:eastAsia="宋体" w:cs="宋体"/>
        </w:rPr>
        <w:t>本公司郑重承诺，遵守《中华人民共和国民法典》及相关法律法规，具备相应的能力，并作出以下承诺:</w:t>
      </w:r>
    </w:p>
    <w:p w14:paraId="77A843CC">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1、本公司具有合同履约能力，拥有充足的人力及物力，能够按时、按质的完成合同约定的产品和服务的交付。</w:t>
      </w:r>
    </w:p>
    <w:p w14:paraId="5D8766D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2、本单位</w:t>
      </w:r>
      <w:r>
        <w:rPr>
          <w:rFonts w:hint="eastAsia" w:ascii="宋体" w:hAnsi="宋体" w:eastAsia="宋体" w:cs="宋体"/>
          <w:lang w:val="en-US" w:eastAsia="zh-CN"/>
        </w:rPr>
        <w:t>近</w:t>
      </w:r>
      <w:r>
        <w:rPr>
          <w:rFonts w:hint="eastAsia" w:ascii="宋体" w:hAnsi="宋体" w:eastAsia="宋体" w:cs="宋体"/>
        </w:rPr>
        <w:t>三年守合同、重信用，无违约事实，现时未涉及重大经济纠纷或重大经济犯罪案件。</w:t>
      </w:r>
    </w:p>
    <w:p w14:paraId="51DF908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3、与贵公司或贵公司的关联公司在以往履约过程中合作良好，未出现过履约争议乃至进入诉讼或仲裁。</w:t>
      </w:r>
    </w:p>
    <w:p w14:paraId="35F33A3E">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rPr>
        <w:t>公司名称(盖章)</w:t>
      </w:r>
      <w:r>
        <w:rPr>
          <w:rFonts w:hint="eastAsia" w:ascii="宋体" w:hAnsi="宋体" w:eastAsia="宋体" w:cs="宋体"/>
          <w:lang w:eastAsia="zh-CN"/>
        </w:rPr>
        <w:t>：</w:t>
      </w:r>
    </w:p>
    <w:p w14:paraId="07AC88EA">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lang w:val="en-US" w:eastAsia="zh-CN"/>
        </w:rPr>
        <w:t>日</w:t>
      </w:r>
      <w:r>
        <w:rPr>
          <w:rFonts w:hint="eastAsia" w:ascii="宋体" w:hAnsi="宋体" w:eastAsia="宋体" w:cs="宋体"/>
        </w:rPr>
        <w:t>期</w:t>
      </w:r>
      <w:r>
        <w:rPr>
          <w:rFonts w:hint="eastAsia" w:ascii="宋体" w:hAnsi="宋体" w:eastAsia="宋体" w:cs="宋体"/>
          <w:lang w:eastAsia="zh-CN"/>
        </w:rPr>
        <w:t>：</w:t>
      </w:r>
    </w:p>
    <w:p w14:paraId="5C516F75">
      <w:pPr>
        <w:kinsoku/>
        <w:wordWrap/>
        <w:overflowPunct/>
        <w:topLinePunct w:val="0"/>
        <w:bidi w:val="0"/>
        <w:spacing w:line="360" w:lineRule="auto"/>
        <w:rPr>
          <w:rFonts w:hint="eastAsia" w:ascii="宋体" w:hAnsi="宋体" w:eastAsia="宋体" w:cs="宋体"/>
          <w:snapToGrid w:val="0"/>
          <w:szCs w:val="21"/>
          <w:lang w:val="en-US" w:eastAsia="zh-CN"/>
        </w:rPr>
      </w:pPr>
    </w:p>
    <w:p w14:paraId="071EF7E0">
      <w:pPr>
        <w:kinsoku/>
        <w:wordWrap/>
        <w:overflowPunct/>
        <w:topLinePunct w:val="0"/>
        <w:bidi w:val="0"/>
        <w:spacing w:line="360" w:lineRule="auto"/>
        <w:rPr>
          <w:rFonts w:hint="eastAsia" w:ascii="宋体" w:hAnsi="宋体" w:eastAsia="宋体" w:cs="宋体"/>
          <w:lang w:val="en-US" w:eastAsia="zh-CN"/>
        </w:rPr>
      </w:pPr>
    </w:p>
    <w:p w14:paraId="08E6496A">
      <w:pPr>
        <w:kinsoku/>
        <w:wordWrap/>
        <w:overflowPunct/>
        <w:topLinePunct w:val="0"/>
        <w:bidi w:val="0"/>
        <w:spacing w:line="360" w:lineRule="auto"/>
        <w:rPr>
          <w:rFonts w:hint="eastAsia" w:ascii="宋体" w:hAnsi="宋体" w:eastAsia="宋体" w:cs="宋体"/>
          <w:lang w:val="en-US" w:eastAsia="zh-CN"/>
        </w:rPr>
      </w:pPr>
    </w:p>
    <w:p w14:paraId="52959006">
      <w:pPr>
        <w:kinsoku/>
        <w:wordWrap/>
        <w:overflowPunct/>
        <w:topLinePunct w:val="0"/>
        <w:bidi w:val="0"/>
        <w:spacing w:line="360" w:lineRule="auto"/>
        <w:rPr>
          <w:rFonts w:hint="eastAsia" w:ascii="宋体" w:hAnsi="宋体" w:eastAsia="宋体" w:cs="宋体"/>
          <w:lang w:val="en-US" w:eastAsia="zh-CN"/>
        </w:rPr>
      </w:pPr>
    </w:p>
    <w:p w14:paraId="5EDBBB61">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附件五：合同模板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3"/>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6"/>
        <w:tblW w:w="5263" w:type="pct"/>
        <w:jc w:val="center"/>
        <w:tblLayout w:type="fixed"/>
        <w:tblCellMar>
          <w:top w:w="0" w:type="dxa"/>
          <w:left w:w="108" w:type="dxa"/>
          <w:bottom w:w="0" w:type="dxa"/>
          <w:right w:w="108" w:type="dxa"/>
        </w:tblCellMar>
      </w:tblPr>
      <w:tblGrid>
        <w:gridCol w:w="433"/>
        <w:gridCol w:w="709"/>
        <w:gridCol w:w="2386"/>
        <w:gridCol w:w="1138"/>
        <w:gridCol w:w="678"/>
        <w:gridCol w:w="612"/>
        <w:gridCol w:w="624"/>
        <w:gridCol w:w="985"/>
        <w:gridCol w:w="820"/>
        <w:gridCol w:w="586"/>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29"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8"/>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8"/>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8"/>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8"/>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8"/>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合同签订后30个工作日内支付合同价的20%作为预付款；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第二阶段：110KV变电站主变设备及10KV配电装置设备进场之后，支付至审核的已完成合格工程量的80%；中心变电站开关柜、10KV航站变开关柜进场之后，支付至审核的已完成合格工程量的80%</w:t>
      </w:r>
      <w:r>
        <w:rPr>
          <w:rFonts w:hint="eastAsia" w:ascii="宋体" w:hAnsi="宋体" w:eastAsia="宋体" w:cs="宋体"/>
          <w:szCs w:val="21"/>
        </w:rPr>
        <w:t>；</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第三阶段：工程经供电部门送电验收合格并将完整的工程验收竣工资料交给甲方后，甲方付支至合同价的85%；</w:t>
      </w:r>
    </w:p>
    <w:p w14:paraId="1BA1E23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第四阶段：工程竣工结算复审完成后支付至结算审定价的97%；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三</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w:t>
      </w:r>
      <w:r>
        <w:rPr>
          <w:rFonts w:hint="eastAsia" w:ascii="宋体" w:hAnsi="宋体" w:eastAsia="宋体" w:cs="宋体"/>
          <w:szCs w:val="21"/>
          <w:lang w:val="en-US" w:eastAsia="zh-CN"/>
        </w:rPr>
        <w:t>甲</w:t>
      </w:r>
      <w:r>
        <w:rPr>
          <w:rFonts w:hint="eastAsia" w:ascii="宋体" w:hAnsi="宋体" w:eastAsia="宋体" w:cs="宋体"/>
          <w:szCs w:val="21"/>
        </w:rPr>
        <w:t>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8"/>
        <w:numPr>
          <w:ilvl w:val="0"/>
          <w:numId w:val="5"/>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8"/>
        <w:numPr>
          <w:ilvl w:val="0"/>
          <w:numId w:val="5"/>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8"/>
        <w:numPr>
          <w:ilvl w:val="0"/>
          <w:numId w:val="5"/>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8"/>
        <w:numPr>
          <w:ilvl w:val="0"/>
          <w:numId w:val="5"/>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6"/>
        <w:tblW w:w="8964" w:type="dxa"/>
        <w:tblInd w:w="0" w:type="dxa"/>
        <w:tblLayout w:type="fixed"/>
        <w:tblCellMar>
          <w:top w:w="0" w:type="dxa"/>
          <w:left w:w="108" w:type="dxa"/>
          <w:bottom w:w="0" w:type="dxa"/>
          <w:right w:w="108" w:type="dxa"/>
        </w:tblCellMar>
      </w:tblPr>
      <w:tblGrid>
        <w:gridCol w:w="1164"/>
        <w:gridCol w:w="3420"/>
        <w:gridCol w:w="1455"/>
        <w:gridCol w:w="2925"/>
      </w:tblGrid>
      <w:tr w14:paraId="452AFFBF">
        <w:tblPrEx>
          <w:tblCellMar>
            <w:top w:w="0" w:type="dxa"/>
            <w:left w:w="108" w:type="dxa"/>
            <w:bottom w:w="0" w:type="dxa"/>
            <w:right w:w="108" w:type="dxa"/>
          </w:tblCellMar>
        </w:tblPrEx>
        <w:trPr>
          <w:trHeight w:val="567" w:hRule="atLeast"/>
        </w:trPr>
        <w:tc>
          <w:tcPr>
            <w:tcW w:w="1164" w:type="dxa"/>
            <w:noWrap w:val="0"/>
            <w:vAlign w:val="top"/>
          </w:tcPr>
          <w:p w14:paraId="488B4DA6">
            <w:pPr>
              <w:pStyle w:val="13"/>
              <w:adjustRightInd w:val="0"/>
              <w:snapToGrid w:val="0"/>
              <w:rPr>
                <w:rFonts w:hint="eastAsia" w:ascii="宋体" w:hAnsi="宋体" w:eastAsia="宋体" w:cs="宋体"/>
                <w:sz w:val="21"/>
                <w:szCs w:val="21"/>
              </w:rPr>
            </w:pPr>
            <w:permStart w:id="57" w:edGrp="everyone" w:colFirst="2" w:colLast="2"/>
            <w:permStart w:id="58" w:edGrp="everyone" w:colFirst="3" w:colLast="3"/>
            <w:r>
              <w:rPr>
                <w:rFonts w:hint="eastAsia" w:ascii="宋体" w:hAnsi="宋体" w:eastAsia="宋体" w:cs="宋体"/>
                <w:sz w:val="21"/>
                <w:szCs w:val="21"/>
              </w:rPr>
              <w:t>甲方名称：</w:t>
            </w:r>
          </w:p>
        </w:tc>
        <w:tc>
          <w:tcPr>
            <w:tcW w:w="3420" w:type="dxa"/>
            <w:noWrap w:val="0"/>
            <w:vAlign w:val="top"/>
          </w:tcPr>
          <w:p w14:paraId="4EA0960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1455" w:type="dxa"/>
            <w:noWrap w:val="0"/>
            <w:vAlign w:val="top"/>
          </w:tcPr>
          <w:p w14:paraId="52DA0BAA">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2925" w:type="dxa"/>
            <w:noWrap w:val="0"/>
            <w:vAlign w:val="top"/>
          </w:tcPr>
          <w:p w14:paraId="665435D2">
            <w:pPr>
              <w:pStyle w:val="13"/>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164" w:type="dxa"/>
            <w:noWrap w:val="0"/>
            <w:vAlign w:val="top"/>
          </w:tcPr>
          <w:p w14:paraId="26AB0170">
            <w:pPr>
              <w:pStyle w:val="13"/>
              <w:adjustRightInd w:val="0"/>
              <w:snapToGrid w:val="0"/>
              <w:rPr>
                <w:rFonts w:hint="eastAsia" w:ascii="宋体" w:hAnsi="宋体" w:eastAsia="宋体" w:cs="宋体"/>
                <w:sz w:val="21"/>
                <w:szCs w:val="21"/>
              </w:rPr>
            </w:pPr>
            <w:permStart w:id="59" w:edGrp="everyone" w:colFirst="2" w:colLast="2"/>
            <w:permStart w:id="60" w:edGrp="everyone" w:colFirst="3" w:colLast="3"/>
          </w:p>
        </w:tc>
        <w:tc>
          <w:tcPr>
            <w:tcW w:w="3420" w:type="dxa"/>
            <w:noWrap w:val="0"/>
            <w:vAlign w:val="top"/>
          </w:tcPr>
          <w:p w14:paraId="4A949EA6">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1455" w:type="dxa"/>
            <w:noWrap w:val="0"/>
            <w:vAlign w:val="top"/>
          </w:tcPr>
          <w:p w14:paraId="2676B959">
            <w:pPr>
              <w:pStyle w:val="13"/>
              <w:adjustRightInd w:val="0"/>
              <w:snapToGrid w:val="0"/>
              <w:rPr>
                <w:rFonts w:hint="eastAsia" w:ascii="宋体" w:hAnsi="宋体" w:eastAsia="宋体" w:cs="宋体"/>
                <w:sz w:val="21"/>
                <w:szCs w:val="21"/>
              </w:rPr>
            </w:pPr>
          </w:p>
        </w:tc>
        <w:tc>
          <w:tcPr>
            <w:tcW w:w="2925" w:type="dxa"/>
            <w:noWrap w:val="0"/>
            <w:vAlign w:val="top"/>
          </w:tcPr>
          <w:p w14:paraId="586EDBE3">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584" w:type="dxa"/>
            <w:gridSpan w:val="2"/>
            <w:vMerge w:val="restart"/>
            <w:noWrap w:val="0"/>
            <w:vAlign w:val="top"/>
          </w:tcPr>
          <w:p w14:paraId="17B3CE08">
            <w:pPr>
              <w:pStyle w:val="13"/>
              <w:adjustRightInd w:val="0"/>
              <w:snapToGrid w:val="0"/>
              <w:rPr>
                <w:rFonts w:hint="eastAsia" w:ascii="宋体" w:hAnsi="宋体" w:eastAsia="宋体" w:cs="宋体"/>
                <w:sz w:val="21"/>
                <w:szCs w:val="21"/>
              </w:rPr>
            </w:pPr>
            <w:permStart w:id="61" w:edGrp="everyone"/>
            <w:permStart w:id="62" w:edGrp="everyone" w:colFirst="1" w:colLast="1"/>
            <w:r>
              <w:rPr>
                <w:rFonts w:hint="eastAsia" w:ascii="宋体" w:hAnsi="宋体" w:eastAsia="宋体" w:cs="宋体"/>
                <w:sz w:val="21"/>
                <w:szCs w:val="21"/>
              </w:rPr>
              <w:t>法定代表/授权代表：（签字或盖章）</w:t>
            </w:r>
          </w:p>
          <w:permEnd w:id="61"/>
          <w:p w14:paraId="34A0333A">
            <w:pPr>
              <w:pStyle w:val="13"/>
              <w:adjustRightInd w:val="0"/>
              <w:snapToGrid w:val="0"/>
              <w:rPr>
                <w:rFonts w:hint="eastAsia" w:ascii="宋体" w:hAnsi="宋体" w:eastAsia="宋体" w:cs="宋体"/>
                <w:sz w:val="21"/>
                <w:szCs w:val="21"/>
              </w:rPr>
            </w:pPr>
          </w:p>
        </w:tc>
        <w:tc>
          <w:tcPr>
            <w:tcW w:w="4380" w:type="dxa"/>
            <w:gridSpan w:val="2"/>
            <w:vMerge w:val="restart"/>
            <w:noWrap w:val="0"/>
            <w:vAlign w:val="top"/>
          </w:tcPr>
          <w:p w14:paraId="4725D166">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567" w:hRule="atLeast"/>
        </w:trPr>
        <w:tc>
          <w:tcPr>
            <w:tcW w:w="4584" w:type="dxa"/>
            <w:gridSpan w:val="2"/>
            <w:vMerge w:val="continue"/>
            <w:noWrap w:val="0"/>
            <w:vAlign w:val="top"/>
          </w:tcPr>
          <w:p w14:paraId="679802B9">
            <w:pPr>
              <w:pStyle w:val="13"/>
              <w:adjustRightInd w:val="0"/>
              <w:snapToGrid w:val="0"/>
              <w:rPr>
                <w:rFonts w:hint="eastAsia" w:ascii="宋体" w:hAnsi="宋体" w:eastAsia="宋体" w:cs="宋体"/>
                <w:sz w:val="21"/>
                <w:szCs w:val="21"/>
              </w:rPr>
            </w:pPr>
            <w:permStart w:id="63" w:edGrp="everyone" w:colFirst="1" w:colLast="1"/>
          </w:p>
        </w:tc>
        <w:tc>
          <w:tcPr>
            <w:tcW w:w="4380" w:type="dxa"/>
            <w:gridSpan w:val="2"/>
            <w:vMerge w:val="continue"/>
            <w:noWrap w:val="0"/>
            <w:vAlign w:val="top"/>
          </w:tcPr>
          <w:p w14:paraId="4F609BDA">
            <w:pPr>
              <w:pStyle w:val="13"/>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584" w:type="dxa"/>
            <w:gridSpan w:val="2"/>
            <w:noWrap w:val="0"/>
            <w:vAlign w:val="top"/>
          </w:tcPr>
          <w:p w14:paraId="74851D51">
            <w:pPr>
              <w:pStyle w:val="13"/>
              <w:adjustRightInd w:val="0"/>
              <w:snapToGrid w:val="0"/>
              <w:rPr>
                <w:rFonts w:hint="eastAsia" w:ascii="宋体" w:hAnsi="宋体" w:eastAsia="宋体" w:cs="宋体"/>
                <w:sz w:val="21"/>
                <w:szCs w:val="21"/>
              </w:rPr>
            </w:pPr>
            <w:permStart w:id="64" w:edGrp="everyone" w:colFirst="1" w:colLast="1"/>
            <w:permStart w:id="65" w:edGrp="everyone" w:colFirst="2" w:colLast="2"/>
            <w:r>
              <w:rPr>
                <w:rFonts w:hint="eastAsia" w:ascii="宋体" w:hAnsi="宋体" w:eastAsia="宋体" w:cs="宋体"/>
                <w:sz w:val="21"/>
                <w:szCs w:val="21"/>
              </w:rPr>
              <w:t>纳税人识别号：913200007140930345</w:t>
            </w:r>
          </w:p>
        </w:tc>
        <w:tc>
          <w:tcPr>
            <w:tcW w:w="1455" w:type="dxa"/>
            <w:noWrap w:val="0"/>
            <w:vAlign w:val="top"/>
          </w:tcPr>
          <w:p w14:paraId="7F59A76A">
            <w:pPr>
              <w:pStyle w:val="13"/>
              <w:adjustRightInd w:val="0"/>
              <w:snapToGrid w:val="0"/>
              <w:rPr>
                <w:rFonts w:hint="eastAsia" w:ascii="宋体" w:hAnsi="宋体" w:eastAsia="宋体" w:cs="宋体"/>
                <w:sz w:val="21"/>
                <w:szCs w:val="21"/>
              </w:rPr>
            </w:pPr>
          </w:p>
        </w:tc>
        <w:tc>
          <w:tcPr>
            <w:tcW w:w="2925" w:type="dxa"/>
            <w:noWrap w:val="0"/>
            <w:vAlign w:val="top"/>
          </w:tcPr>
          <w:p w14:paraId="2AE32034">
            <w:pPr>
              <w:pStyle w:val="13"/>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164" w:type="dxa"/>
            <w:noWrap w:val="0"/>
            <w:vAlign w:val="top"/>
          </w:tcPr>
          <w:p w14:paraId="00912CA9">
            <w:pPr>
              <w:pStyle w:val="13"/>
              <w:adjustRightInd w:val="0"/>
              <w:snapToGrid w:val="0"/>
              <w:rPr>
                <w:rFonts w:hint="eastAsia" w:ascii="宋体" w:hAnsi="宋体" w:eastAsia="宋体" w:cs="宋体"/>
                <w:sz w:val="21"/>
                <w:szCs w:val="21"/>
              </w:rPr>
            </w:pPr>
            <w:permStart w:id="66" w:edGrp="everyone" w:colFirst="2" w:colLast="2"/>
            <w:permStart w:id="67" w:edGrp="everyone" w:colFirst="3" w:colLast="3"/>
            <w:r>
              <w:rPr>
                <w:rFonts w:hint="eastAsia" w:ascii="宋体" w:hAnsi="宋体" w:eastAsia="宋体" w:cs="宋体"/>
                <w:sz w:val="21"/>
                <w:szCs w:val="21"/>
              </w:rPr>
              <w:t>甲方地址：</w:t>
            </w:r>
          </w:p>
        </w:tc>
        <w:tc>
          <w:tcPr>
            <w:tcW w:w="3420" w:type="dxa"/>
            <w:noWrap w:val="0"/>
            <w:vAlign w:val="top"/>
          </w:tcPr>
          <w:p w14:paraId="223BF40E">
            <w:pPr>
              <w:pStyle w:val="13"/>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1455" w:type="dxa"/>
            <w:noWrap w:val="0"/>
            <w:vAlign w:val="top"/>
          </w:tcPr>
          <w:p w14:paraId="1899FAB5">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2925" w:type="dxa"/>
            <w:noWrap w:val="0"/>
            <w:vAlign w:val="top"/>
          </w:tcPr>
          <w:p w14:paraId="1DCF8E9E">
            <w:pPr>
              <w:pStyle w:val="13"/>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164" w:type="dxa"/>
            <w:noWrap w:val="0"/>
            <w:vAlign w:val="top"/>
          </w:tcPr>
          <w:p w14:paraId="620B0495">
            <w:pPr>
              <w:pStyle w:val="13"/>
              <w:adjustRightInd w:val="0"/>
              <w:snapToGrid w:val="0"/>
              <w:rPr>
                <w:rFonts w:hint="eastAsia" w:ascii="宋体" w:hAnsi="宋体" w:eastAsia="宋体" w:cs="宋体"/>
                <w:sz w:val="21"/>
                <w:szCs w:val="21"/>
              </w:rPr>
            </w:pPr>
            <w:permStart w:id="68" w:edGrp="everyone" w:colFirst="2" w:colLast="2"/>
            <w:permStart w:id="69" w:edGrp="everyone" w:colFirst="3" w:colLast="3"/>
            <w:r>
              <w:rPr>
                <w:rFonts w:hint="eastAsia" w:ascii="宋体" w:hAnsi="宋体" w:eastAsia="宋体" w:cs="宋体"/>
                <w:sz w:val="21"/>
                <w:szCs w:val="21"/>
              </w:rPr>
              <w:t>开户银行：</w:t>
            </w:r>
          </w:p>
        </w:tc>
        <w:tc>
          <w:tcPr>
            <w:tcW w:w="3420" w:type="dxa"/>
            <w:noWrap w:val="0"/>
            <w:vAlign w:val="top"/>
          </w:tcPr>
          <w:p w14:paraId="0A0C6899">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1455" w:type="dxa"/>
            <w:noWrap w:val="0"/>
            <w:vAlign w:val="top"/>
          </w:tcPr>
          <w:p w14:paraId="143396F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2925" w:type="dxa"/>
            <w:noWrap w:val="0"/>
            <w:vAlign w:val="top"/>
          </w:tcPr>
          <w:p w14:paraId="6B9A9FDD">
            <w:pPr>
              <w:pStyle w:val="13"/>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164" w:type="dxa"/>
            <w:noWrap w:val="0"/>
            <w:vAlign w:val="top"/>
          </w:tcPr>
          <w:p w14:paraId="16E82252">
            <w:pPr>
              <w:pStyle w:val="13"/>
              <w:adjustRightInd w:val="0"/>
              <w:snapToGrid w:val="0"/>
              <w:rPr>
                <w:rFonts w:hint="eastAsia" w:ascii="宋体" w:hAnsi="宋体" w:eastAsia="宋体" w:cs="宋体"/>
                <w:sz w:val="21"/>
                <w:szCs w:val="21"/>
              </w:rPr>
            </w:pPr>
            <w:permStart w:id="70" w:edGrp="everyone" w:colFirst="2" w:colLast="2"/>
            <w:permStart w:id="71" w:edGrp="everyone" w:colFirst="3" w:colLast="3"/>
            <w:r>
              <w:rPr>
                <w:rFonts w:hint="eastAsia" w:ascii="宋体" w:hAnsi="宋体" w:eastAsia="宋体" w:cs="宋体"/>
                <w:sz w:val="21"/>
                <w:szCs w:val="21"/>
              </w:rPr>
              <w:t>账    号：</w:t>
            </w:r>
          </w:p>
        </w:tc>
        <w:tc>
          <w:tcPr>
            <w:tcW w:w="3420" w:type="dxa"/>
            <w:noWrap w:val="0"/>
            <w:vAlign w:val="top"/>
          </w:tcPr>
          <w:p w14:paraId="0977434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1455" w:type="dxa"/>
            <w:noWrap w:val="0"/>
            <w:vAlign w:val="top"/>
          </w:tcPr>
          <w:p w14:paraId="04917B3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2925" w:type="dxa"/>
            <w:noWrap w:val="0"/>
            <w:vAlign w:val="top"/>
          </w:tcPr>
          <w:p w14:paraId="46C180C8">
            <w:pPr>
              <w:pStyle w:val="13"/>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164" w:type="dxa"/>
            <w:noWrap w:val="0"/>
            <w:vAlign w:val="top"/>
          </w:tcPr>
          <w:p w14:paraId="35BD7CBE">
            <w:pPr>
              <w:pStyle w:val="13"/>
              <w:adjustRightInd w:val="0"/>
              <w:snapToGrid w:val="0"/>
              <w:rPr>
                <w:rFonts w:hint="eastAsia" w:ascii="宋体" w:hAnsi="宋体" w:eastAsia="宋体" w:cs="宋体"/>
                <w:sz w:val="21"/>
                <w:szCs w:val="21"/>
              </w:rPr>
            </w:pPr>
            <w:permStart w:id="72" w:edGrp="everyone" w:colFirst="1" w:colLast="1"/>
            <w:permStart w:id="73" w:edGrp="everyone" w:colFirst="2" w:colLast="2"/>
            <w:permStart w:id="74" w:edGrp="everyone" w:colFirst="3" w:colLast="3"/>
            <w:r>
              <w:rPr>
                <w:rFonts w:hint="eastAsia" w:ascii="宋体" w:hAnsi="宋体" w:eastAsia="宋体" w:cs="宋体"/>
                <w:sz w:val="21"/>
                <w:szCs w:val="21"/>
              </w:rPr>
              <w:t>电    话：</w:t>
            </w:r>
          </w:p>
        </w:tc>
        <w:tc>
          <w:tcPr>
            <w:tcW w:w="3420" w:type="dxa"/>
            <w:noWrap w:val="0"/>
            <w:vAlign w:val="top"/>
          </w:tcPr>
          <w:p w14:paraId="0E8F326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5B31A991">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2925" w:type="dxa"/>
            <w:noWrap w:val="0"/>
            <w:vAlign w:val="top"/>
          </w:tcPr>
          <w:p w14:paraId="418FB038">
            <w:pPr>
              <w:pStyle w:val="13"/>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164" w:type="dxa"/>
            <w:noWrap w:val="0"/>
            <w:vAlign w:val="top"/>
          </w:tcPr>
          <w:p w14:paraId="69163BAA">
            <w:pPr>
              <w:pStyle w:val="13"/>
              <w:adjustRightInd w:val="0"/>
              <w:snapToGrid w:val="0"/>
              <w:rPr>
                <w:rFonts w:hint="eastAsia" w:ascii="宋体" w:hAnsi="宋体" w:eastAsia="宋体" w:cs="宋体"/>
                <w:sz w:val="21"/>
                <w:szCs w:val="21"/>
              </w:rPr>
            </w:pPr>
            <w:permStart w:id="75" w:edGrp="everyone" w:colFirst="1" w:colLast="1"/>
            <w:permStart w:id="76" w:edGrp="everyone" w:colFirst="2" w:colLast="2"/>
            <w:permStart w:id="77" w:edGrp="everyone" w:colFirst="3" w:colLast="3"/>
            <w:r>
              <w:rPr>
                <w:rFonts w:hint="eastAsia" w:ascii="宋体" w:hAnsi="宋体" w:eastAsia="宋体" w:cs="宋体"/>
                <w:sz w:val="21"/>
                <w:szCs w:val="21"/>
              </w:rPr>
              <w:t>传    真：</w:t>
            </w:r>
          </w:p>
        </w:tc>
        <w:tc>
          <w:tcPr>
            <w:tcW w:w="3420" w:type="dxa"/>
            <w:noWrap w:val="0"/>
            <w:vAlign w:val="top"/>
          </w:tcPr>
          <w:p w14:paraId="548FDF7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3A1B589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2925" w:type="dxa"/>
            <w:noWrap w:val="0"/>
            <w:vAlign w:val="top"/>
          </w:tcPr>
          <w:p w14:paraId="7A475CE7">
            <w:pPr>
              <w:pStyle w:val="13"/>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164" w:type="dxa"/>
            <w:noWrap w:val="0"/>
            <w:vAlign w:val="top"/>
          </w:tcPr>
          <w:p w14:paraId="13C53077">
            <w:pPr>
              <w:pStyle w:val="13"/>
              <w:adjustRightInd w:val="0"/>
              <w:snapToGrid w:val="0"/>
              <w:rPr>
                <w:rFonts w:hint="eastAsia" w:ascii="宋体" w:hAnsi="宋体" w:eastAsia="宋体" w:cs="宋体"/>
                <w:sz w:val="21"/>
                <w:szCs w:val="21"/>
              </w:rPr>
            </w:pPr>
            <w:permStart w:id="78" w:edGrp="everyone" w:colFirst="1" w:colLast="1"/>
            <w:permStart w:id="79" w:edGrp="everyone" w:colFirst="2" w:colLast="2"/>
            <w:permStart w:id="80" w:edGrp="everyone" w:colFirst="3" w:colLast="3"/>
            <w:r>
              <w:rPr>
                <w:rFonts w:hint="eastAsia" w:ascii="宋体" w:hAnsi="宋体" w:eastAsia="宋体" w:cs="宋体"/>
                <w:sz w:val="21"/>
                <w:szCs w:val="21"/>
              </w:rPr>
              <w:t>电子邮箱：</w:t>
            </w:r>
          </w:p>
        </w:tc>
        <w:tc>
          <w:tcPr>
            <w:tcW w:w="3420" w:type="dxa"/>
            <w:noWrap w:val="0"/>
            <w:vAlign w:val="top"/>
          </w:tcPr>
          <w:p w14:paraId="22E2CEB3">
            <w:pPr>
              <w:pStyle w:val="13"/>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1455" w:type="dxa"/>
            <w:noWrap w:val="0"/>
            <w:vAlign w:val="top"/>
          </w:tcPr>
          <w:p w14:paraId="7D0B5F8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2925" w:type="dxa"/>
            <w:noWrap w:val="0"/>
            <w:vAlign w:val="top"/>
          </w:tcPr>
          <w:p w14:paraId="40BC18CC">
            <w:pPr>
              <w:pStyle w:val="13"/>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584" w:type="dxa"/>
            <w:gridSpan w:val="2"/>
            <w:noWrap w:val="0"/>
            <w:vAlign w:val="top"/>
          </w:tcPr>
          <w:p w14:paraId="1E0B26F4">
            <w:pPr>
              <w:pStyle w:val="13"/>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4380" w:type="dxa"/>
            <w:gridSpan w:val="2"/>
            <w:noWrap w:val="0"/>
            <w:vAlign w:val="top"/>
          </w:tcPr>
          <w:p w14:paraId="1FA758AA">
            <w:pPr>
              <w:pStyle w:val="13"/>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50D250B3">
      <w:pPr>
        <w:jc w:val="left"/>
        <w:rPr>
          <w:rFonts w:hint="eastAsia" w:ascii="宋体" w:hAnsi="宋体" w:eastAsia="宋体" w:cs="宋体"/>
        </w:rPr>
      </w:pPr>
    </w:p>
    <w:p w14:paraId="78BBEF00">
      <w:pPr>
        <w:pStyle w:val="15"/>
        <w:keepNext w:val="0"/>
        <w:keepLines w:val="0"/>
        <w:pageBreakBefore/>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r>
        <w:rPr>
          <w:rFonts w:hint="eastAsia" w:ascii="宋体" w:hAnsi="宋体" w:eastAsia="宋体" w:cs="宋体"/>
          <w:b/>
          <w:bCs/>
          <w:lang w:val="en-US" w:eastAsia="zh-CN"/>
        </w:rPr>
        <w:t>附件六：技术参数</w:t>
      </w:r>
    </w:p>
    <w:p w14:paraId="79E97ADE">
      <w:pPr>
        <w:spacing w:line="360" w:lineRule="auto"/>
        <w:jc w:val="center"/>
        <w:rPr>
          <w:rFonts w:hint="eastAsia" w:ascii="宋体" w:hAnsi="宋体" w:eastAsia="宋体" w:cs="宋体"/>
          <w:sz w:val="52"/>
          <w:szCs w:val="52"/>
          <w:u w:val="single"/>
        </w:rPr>
      </w:pPr>
      <w:r>
        <w:rPr>
          <w:rFonts w:hint="eastAsia" w:ascii="宋体" w:hAnsi="宋体" w:eastAsia="宋体" w:cs="宋体"/>
          <w:sz w:val="52"/>
          <w:szCs w:val="52"/>
        </w:rPr>
        <w:t>低压开关柜技术规范</w:t>
      </w:r>
    </w:p>
    <w:p w14:paraId="1F9CD23C">
      <w:pPr>
        <w:pStyle w:val="35"/>
        <w:rPr>
          <w:rFonts w:hint="eastAsia" w:ascii="宋体" w:hAnsi="宋体" w:eastAsia="宋体" w:cs="宋体"/>
        </w:rPr>
      </w:pPr>
    </w:p>
    <w:p w14:paraId="74AB8F9C">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TOC \o "1-1" \h \z \u </w:instrText>
      </w:r>
      <w:r>
        <w:rPr>
          <w:rFonts w:hint="eastAsia" w:ascii="宋体" w:hAnsi="宋体" w:eastAsia="宋体" w:cs="宋体"/>
        </w:rPr>
        <w:fldChar w:fldCharType="separate"/>
      </w: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"_Toc445922205"</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1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_Toc445922205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Style w:val="18"/>
          <w:rFonts w:hint="eastAsia" w:ascii="宋体" w:hAnsi="宋体" w:eastAsia="宋体" w:cs="宋体"/>
        </w:rPr>
        <w:fldChar w:fldCharType="end"/>
      </w:r>
    </w:p>
    <w:p w14:paraId="3227CEE6">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"_Toc445922206"</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2　技术参数和性能要求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_Toc445922206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Style w:val="18"/>
          <w:rFonts w:hint="eastAsia" w:ascii="宋体" w:hAnsi="宋体" w:eastAsia="宋体" w:cs="宋体"/>
        </w:rPr>
        <w:fldChar w:fldCharType="end"/>
      </w:r>
    </w:p>
    <w:p w14:paraId="084AE7EA">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"_Toc445922207"</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3　标准技术参数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_Toc445922207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Style w:val="18"/>
          <w:rFonts w:hint="eastAsia" w:ascii="宋体" w:hAnsi="宋体" w:eastAsia="宋体" w:cs="宋体"/>
        </w:rPr>
        <w:fldChar w:fldCharType="end"/>
      </w:r>
    </w:p>
    <w:p w14:paraId="4678C452">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"_Toc445922208"</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4　使用环境条件表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_Toc445922208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Style w:val="18"/>
          <w:rFonts w:hint="eastAsia" w:ascii="宋体" w:hAnsi="宋体" w:eastAsia="宋体" w:cs="宋体"/>
        </w:rPr>
        <w:fldChar w:fldCharType="end"/>
      </w:r>
    </w:p>
    <w:p w14:paraId="5322E3D6">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"_Toc445922209"</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5　试验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_Toc445922209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Style w:val="18"/>
          <w:rFonts w:hint="eastAsia" w:ascii="宋体" w:hAnsi="宋体" w:eastAsia="宋体" w:cs="宋体"/>
        </w:rPr>
        <w:fldChar w:fldCharType="end"/>
      </w:r>
    </w:p>
    <w:p w14:paraId="2F84C134">
      <w:pPr>
        <w:pStyle w:val="36"/>
        <w:jc w:val="both"/>
        <w:rPr>
          <w:rFonts w:hint="eastAsia" w:ascii="宋体" w:hAnsi="宋体" w:eastAsia="宋体" w:cs="宋体"/>
        </w:rPr>
      </w:pPr>
      <w:r>
        <w:rPr>
          <w:rFonts w:hint="eastAsia" w:ascii="宋体" w:hAnsi="宋体" w:eastAsia="宋体" w:cs="宋体"/>
        </w:rPr>
        <w:fldChar w:fldCharType="end"/>
      </w:r>
    </w:p>
    <w:p w14:paraId="2DD205E8">
      <w:pPr>
        <w:widowControl/>
        <w:jc w:val="left"/>
        <w:rPr>
          <w:rFonts w:hint="eastAsia" w:ascii="宋体" w:hAnsi="宋体" w:eastAsia="宋体" w:cs="宋体"/>
          <w:sz w:val="32"/>
          <w:szCs w:val="20"/>
        </w:rPr>
      </w:pPr>
    </w:p>
    <w:p w14:paraId="3B7C61BC">
      <w:pPr>
        <w:widowControl/>
        <w:jc w:val="left"/>
        <w:rPr>
          <w:rFonts w:hint="eastAsia" w:ascii="宋体" w:hAnsi="宋体" w:eastAsia="宋体" w:cs="宋体"/>
          <w:sz w:val="32"/>
          <w:szCs w:val="20"/>
        </w:rPr>
      </w:pPr>
    </w:p>
    <w:p w14:paraId="15D502A4">
      <w:pPr>
        <w:widowControl/>
        <w:jc w:val="left"/>
        <w:rPr>
          <w:rFonts w:hint="eastAsia" w:ascii="宋体" w:hAnsi="宋体" w:eastAsia="宋体" w:cs="宋体"/>
          <w:sz w:val="32"/>
          <w:szCs w:val="20"/>
        </w:rPr>
      </w:pPr>
    </w:p>
    <w:p w14:paraId="72BD2E03">
      <w:pPr>
        <w:widowControl/>
        <w:jc w:val="left"/>
        <w:rPr>
          <w:rFonts w:hint="eastAsia" w:ascii="宋体" w:hAnsi="宋体" w:eastAsia="宋体" w:cs="宋体"/>
          <w:sz w:val="32"/>
          <w:szCs w:val="20"/>
        </w:rPr>
      </w:pPr>
    </w:p>
    <w:p w14:paraId="360085B6">
      <w:pPr>
        <w:widowControl/>
        <w:jc w:val="left"/>
        <w:rPr>
          <w:rFonts w:hint="eastAsia" w:ascii="宋体" w:hAnsi="宋体" w:eastAsia="宋体" w:cs="宋体"/>
          <w:sz w:val="32"/>
          <w:szCs w:val="20"/>
        </w:rPr>
      </w:pPr>
    </w:p>
    <w:p w14:paraId="1E33BDD7">
      <w:pPr>
        <w:widowControl/>
        <w:jc w:val="left"/>
        <w:rPr>
          <w:rFonts w:hint="eastAsia" w:ascii="宋体" w:hAnsi="宋体" w:eastAsia="宋体" w:cs="宋体"/>
          <w:sz w:val="32"/>
          <w:szCs w:val="20"/>
        </w:rPr>
      </w:pPr>
    </w:p>
    <w:p w14:paraId="7DCF2BBD">
      <w:pPr>
        <w:widowControl/>
        <w:jc w:val="left"/>
        <w:rPr>
          <w:rFonts w:hint="eastAsia" w:ascii="宋体" w:hAnsi="宋体" w:eastAsia="宋体" w:cs="宋体"/>
          <w:sz w:val="32"/>
          <w:szCs w:val="20"/>
        </w:rPr>
      </w:pPr>
    </w:p>
    <w:p w14:paraId="329C3591">
      <w:pPr>
        <w:widowControl/>
        <w:jc w:val="left"/>
        <w:rPr>
          <w:rFonts w:hint="eastAsia" w:ascii="宋体" w:hAnsi="宋体" w:eastAsia="宋体" w:cs="宋体"/>
          <w:sz w:val="32"/>
          <w:szCs w:val="20"/>
        </w:rPr>
      </w:pPr>
    </w:p>
    <w:p w14:paraId="5059078E">
      <w:pPr>
        <w:widowControl/>
        <w:jc w:val="left"/>
        <w:rPr>
          <w:rFonts w:hint="eastAsia" w:ascii="宋体" w:hAnsi="宋体" w:eastAsia="宋体" w:cs="宋体"/>
          <w:sz w:val="32"/>
          <w:szCs w:val="20"/>
        </w:rPr>
        <w:sectPr>
          <w:footerReference r:id="rId4" w:type="default"/>
          <w:pgSz w:w="11906" w:h="16838"/>
          <w:pgMar w:top="1440" w:right="1800" w:bottom="1440" w:left="1800" w:header="851" w:footer="992" w:gutter="0"/>
          <w:pgNumType w:fmt="decimal"/>
          <w:cols w:space="720" w:num="1"/>
          <w:docGrid w:type="lines" w:linePitch="312" w:charSpace="0"/>
        </w:sectPr>
      </w:pPr>
    </w:p>
    <w:p w14:paraId="5A5C80FE">
      <w:pPr>
        <w:pStyle w:val="37"/>
        <w:keepNext w:val="0"/>
        <w:keepLines w:val="0"/>
        <w:topLinePunct w:val="0"/>
        <w:outlineLvl w:val="0"/>
        <w:rPr>
          <w:rFonts w:hint="eastAsia" w:ascii="宋体" w:hAnsi="宋体" w:eastAsia="宋体" w:cs="宋体"/>
          <w:lang w:eastAsia="zh-CN"/>
        </w:rPr>
      </w:pPr>
      <w:bookmarkStart w:id="0" w:name="_Toc338251393"/>
      <w:bookmarkStart w:id="1" w:name="_Toc344384428"/>
      <w:bookmarkStart w:id="2" w:name="_Toc399245038"/>
      <w:bookmarkStart w:id="3" w:name="_Toc335383505"/>
      <w:bookmarkStart w:id="4" w:name="_Toc355884469"/>
      <w:bookmarkStart w:id="5" w:name="_Toc319932329"/>
    </w:p>
    <w:p w14:paraId="601DBC63">
      <w:pPr>
        <w:pStyle w:val="38"/>
        <w:jc w:val="both"/>
        <w:outlineLvl w:val="9"/>
        <w:rPr>
          <w:rFonts w:hint="eastAsia" w:ascii="宋体" w:hAnsi="宋体" w:eastAsia="宋体" w:cs="宋体"/>
        </w:rPr>
        <w:sectPr>
          <w:footerReference r:id="rId5" w:type="default"/>
          <w:type w:val="continuous"/>
          <w:pgSz w:w="11906" w:h="16838"/>
          <w:pgMar w:top="1440" w:right="1800" w:bottom="1440" w:left="1800" w:header="851" w:footer="992" w:gutter="0"/>
          <w:pgNumType w:fmt="decimal"/>
          <w:cols w:space="720" w:num="1"/>
          <w:docGrid w:type="lines" w:linePitch="312" w:charSpace="0"/>
        </w:sectPr>
      </w:pPr>
    </w:p>
    <w:p w14:paraId="68C17382">
      <w:pPr>
        <w:pStyle w:val="38"/>
        <w:outlineLvl w:val="9"/>
        <w:rPr>
          <w:rFonts w:hint="eastAsia" w:ascii="宋体" w:hAnsi="宋体" w:eastAsia="宋体" w:cs="宋体"/>
        </w:rPr>
      </w:pPr>
      <w:bookmarkStart w:id="6" w:name="_Toc445922205"/>
      <w:r>
        <w:rPr>
          <w:rFonts w:hint="eastAsia" w:ascii="宋体" w:hAnsi="宋体" w:eastAsia="宋体" w:cs="宋体"/>
        </w:rPr>
        <w:t>低压开关柜技术规范</w:t>
      </w:r>
    </w:p>
    <w:p w14:paraId="2B50EB3B">
      <w:pPr>
        <w:pStyle w:val="37"/>
        <w:keepNext w:val="0"/>
        <w:keepLines w:val="0"/>
        <w:topLinePunct w:val="0"/>
        <w:outlineLvl w:val="0"/>
        <w:rPr>
          <w:rFonts w:hint="eastAsia" w:ascii="宋体" w:hAnsi="宋体" w:eastAsia="宋体" w:cs="宋体"/>
        </w:rPr>
      </w:pPr>
      <w:r>
        <w:rPr>
          <w:rFonts w:hint="eastAsia" w:ascii="宋体" w:hAnsi="宋体" w:eastAsia="宋体" w:cs="宋体"/>
          <w:lang w:eastAsia="zh-CN"/>
        </w:rPr>
        <w:t>1</w:t>
      </w:r>
      <w:r>
        <w:rPr>
          <w:rFonts w:hint="eastAsia" w:ascii="宋体" w:hAnsi="宋体" w:eastAsia="宋体" w:cs="宋体"/>
        </w:rPr>
        <w:t>　规范性引用文件</w:t>
      </w:r>
      <w:bookmarkEnd w:id="0"/>
      <w:bookmarkEnd w:id="1"/>
      <w:bookmarkEnd w:id="2"/>
      <w:bookmarkEnd w:id="3"/>
      <w:bookmarkEnd w:id="4"/>
      <w:bookmarkEnd w:id="5"/>
      <w:bookmarkEnd w:id="6"/>
    </w:p>
    <w:p w14:paraId="54EF881F">
      <w:pPr>
        <w:topLinePunct/>
        <w:spacing w:line="302" w:lineRule="exact"/>
        <w:ind w:firstLine="420"/>
        <w:rPr>
          <w:rFonts w:hint="eastAsia" w:ascii="宋体" w:hAnsi="宋体" w:eastAsia="宋体" w:cs="宋体"/>
          <w:szCs w:val="21"/>
        </w:rPr>
      </w:pPr>
      <w:r>
        <w:rPr>
          <w:rFonts w:hint="eastAsia" w:ascii="宋体" w:hAnsi="宋体" w:eastAsia="宋体" w:cs="宋体"/>
          <w:szCs w:val="21"/>
        </w:rPr>
        <w:t>下列文件对于本文件的应用是必不可少的。凡是注日期的引用文件，仅注日期的版本适用于本文件。凡是不注日期的引用文件，其最新版本（包括所有的修改单）适用于本文件。</w:t>
      </w:r>
    </w:p>
    <w:p w14:paraId="4275FE4C">
      <w:pPr>
        <w:tabs>
          <w:tab w:val="left" w:pos="1920"/>
        </w:tabs>
        <w:topLinePunct/>
        <w:spacing w:line="302" w:lineRule="exact"/>
        <w:ind w:firstLine="420"/>
        <w:rPr>
          <w:rFonts w:hint="eastAsia" w:ascii="宋体" w:hAnsi="宋体" w:eastAsia="宋体" w:cs="宋体"/>
          <w:snapToGrid w:val="0"/>
          <w:szCs w:val="21"/>
        </w:rPr>
      </w:pPr>
      <w:r>
        <w:rPr>
          <w:rFonts w:hint="eastAsia" w:ascii="宋体" w:hAnsi="宋体" w:eastAsia="宋体" w:cs="宋体"/>
          <w:snapToGrid w:val="0"/>
          <w:szCs w:val="21"/>
        </w:rPr>
        <w:t>GB 7251　    低压成套开关设备和控制设备</w:t>
      </w:r>
    </w:p>
    <w:p w14:paraId="5FCBD3CC">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napToGrid w:val="0"/>
          <w:szCs w:val="21"/>
        </w:rPr>
        <w:t>GB 14048</w:t>
      </w:r>
      <w:r>
        <w:rPr>
          <w:rFonts w:hint="eastAsia" w:ascii="宋体" w:hAnsi="宋体" w:eastAsia="宋体" w:cs="宋体"/>
          <w:szCs w:val="21"/>
        </w:rPr>
        <w:t>　   低压开关设备和控制设备</w:t>
      </w:r>
    </w:p>
    <w:p w14:paraId="792DA9C8">
      <w:pPr>
        <w:tabs>
          <w:tab w:val="left" w:pos="1920"/>
        </w:tabs>
        <w:topLinePunct/>
        <w:spacing w:line="302" w:lineRule="exact"/>
        <w:ind w:firstLine="420"/>
        <w:rPr>
          <w:rFonts w:hint="eastAsia" w:ascii="宋体" w:hAnsi="宋体" w:eastAsia="宋体" w:cs="宋体"/>
          <w:snapToGrid w:val="0"/>
          <w:szCs w:val="21"/>
        </w:rPr>
      </w:pPr>
      <w:r>
        <w:rPr>
          <w:rFonts w:hint="eastAsia" w:ascii="宋体" w:hAnsi="宋体" w:eastAsia="宋体" w:cs="宋体"/>
          <w:snapToGrid w:val="0"/>
          <w:szCs w:val="21"/>
        </w:rPr>
        <w:t>GB/Z 18859　 封闭式低压成套开关设备和控制设备在内部故障引起电弧情况下的试验导则</w:t>
      </w:r>
    </w:p>
    <w:p w14:paraId="192558E3">
      <w:pPr>
        <w:tabs>
          <w:tab w:val="left" w:pos="1920"/>
        </w:tabs>
        <w:topLinePunct/>
        <w:spacing w:line="302" w:lineRule="exact"/>
        <w:ind w:firstLine="420"/>
        <w:rPr>
          <w:rFonts w:hint="eastAsia" w:ascii="宋体" w:hAnsi="宋体" w:eastAsia="宋体" w:cs="宋体"/>
          <w:snapToGrid w:val="0"/>
          <w:szCs w:val="21"/>
        </w:rPr>
      </w:pPr>
      <w:r>
        <w:rPr>
          <w:rFonts w:hint="eastAsia" w:ascii="宋体" w:hAnsi="宋体" w:eastAsia="宋体" w:cs="宋体"/>
          <w:snapToGrid w:val="0"/>
          <w:szCs w:val="21"/>
        </w:rPr>
        <w:t>GB/T 20641　 低压成套开关设备和控制设备空壳体的一般要求</w:t>
      </w:r>
    </w:p>
    <w:p w14:paraId="46D721D8">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50150　   电气装置安装工程　电气设备交接试验标准</w:t>
      </w:r>
    </w:p>
    <w:p w14:paraId="3C45EA55">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4208      外壳防护等级（IP代码）</w:t>
      </w:r>
    </w:p>
    <w:p w14:paraId="68346B82">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16935.1 低压系统内设备的绝缘配合</w:t>
      </w:r>
    </w:p>
    <w:p w14:paraId="721449D8">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GB/T2681     电工成套装置中的导线颜色</w:t>
      </w:r>
    </w:p>
    <w:p w14:paraId="768EC12D">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GB5585.2     电工用铜、铝及其母线 第二部分：铜母线</w:t>
      </w:r>
    </w:p>
    <w:p w14:paraId="025A4A35">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JB5877       低压固定封闭式成套开关设备</w:t>
      </w:r>
    </w:p>
    <w:p w14:paraId="632426F1">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IEC 61641　  封闭式低压成套开关设备和控制设备在内部故障引起电弧情况下的试验导则</w:t>
      </w:r>
    </w:p>
    <w:p w14:paraId="71FF14B4">
      <w:pPr>
        <w:pStyle w:val="37"/>
        <w:keepNext w:val="0"/>
        <w:keepLines w:val="0"/>
        <w:topLinePunct w:val="0"/>
        <w:outlineLvl w:val="0"/>
        <w:rPr>
          <w:rFonts w:hint="eastAsia" w:ascii="宋体" w:hAnsi="宋体" w:eastAsia="宋体" w:cs="宋体"/>
        </w:rPr>
      </w:pPr>
      <w:bookmarkStart w:id="7" w:name="_Toc399245041"/>
      <w:bookmarkStart w:id="8" w:name="_Toc445922206"/>
      <w:bookmarkStart w:id="9" w:name="_Toc261963348"/>
      <w:bookmarkStart w:id="10" w:name="_Toc344384444"/>
      <w:bookmarkStart w:id="11" w:name="_Toc254966326"/>
      <w:bookmarkStart w:id="12" w:name="_Toc256607226"/>
      <w:bookmarkStart w:id="13" w:name="_Toc355884472"/>
      <w:bookmarkStart w:id="14" w:name="_Toc252452364"/>
      <w:bookmarkStart w:id="15" w:name="_Toc252450746"/>
      <w:r>
        <w:rPr>
          <w:rFonts w:hint="eastAsia" w:ascii="宋体" w:hAnsi="宋体" w:eastAsia="宋体" w:cs="宋体"/>
          <w:lang w:eastAsia="zh-CN"/>
        </w:rPr>
        <w:t>2</w:t>
      </w:r>
      <w:r>
        <w:rPr>
          <w:rFonts w:hint="eastAsia" w:ascii="宋体" w:hAnsi="宋体" w:eastAsia="宋体" w:cs="宋体"/>
        </w:rPr>
        <w:t>　技术参数和性能要求</w:t>
      </w:r>
      <w:bookmarkEnd w:id="7"/>
      <w:bookmarkEnd w:id="8"/>
      <w:bookmarkEnd w:id="9"/>
      <w:bookmarkEnd w:id="10"/>
      <w:bookmarkEnd w:id="11"/>
      <w:bookmarkEnd w:id="12"/>
      <w:bookmarkEnd w:id="13"/>
      <w:bookmarkEnd w:id="14"/>
      <w:bookmarkEnd w:id="15"/>
    </w:p>
    <w:p w14:paraId="5F1CD23F">
      <w:pPr>
        <w:topLinePunct/>
        <w:spacing w:line="312" w:lineRule="exact"/>
        <w:rPr>
          <w:rFonts w:hint="eastAsia" w:ascii="宋体" w:hAnsi="宋体" w:eastAsia="宋体" w:cs="宋体"/>
        </w:rPr>
      </w:pPr>
      <w:r>
        <w:rPr>
          <w:rFonts w:hint="eastAsia" w:ascii="宋体" w:hAnsi="宋体" w:eastAsia="宋体" w:cs="宋体"/>
        </w:rPr>
        <w:t>2.1　开关柜技术参数</w:t>
      </w:r>
    </w:p>
    <w:p w14:paraId="6BDE5563">
      <w:pPr>
        <w:topLinePunct/>
        <w:spacing w:line="312" w:lineRule="exact"/>
        <w:ind w:firstLine="420"/>
        <w:rPr>
          <w:rFonts w:hint="eastAsia" w:ascii="宋体" w:hAnsi="宋体" w:eastAsia="宋体" w:cs="宋体"/>
          <w:szCs w:val="21"/>
        </w:rPr>
      </w:pPr>
      <w:r>
        <w:rPr>
          <w:rFonts w:hint="eastAsia" w:ascii="宋体" w:hAnsi="宋体" w:eastAsia="宋体" w:cs="宋体"/>
          <w:bCs/>
          <w:szCs w:val="21"/>
        </w:rPr>
        <w:t>开关柜技术参数见技术规范专用部分的技术参数特性表</w:t>
      </w:r>
      <w:r>
        <w:rPr>
          <w:rFonts w:hint="eastAsia" w:ascii="宋体" w:hAnsi="宋体" w:eastAsia="宋体" w:cs="宋体"/>
          <w:szCs w:val="21"/>
        </w:rPr>
        <w:t>。</w:t>
      </w:r>
    </w:p>
    <w:p w14:paraId="4444D5EE">
      <w:pPr>
        <w:topLinePunct/>
        <w:spacing w:line="312" w:lineRule="exact"/>
        <w:rPr>
          <w:rFonts w:hint="eastAsia" w:ascii="宋体" w:hAnsi="宋体" w:eastAsia="宋体" w:cs="宋体"/>
        </w:rPr>
      </w:pPr>
      <w:r>
        <w:rPr>
          <w:rFonts w:hint="eastAsia" w:ascii="宋体" w:hAnsi="宋体" w:eastAsia="宋体" w:cs="宋体"/>
        </w:rPr>
        <w:t>2.2　通用要求</w:t>
      </w:r>
    </w:p>
    <w:p w14:paraId="344C8494">
      <w:pPr>
        <w:topLinePunct/>
        <w:spacing w:line="312" w:lineRule="exact"/>
        <w:rPr>
          <w:rFonts w:hint="eastAsia" w:ascii="宋体" w:hAnsi="宋体" w:eastAsia="宋体" w:cs="宋体"/>
          <w:bCs/>
          <w:szCs w:val="21"/>
        </w:rPr>
      </w:pPr>
      <w:r>
        <w:rPr>
          <w:rFonts w:hint="eastAsia" w:ascii="宋体" w:hAnsi="宋体" w:eastAsia="宋体" w:cs="宋体"/>
          <w:snapToGrid w:val="0"/>
          <w:szCs w:val="21"/>
        </w:rPr>
        <w:t>2.2.1</w:t>
      </w:r>
      <w:r>
        <w:rPr>
          <w:rFonts w:hint="eastAsia" w:ascii="宋体" w:hAnsi="宋体" w:eastAsia="宋体" w:cs="宋体"/>
          <w:bCs/>
          <w:szCs w:val="21"/>
        </w:rPr>
        <w:t>　设备外壳平整、严密、美观、要求30年不变形、腐蚀。</w:t>
      </w:r>
    </w:p>
    <w:p w14:paraId="02C03E2B">
      <w:pPr>
        <w:topLinePunct/>
        <w:spacing w:line="312" w:lineRule="exact"/>
        <w:rPr>
          <w:rFonts w:hint="eastAsia" w:ascii="宋体" w:hAnsi="宋体" w:eastAsia="宋体" w:cs="宋体"/>
          <w:bCs/>
          <w:szCs w:val="21"/>
        </w:rPr>
      </w:pPr>
      <w:r>
        <w:rPr>
          <w:rFonts w:hint="eastAsia" w:ascii="宋体" w:hAnsi="宋体" w:eastAsia="宋体" w:cs="宋体"/>
          <w:snapToGrid w:val="0"/>
          <w:szCs w:val="21"/>
        </w:rPr>
        <w:t>2.2.2</w:t>
      </w:r>
      <w:r>
        <w:rPr>
          <w:rFonts w:hint="eastAsia" w:ascii="宋体" w:hAnsi="宋体" w:eastAsia="宋体" w:cs="宋体"/>
          <w:bCs/>
          <w:szCs w:val="21"/>
        </w:rPr>
        <w:t>　主构架采用2mm厚覆铝锌钢板，内部安装灵活方便，主构架装配形式设计为全组装式结构。柜体构架及金属结构件均应有足够钢性及承载能力，能满足电气元件的安装要求及操作和短路时所产生的机械应力和热应力电动力，同时不因成套设备的吊装、运输等情况而损坏或影响开关柜及所安装元件的性能，柜内支架并可自由调节。</w:t>
      </w:r>
    </w:p>
    <w:p w14:paraId="09CCDA4F">
      <w:pPr>
        <w:topLinePunct/>
        <w:spacing w:line="312" w:lineRule="exact"/>
        <w:rPr>
          <w:rFonts w:hint="eastAsia" w:ascii="宋体" w:hAnsi="宋体" w:eastAsia="宋体" w:cs="宋体"/>
          <w:bCs/>
          <w:szCs w:val="21"/>
        </w:rPr>
      </w:pPr>
      <w:r>
        <w:rPr>
          <w:rFonts w:hint="eastAsia" w:ascii="宋体" w:hAnsi="宋体" w:eastAsia="宋体" w:cs="宋体"/>
          <w:snapToGrid w:val="0"/>
          <w:szCs w:val="21"/>
        </w:rPr>
        <w:t>2.2.3</w:t>
      </w:r>
      <w:r>
        <w:rPr>
          <w:rFonts w:hint="eastAsia" w:ascii="宋体" w:hAnsi="宋体" w:eastAsia="宋体" w:cs="宋体"/>
          <w:bCs/>
          <w:szCs w:val="21"/>
        </w:rPr>
        <w:t>　低压2500A及以上进线、分段柜绝缘件安装粱采用2mm不锈钢，其余安装粱均采用2mm抗腐蚀敷铝锌钢板，采用双重折边工艺。</w:t>
      </w:r>
    </w:p>
    <w:p w14:paraId="25148E04">
      <w:pPr>
        <w:topLinePunct/>
        <w:spacing w:line="312" w:lineRule="exact"/>
        <w:rPr>
          <w:rFonts w:hint="eastAsia" w:ascii="宋体" w:hAnsi="宋体" w:eastAsia="宋体" w:cs="宋体"/>
          <w:bCs/>
          <w:szCs w:val="21"/>
        </w:rPr>
      </w:pPr>
      <w:r>
        <w:rPr>
          <w:rFonts w:hint="eastAsia" w:ascii="宋体" w:hAnsi="宋体" w:eastAsia="宋体" w:cs="宋体"/>
          <w:snapToGrid w:val="0"/>
          <w:szCs w:val="21"/>
        </w:rPr>
        <w:t>2.2.4</w:t>
      </w:r>
      <w:r>
        <w:rPr>
          <w:rFonts w:hint="eastAsia" w:ascii="宋体" w:hAnsi="宋体" w:eastAsia="宋体" w:cs="宋体"/>
          <w:bCs/>
          <w:szCs w:val="21"/>
        </w:rPr>
        <w:t>　柜体材料采用厚度不小于2mm的覆铝锌钢板、镀锌板或冷轧钢板并喷塑,颜色采用RAL7035,柜体防护等级不小于IP30。地板和墙壁均不能作为壳体的一部分，柜底采用敷铝锌板封闭，电缆孔带变径胶圈，电缆由下部引入，电缆室应有足够的空间以便安装电缆。</w:t>
      </w:r>
    </w:p>
    <w:p w14:paraId="42B48C47">
      <w:pPr>
        <w:rPr>
          <w:rFonts w:hint="eastAsia" w:ascii="宋体" w:hAnsi="宋体" w:eastAsia="宋体" w:cs="宋体"/>
          <w:bCs/>
          <w:szCs w:val="21"/>
        </w:rPr>
      </w:pPr>
      <w:r>
        <w:rPr>
          <w:rFonts w:hint="eastAsia" w:ascii="宋体" w:hAnsi="宋体" w:eastAsia="宋体" w:cs="宋体"/>
          <w:snapToGrid w:val="0"/>
          <w:szCs w:val="21"/>
        </w:rPr>
        <w:t>2.2.5</w:t>
      </w:r>
      <w:r>
        <w:rPr>
          <w:rFonts w:hint="eastAsia" w:ascii="宋体" w:hAnsi="宋体" w:eastAsia="宋体" w:cs="宋体"/>
          <w:bCs/>
          <w:szCs w:val="21"/>
        </w:rPr>
        <w:t>　柜内的母线和分支接线须用T2铜材，并应满足以下要求：</w:t>
      </w:r>
    </w:p>
    <w:p w14:paraId="4EFE31E9">
      <w:pPr>
        <w:rPr>
          <w:rFonts w:hint="eastAsia" w:ascii="宋体" w:hAnsi="宋体" w:eastAsia="宋体" w:cs="宋体"/>
          <w:bCs/>
          <w:szCs w:val="21"/>
        </w:rPr>
      </w:pPr>
      <w:r>
        <w:rPr>
          <w:rFonts w:hint="eastAsia" w:ascii="宋体" w:hAnsi="宋体" w:eastAsia="宋体" w:cs="宋体"/>
          <w:bCs/>
          <w:szCs w:val="21"/>
        </w:rPr>
        <w:t>1）母线连接采用高强度专用螺栓连接，接触面应镀锡，应有足够和持久接触压力。</w:t>
      </w:r>
    </w:p>
    <w:p w14:paraId="3E63A897">
      <w:pPr>
        <w:rPr>
          <w:rFonts w:hint="eastAsia" w:ascii="宋体" w:hAnsi="宋体" w:eastAsia="宋体" w:cs="宋体"/>
          <w:bCs/>
          <w:szCs w:val="21"/>
        </w:rPr>
      </w:pPr>
      <w:r>
        <w:rPr>
          <w:rFonts w:hint="eastAsia" w:ascii="宋体" w:hAnsi="宋体" w:eastAsia="宋体" w:cs="宋体"/>
          <w:bCs/>
          <w:szCs w:val="21"/>
        </w:rPr>
        <w:t>2）母线的震动和温度变化在母线上产生的膨胀和收缩不致影响母线连接部位的接触特性。</w:t>
      </w:r>
    </w:p>
    <w:p w14:paraId="47819B85">
      <w:pPr>
        <w:rPr>
          <w:rFonts w:hint="eastAsia" w:ascii="宋体" w:hAnsi="宋体" w:eastAsia="宋体" w:cs="宋体"/>
          <w:bCs/>
          <w:szCs w:val="21"/>
        </w:rPr>
      </w:pPr>
      <w:r>
        <w:rPr>
          <w:rFonts w:hint="eastAsia" w:ascii="宋体" w:hAnsi="宋体" w:eastAsia="宋体" w:cs="宋体"/>
          <w:bCs/>
          <w:szCs w:val="21"/>
        </w:rPr>
        <w:t>3）母线固定应选用不饱合增强树脂（SMC）为材质制做的专用绝缘支撑件，以保证母线之间和母线与其它部件之间的安全距离和绝缘强度。</w:t>
      </w:r>
    </w:p>
    <w:p w14:paraId="7FFF496C">
      <w:pPr>
        <w:rPr>
          <w:rFonts w:hint="eastAsia" w:ascii="宋体" w:hAnsi="宋体" w:eastAsia="宋体" w:cs="宋体"/>
          <w:bCs/>
          <w:szCs w:val="21"/>
          <w:lang w:eastAsia="zh-CN"/>
        </w:rPr>
      </w:pPr>
      <w:r>
        <w:rPr>
          <w:rFonts w:hint="eastAsia" w:ascii="宋体" w:hAnsi="宋体" w:eastAsia="宋体" w:cs="宋体"/>
          <w:bCs/>
          <w:szCs w:val="21"/>
        </w:rPr>
        <w:t>4）母线的布置和连接及绝缘支撑件应能承受装置额定短时耐受电流和额定峰值耐受电流所产生的热应力和电动力的冲击</w:t>
      </w:r>
      <w:r>
        <w:rPr>
          <w:rFonts w:hint="eastAsia" w:ascii="宋体" w:hAnsi="宋体" w:eastAsia="宋体" w:cs="宋体"/>
          <w:bCs/>
          <w:szCs w:val="21"/>
          <w:lang w:eastAsia="zh-CN"/>
        </w:rPr>
        <w:t>。</w:t>
      </w:r>
    </w:p>
    <w:p w14:paraId="3F5933B3">
      <w:pPr>
        <w:rPr>
          <w:rFonts w:hint="eastAsia" w:ascii="宋体" w:hAnsi="宋体" w:eastAsia="宋体" w:cs="宋体"/>
          <w:bCs/>
          <w:szCs w:val="21"/>
        </w:rPr>
      </w:pPr>
      <w:r>
        <w:rPr>
          <w:rFonts w:hint="eastAsia" w:ascii="宋体" w:hAnsi="宋体" w:eastAsia="宋体" w:cs="宋体"/>
          <w:bCs/>
          <w:szCs w:val="21"/>
        </w:rPr>
        <w:t>5）母线穿过金属隔板之外，应设计绝缘强度、机械强度符合要求、且安装简单而又牢固、可靠的绝缘套管和其它绝缘件。</w:t>
      </w:r>
    </w:p>
    <w:p w14:paraId="53D5413C">
      <w:pPr>
        <w:rPr>
          <w:rFonts w:hint="eastAsia" w:ascii="宋体" w:hAnsi="宋体" w:eastAsia="宋体" w:cs="宋体"/>
          <w:bCs/>
          <w:szCs w:val="21"/>
        </w:rPr>
      </w:pPr>
      <w:r>
        <w:rPr>
          <w:rFonts w:hint="eastAsia" w:ascii="宋体" w:hAnsi="宋体" w:eastAsia="宋体" w:cs="宋体"/>
          <w:bCs/>
          <w:szCs w:val="21"/>
        </w:rPr>
        <w:t>6）每台柜内母线相对独立，适于现场安装，柜间母线连接设计有专用的连接板。</w:t>
      </w:r>
    </w:p>
    <w:p w14:paraId="1F758084">
      <w:pPr>
        <w:rPr>
          <w:rFonts w:hint="eastAsia" w:ascii="宋体" w:hAnsi="宋体" w:eastAsia="宋体" w:cs="宋体"/>
          <w:bCs/>
          <w:szCs w:val="21"/>
        </w:rPr>
      </w:pPr>
      <w:r>
        <w:rPr>
          <w:rFonts w:hint="eastAsia" w:ascii="宋体" w:hAnsi="宋体" w:eastAsia="宋体" w:cs="宋体"/>
          <w:bCs/>
          <w:szCs w:val="21"/>
        </w:rPr>
        <w:t>7）</w:t>
      </w:r>
      <w:r>
        <w:rPr>
          <w:rFonts w:hint="eastAsia" w:ascii="宋体" w:hAnsi="宋体" w:eastAsia="宋体" w:cs="宋体"/>
        </w:rPr>
        <w:t>母线及馈出均绝缘封闭，并具有检修时能可靠验电、接地的功能，保障检修人员的人身安全</w:t>
      </w:r>
      <w:r>
        <w:rPr>
          <w:rFonts w:hint="eastAsia" w:ascii="宋体" w:hAnsi="宋体" w:eastAsia="宋体" w:cs="宋体"/>
          <w:bCs/>
          <w:szCs w:val="21"/>
        </w:rPr>
        <w:t>。</w:t>
      </w:r>
    </w:p>
    <w:p w14:paraId="732EEC83">
      <w:pPr>
        <w:rPr>
          <w:rFonts w:hint="eastAsia" w:ascii="宋体" w:hAnsi="宋体" w:eastAsia="宋体" w:cs="宋体"/>
        </w:rPr>
      </w:pPr>
      <w:r>
        <w:rPr>
          <w:rFonts w:hint="eastAsia" w:ascii="宋体" w:hAnsi="宋体" w:eastAsia="宋体" w:cs="宋体"/>
          <w:bCs/>
          <w:szCs w:val="21"/>
        </w:rPr>
        <w:t>8）</w:t>
      </w:r>
      <w:r>
        <w:rPr>
          <w:rFonts w:hint="eastAsia" w:ascii="宋体" w:hAnsi="宋体" w:eastAsia="宋体" w:cs="宋体"/>
        </w:rPr>
        <w:t>铜排其折弯应无砸痕、裂口、毛刺，符合DL/T 499的规定，其最小允许弯曲半径见DL/T 375表7。</w:t>
      </w:r>
    </w:p>
    <w:p w14:paraId="54DEF986">
      <w:pPr>
        <w:rPr>
          <w:rFonts w:hint="eastAsia" w:ascii="宋体" w:hAnsi="宋体" w:eastAsia="宋体" w:cs="宋体"/>
          <w:bCs/>
          <w:szCs w:val="21"/>
        </w:rPr>
      </w:pPr>
      <w:r>
        <w:rPr>
          <w:rFonts w:hint="eastAsia" w:ascii="宋体" w:hAnsi="宋体" w:eastAsia="宋体" w:cs="宋体"/>
          <w:bCs/>
          <w:szCs w:val="21"/>
        </w:rPr>
        <w:t>9）导体、主母线及支线均采用矩形母线，并采用不同相色热缩套管做绝缘处理。热缩套管不得开裂和起皱，母线接头处用热缩绝缘盒封闭。绝缘热缩护套材料应具备阻燃、防腐、抗老化的要求，老化寿命不小于30年，具体试验方法和要求参照GB/T 2951.14中规定执行。10）导体须满足额定短时和峰值耐受电流的要求。N相（L0）母线与三相母线规格相同,PE排截面不低于相排截面的1/2。</w:t>
      </w:r>
    </w:p>
    <w:p w14:paraId="73F4FBB8">
      <w:pPr>
        <w:topLinePunct/>
        <w:adjustRightInd w:val="0"/>
        <w:snapToGrid w:val="0"/>
        <w:rPr>
          <w:rFonts w:hint="eastAsia" w:ascii="宋体" w:hAnsi="宋体" w:eastAsia="宋体" w:cs="宋体"/>
          <w:snapToGrid w:val="0"/>
          <w:sz w:val="18"/>
          <w:szCs w:val="18"/>
        </w:rPr>
      </w:pPr>
      <w:r>
        <w:rPr>
          <w:rFonts w:hint="eastAsia" w:ascii="宋体" w:hAnsi="宋体" w:eastAsia="宋体" w:cs="宋体"/>
          <w:bCs/>
          <w:szCs w:val="21"/>
        </w:rPr>
        <w:t>11）相序的排列参见表1。</w:t>
      </w:r>
    </w:p>
    <w:p w14:paraId="07780280">
      <w:pPr>
        <w:topLinePunct/>
        <w:spacing w:line="312" w:lineRule="exact"/>
        <w:ind w:left="554" w:hanging="210"/>
        <w:jc w:val="center"/>
        <w:rPr>
          <w:rFonts w:hint="eastAsia" w:ascii="宋体" w:hAnsi="宋体" w:eastAsia="宋体" w:cs="宋体"/>
        </w:rPr>
      </w:pPr>
      <w:r>
        <w:rPr>
          <w:rFonts w:hint="eastAsia" w:ascii="宋体" w:hAnsi="宋体" w:eastAsia="宋体" w:cs="宋体"/>
        </w:rPr>
        <w:t>表1　母线相序排列表</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620"/>
        <w:gridCol w:w="2492"/>
        <w:gridCol w:w="2381"/>
        <w:gridCol w:w="1918"/>
      </w:tblGrid>
      <w:tr w14:paraId="75D84E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tcBorders>
              <w:top w:val="single" w:color="auto" w:sz="8" w:space="0"/>
              <w:left w:val="single" w:color="auto" w:sz="8" w:space="0"/>
              <w:bottom w:val="single" w:color="auto" w:sz="4" w:space="0"/>
              <w:right w:val="single" w:color="auto" w:sz="4" w:space="0"/>
            </w:tcBorders>
            <w:noWrap w:val="0"/>
            <w:vAlign w:val="center"/>
          </w:tcPr>
          <w:p w14:paraId="723587CE">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类别</w:t>
            </w:r>
          </w:p>
        </w:tc>
        <w:tc>
          <w:tcPr>
            <w:tcW w:w="2492" w:type="dxa"/>
            <w:tcBorders>
              <w:top w:val="single" w:color="auto" w:sz="8" w:space="0"/>
              <w:left w:val="single" w:color="auto" w:sz="4" w:space="0"/>
              <w:bottom w:val="single" w:color="auto" w:sz="4" w:space="0"/>
              <w:right w:val="single" w:color="auto" w:sz="4" w:space="0"/>
            </w:tcBorders>
            <w:noWrap w:val="0"/>
            <w:vAlign w:val="center"/>
          </w:tcPr>
          <w:p w14:paraId="4A0DB11E">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上下排列</w:t>
            </w:r>
          </w:p>
        </w:tc>
        <w:tc>
          <w:tcPr>
            <w:tcW w:w="2381" w:type="dxa"/>
            <w:tcBorders>
              <w:top w:val="single" w:color="auto" w:sz="8" w:space="0"/>
              <w:left w:val="single" w:color="auto" w:sz="4" w:space="0"/>
              <w:bottom w:val="single" w:color="auto" w:sz="4" w:space="0"/>
              <w:right w:val="single" w:color="auto" w:sz="4" w:space="0"/>
            </w:tcBorders>
            <w:noWrap w:val="0"/>
            <w:vAlign w:val="center"/>
          </w:tcPr>
          <w:p w14:paraId="0B5947F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左右排列</w:t>
            </w:r>
          </w:p>
        </w:tc>
        <w:tc>
          <w:tcPr>
            <w:tcW w:w="1918" w:type="dxa"/>
            <w:tcBorders>
              <w:top w:val="single" w:color="auto" w:sz="8" w:space="0"/>
              <w:left w:val="single" w:color="auto" w:sz="4" w:space="0"/>
              <w:bottom w:val="single" w:color="auto" w:sz="4" w:space="0"/>
              <w:right w:val="single" w:color="auto" w:sz="8" w:space="0"/>
            </w:tcBorders>
            <w:noWrap w:val="0"/>
            <w:vAlign w:val="center"/>
          </w:tcPr>
          <w:p w14:paraId="2CBC4934">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前后排列</w:t>
            </w:r>
          </w:p>
        </w:tc>
      </w:tr>
      <w:tr w14:paraId="32364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tcBorders>
              <w:top w:val="single" w:color="auto" w:sz="4" w:space="0"/>
              <w:left w:val="single" w:color="auto" w:sz="8" w:space="0"/>
              <w:bottom w:val="single" w:color="auto" w:sz="4" w:space="0"/>
              <w:right w:val="single" w:color="auto" w:sz="4" w:space="0"/>
            </w:tcBorders>
            <w:noWrap w:val="0"/>
            <w:vAlign w:val="center"/>
          </w:tcPr>
          <w:p w14:paraId="789937A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A相</w:t>
            </w:r>
          </w:p>
        </w:tc>
        <w:tc>
          <w:tcPr>
            <w:tcW w:w="2492" w:type="dxa"/>
            <w:tcBorders>
              <w:top w:val="single" w:color="auto" w:sz="4" w:space="0"/>
              <w:left w:val="single" w:color="auto" w:sz="4" w:space="0"/>
              <w:bottom w:val="single" w:color="auto" w:sz="4" w:space="0"/>
              <w:right w:val="single" w:color="auto" w:sz="4" w:space="0"/>
            </w:tcBorders>
            <w:noWrap w:val="0"/>
            <w:vAlign w:val="center"/>
          </w:tcPr>
          <w:p w14:paraId="12352CAE">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上</w:t>
            </w:r>
          </w:p>
        </w:tc>
        <w:tc>
          <w:tcPr>
            <w:tcW w:w="2381" w:type="dxa"/>
            <w:tcBorders>
              <w:top w:val="single" w:color="auto" w:sz="4" w:space="0"/>
              <w:left w:val="single" w:color="auto" w:sz="4" w:space="0"/>
              <w:bottom w:val="single" w:color="auto" w:sz="4" w:space="0"/>
              <w:right w:val="single" w:color="auto" w:sz="4" w:space="0"/>
            </w:tcBorders>
            <w:noWrap w:val="0"/>
            <w:vAlign w:val="center"/>
          </w:tcPr>
          <w:p w14:paraId="0E7AE7E8">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左</w:t>
            </w:r>
          </w:p>
        </w:tc>
        <w:tc>
          <w:tcPr>
            <w:tcW w:w="1918" w:type="dxa"/>
            <w:tcBorders>
              <w:top w:val="single" w:color="auto" w:sz="4" w:space="0"/>
              <w:left w:val="single" w:color="auto" w:sz="4" w:space="0"/>
              <w:bottom w:val="single" w:color="auto" w:sz="4" w:space="0"/>
              <w:right w:val="single" w:color="auto" w:sz="8" w:space="0"/>
            </w:tcBorders>
            <w:noWrap w:val="0"/>
            <w:vAlign w:val="center"/>
          </w:tcPr>
          <w:p w14:paraId="48FC2D9E">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远</w:t>
            </w:r>
          </w:p>
        </w:tc>
      </w:tr>
      <w:tr w14:paraId="2E69D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tcBorders>
              <w:top w:val="single" w:color="auto" w:sz="4" w:space="0"/>
              <w:left w:val="single" w:color="auto" w:sz="8" w:space="0"/>
              <w:bottom w:val="single" w:color="auto" w:sz="4" w:space="0"/>
              <w:right w:val="single" w:color="auto" w:sz="4" w:space="0"/>
            </w:tcBorders>
            <w:noWrap w:val="0"/>
            <w:vAlign w:val="center"/>
          </w:tcPr>
          <w:p w14:paraId="6BA64D9F">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B相</w:t>
            </w:r>
          </w:p>
        </w:tc>
        <w:tc>
          <w:tcPr>
            <w:tcW w:w="2492" w:type="dxa"/>
            <w:tcBorders>
              <w:top w:val="single" w:color="auto" w:sz="4" w:space="0"/>
              <w:left w:val="single" w:color="auto" w:sz="4" w:space="0"/>
              <w:bottom w:val="single" w:color="auto" w:sz="4" w:space="0"/>
              <w:right w:val="single" w:color="auto" w:sz="4" w:space="0"/>
            </w:tcBorders>
            <w:noWrap w:val="0"/>
            <w:vAlign w:val="center"/>
          </w:tcPr>
          <w:p w14:paraId="0CD49449">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w:t>
            </w:r>
          </w:p>
        </w:tc>
        <w:tc>
          <w:tcPr>
            <w:tcW w:w="2381" w:type="dxa"/>
            <w:tcBorders>
              <w:top w:val="single" w:color="auto" w:sz="4" w:space="0"/>
              <w:left w:val="single" w:color="auto" w:sz="4" w:space="0"/>
              <w:bottom w:val="single" w:color="auto" w:sz="4" w:space="0"/>
              <w:right w:val="single" w:color="auto" w:sz="4" w:space="0"/>
            </w:tcBorders>
            <w:noWrap w:val="0"/>
            <w:vAlign w:val="center"/>
          </w:tcPr>
          <w:p w14:paraId="60C047A4">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w:t>
            </w:r>
          </w:p>
        </w:tc>
        <w:tc>
          <w:tcPr>
            <w:tcW w:w="1918" w:type="dxa"/>
            <w:tcBorders>
              <w:top w:val="single" w:color="auto" w:sz="4" w:space="0"/>
              <w:left w:val="single" w:color="auto" w:sz="4" w:space="0"/>
              <w:bottom w:val="single" w:color="auto" w:sz="4" w:space="0"/>
              <w:right w:val="single" w:color="auto" w:sz="8" w:space="0"/>
            </w:tcBorders>
            <w:noWrap w:val="0"/>
            <w:vAlign w:val="center"/>
          </w:tcPr>
          <w:p w14:paraId="74FED8E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w:t>
            </w:r>
          </w:p>
        </w:tc>
      </w:tr>
      <w:tr w14:paraId="18757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tcBorders>
              <w:top w:val="single" w:color="auto" w:sz="4" w:space="0"/>
              <w:left w:val="single" w:color="auto" w:sz="8" w:space="0"/>
              <w:bottom w:val="single" w:color="auto" w:sz="4" w:space="0"/>
              <w:right w:val="single" w:color="auto" w:sz="4" w:space="0"/>
            </w:tcBorders>
            <w:noWrap w:val="0"/>
            <w:vAlign w:val="center"/>
          </w:tcPr>
          <w:p w14:paraId="7634DD4B">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C相</w:t>
            </w:r>
          </w:p>
        </w:tc>
        <w:tc>
          <w:tcPr>
            <w:tcW w:w="2492" w:type="dxa"/>
            <w:tcBorders>
              <w:top w:val="single" w:color="auto" w:sz="4" w:space="0"/>
              <w:left w:val="single" w:color="auto" w:sz="4" w:space="0"/>
              <w:bottom w:val="single" w:color="auto" w:sz="4" w:space="0"/>
              <w:right w:val="single" w:color="auto" w:sz="4" w:space="0"/>
            </w:tcBorders>
            <w:noWrap w:val="0"/>
            <w:vAlign w:val="center"/>
          </w:tcPr>
          <w:p w14:paraId="4E3674A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下</w:t>
            </w:r>
          </w:p>
        </w:tc>
        <w:tc>
          <w:tcPr>
            <w:tcW w:w="2381" w:type="dxa"/>
            <w:tcBorders>
              <w:top w:val="single" w:color="auto" w:sz="4" w:space="0"/>
              <w:left w:val="single" w:color="auto" w:sz="4" w:space="0"/>
              <w:bottom w:val="single" w:color="auto" w:sz="4" w:space="0"/>
              <w:right w:val="single" w:color="auto" w:sz="4" w:space="0"/>
            </w:tcBorders>
            <w:noWrap w:val="0"/>
            <w:vAlign w:val="center"/>
          </w:tcPr>
          <w:p w14:paraId="50C8560B">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右</w:t>
            </w:r>
          </w:p>
        </w:tc>
        <w:tc>
          <w:tcPr>
            <w:tcW w:w="1918" w:type="dxa"/>
            <w:tcBorders>
              <w:top w:val="single" w:color="auto" w:sz="4" w:space="0"/>
              <w:left w:val="single" w:color="auto" w:sz="4" w:space="0"/>
              <w:bottom w:val="single" w:color="auto" w:sz="4" w:space="0"/>
              <w:right w:val="single" w:color="auto" w:sz="8" w:space="0"/>
            </w:tcBorders>
            <w:noWrap w:val="0"/>
            <w:vAlign w:val="center"/>
          </w:tcPr>
          <w:p w14:paraId="55AEFF86">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近</w:t>
            </w:r>
          </w:p>
        </w:tc>
      </w:tr>
      <w:tr w14:paraId="79634C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tcBorders>
              <w:top w:val="single" w:color="auto" w:sz="4" w:space="0"/>
              <w:left w:val="single" w:color="auto" w:sz="8" w:space="0"/>
              <w:bottom w:val="single" w:color="auto" w:sz="8" w:space="0"/>
              <w:right w:val="single" w:color="auto" w:sz="4" w:space="0"/>
            </w:tcBorders>
            <w:noWrap w:val="0"/>
            <w:vAlign w:val="center"/>
          </w:tcPr>
          <w:p w14:paraId="493E4A86">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中性线、中性保护线</w:t>
            </w:r>
          </w:p>
        </w:tc>
        <w:tc>
          <w:tcPr>
            <w:tcW w:w="2492" w:type="dxa"/>
            <w:tcBorders>
              <w:top w:val="single" w:color="auto" w:sz="4" w:space="0"/>
              <w:left w:val="single" w:color="auto" w:sz="4" w:space="0"/>
              <w:bottom w:val="single" w:color="auto" w:sz="8" w:space="0"/>
              <w:right w:val="single" w:color="auto" w:sz="4" w:space="0"/>
            </w:tcBorders>
            <w:noWrap w:val="0"/>
            <w:vAlign w:val="center"/>
          </w:tcPr>
          <w:p w14:paraId="11101695">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最下</w:t>
            </w:r>
          </w:p>
        </w:tc>
        <w:tc>
          <w:tcPr>
            <w:tcW w:w="2381" w:type="dxa"/>
            <w:tcBorders>
              <w:top w:val="single" w:color="auto" w:sz="4" w:space="0"/>
              <w:left w:val="single" w:color="auto" w:sz="4" w:space="0"/>
              <w:bottom w:val="single" w:color="auto" w:sz="8" w:space="0"/>
              <w:right w:val="single" w:color="auto" w:sz="4" w:space="0"/>
            </w:tcBorders>
            <w:noWrap w:val="0"/>
            <w:vAlign w:val="center"/>
          </w:tcPr>
          <w:p w14:paraId="587ADCDC">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最右</w:t>
            </w:r>
          </w:p>
        </w:tc>
        <w:tc>
          <w:tcPr>
            <w:tcW w:w="1918" w:type="dxa"/>
            <w:tcBorders>
              <w:top w:val="single" w:color="auto" w:sz="4" w:space="0"/>
              <w:left w:val="single" w:color="auto" w:sz="4" w:space="0"/>
              <w:bottom w:val="single" w:color="auto" w:sz="8" w:space="0"/>
              <w:right w:val="single" w:color="auto" w:sz="8" w:space="0"/>
            </w:tcBorders>
            <w:noWrap w:val="0"/>
            <w:vAlign w:val="center"/>
          </w:tcPr>
          <w:p w14:paraId="09E847DF">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最近</w:t>
            </w:r>
          </w:p>
        </w:tc>
      </w:tr>
    </w:tbl>
    <w:p w14:paraId="1EEF0595">
      <w:pPr>
        <w:rPr>
          <w:rFonts w:hint="eastAsia" w:ascii="宋体" w:hAnsi="宋体" w:eastAsia="宋体" w:cs="宋体"/>
          <w:bCs/>
          <w:szCs w:val="21"/>
        </w:rPr>
      </w:pPr>
      <w:r>
        <w:rPr>
          <w:rFonts w:hint="eastAsia" w:ascii="宋体" w:hAnsi="宋体" w:eastAsia="宋体" w:cs="宋体"/>
          <w:bCs/>
          <w:szCs w:val="21"/>
        </w:rPr>
        <w:t>12）不同电流对应的铜母线规格配置详见表2。</w:t>
      </w:r>
    </w:p>
    <w:p w14:paraId="4E46C4A1">
      <w:pPr>
        <w:topLinePunct/>
        <w:spacing w:line="312" w:lineRule="exact"/>
        <w:jc w:val="center"/>
        <w:rPr>
          <w:rFonts w:hint="eastAsia" w:ascii="宋体" w:hAnsi="宋体" w:eastAsia="宋体" w:cs="宋体"/>
          <w:bCs/>
          <w:spacing w:val="3"/>
          <w:szCs w:val="21"/>
        </w:rPr>
      </w:pPr>
      <w:r>
        <w:rPr>
          <w:rFonts w:hint="eastAsia" w:ascii="宋体" w:hAnsi="宋体" w:eastAsia="宋体" w:cs="宋体"/>
        </w:rPr>
        <w:t>表2　铜母线规格配置</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79"/>
        <w:gridCol w:w="1697"/>
        <w:gridCol w:w="2268"/>
        <w:gridCol w:w="2127"/>
        <w:gridCol w:w="1751"/>
      </w:tblGrid>
      <w:tr w14:paraId="23251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FD8489D">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序号</w:t>
            </w:r>
          </w:p>
        </w:tc>
        <w:tc>
          <w:tcPr>
            <w:tcW w:w="1697" w:type="dxa"/>
            <w:tcBorders>
              <w:top w:val="single" w:color="000000" w:sz="4" w:space="0"/>
              <w:left w:val="single" w:color="000000" w:sz="4" w:space="0"/>
              <w:bottom w:val="single" w:color="000000" w:sz="4" w:space="0"/>
              <w:right w:val="single" w:color="000000" w:sz="4" w:space="0"/>
            </w:tcBorders>
            <w:noWrap w:val="0"/>
            <w:vAlign w:val="center"/>
          </w:tcPr>
          <w:p w14:paraId="7593F4E0">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母线电流</w:t>
            </w:r>
          </w:p>
          <w:p w14:paraId="25BEF717">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（A）</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14:paraId="380AD73C">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主母排规格</w:t>
            </w:r>
          </w:p>
          <w:p w14:paraId="7183F8AD">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（mm）</w:t>
            </w:r>
          </w:p>
        </w:tc>
        <w:tc>
          <w:tcPr>
            <w:tcW w:w="2127" w:type="dxa"/>
            <w:tcBorders>
              <w:top w:val="single" w:color="000000" w:sz="4" w:space="0"/>
              <w:left w:val="single" w:color="000000" w:sz="4" w:space="0"/>
              <w:bottom w:val="single" w:color="000000" w:sz="4" w:space="0"/>
              <w:right w:val="single" w:color="000000" w:sz="4" w:space="0"/>
            </w:tcBorders>
            <w:noWrap w:val="0"/>
            <w:vAlign w:val="center"/>
          </w:tcPr>
          <w:p w14:paraId="0A042387">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PE排规格</w:t>
            </w:r>
          </w:p>
          <w:p w14:paraId="30C31196">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（mm）</w:t>
            </w:r>
          </w:p>
        </w:tc>
        <w:tc>
          <w:tcPr>
            <w:tcW w:w="1751" w:type="dxa"/>
            <w:tcBorders>
              <w:top w:val="single" w:color="000000" w:sz="4" w:space="0"/>
              <w:left w:val="single" w:color="000000" w:sz="4" w:space="0"/>
              <w:bottom w:val="single" w:color="000000" w:sz="4" w:space="0"/>
              <w:right w:val="single" w:color="000000" w:sz="4" w:space="0"/>
            </w:tcBorders>
            <w:noWrap w:val="0"/>
            <w:vAlign w:val="center"/>
          </w:tcPr>
          <w:p w14:paraId="68CD4CA9">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备注</w:t>
            </w:r>
          </w:p>
        </w:tc>
      </w:tr>
      <w:tr w14:paraId="11C054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26F61532">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1</w:t>
            </w:r>
          </w:p>
        </w:tc>
        <w:tc>
          <w:tcPr>
            <w:tcW w:w="1697" w:type="dxa"/>
            <w:tcBorders>
              <w:top w:val="single" w:color="000000" w:sz="4" w:space="0"/>
              <w:left w:val="single" w:color="000000" w:sz="4" w:space="0"/>
              <w:bottom w:val="single" w:color="000000" w:sz="4" w:space="0"/>
              <w:right w:val="single" w:color="000000" w:sz="4" w:space="0"/>
            </w:tcBorders>
            <w:noWrap w:val="0"/>
            <w:vAlign w:val="center"/>
          </w:tcPr>
          <w:p w14:paraId="431CB7D9">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800</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14:paraId="16042898">
            <w:pPr>
              <w:jc w:val="left"/>
              <w:rPr>
                <w:rFonts w:hint="eastAsia" w:ascii="宋体" w:hAnsi="宋体" w:eastAsia="宋体" w:cs="宋体"/>
                <w:szCs w:val="21"/>
              </w:rPr>
            </w:pPr>
            <w:r>
              <w:rPr>
                <w:rFonts w:hint="eastAsia" w:ascii="宋体" w:hAnsi="宋体" w:eastAsia="宋体" w:cs="宋体"/>
                <w:szCs w:val="21"/>
              </w:rPr>
              <w:t>60×6</w:t>
            </w:r>
          </w:p>
        </w:tc>
        <w:tc>
          <w:tcPr>
            <w:tcW w:w="2127" w:type="dxa"/>
            <w:tcBorders>
              <w:top w:val="single" w:color="000000" w:sz="4" w:space="0"/>
              <w:left w:val="single" w:color="000000" w:sz="4" w:space="0"/>
              <w:bottom w:val="single" w:color="000000" w:sz="4" w:space="0"/>
              <w:right w:val="single" w:color="000000" w:sz="4" w:space="0"/>
            </w:tcBorders>
            <w:noWrap w:val="0"/>
            <w:vAlign w:val="center"/>
          </w:tcPr>
          <w:p w14:paraId="6B8143EC">
            <w:pPr>
              <w:jc w:val="left"/>
              <w:rPr>
                <w:rFonts w:hint="eastAsia" w:ascii="宋体" w:hAnsi="宋体" w:eastAsia="宋体" w:cs="宋体"/>
                <w:szCs w:val="21"/>
              </w:rPr>
            </w:pPr>
            <w:r>
              <w:rPr>
                <w:rFonts w:hint="eastAsia" w:ascii="宋体" w:hAnsi="宋体" w:eastAsia="宋体" w:cs="宋体"/>
                <w:szCs w:val="21"/>
              </w:rPr>
              <w:t>40×4</w:t>
            </w:r>
          </w:p>
        </w:tc>
        <w:tc>
          <w:tcPr>
            <w:tcW w:w="1751" w:type="dxa"/>
            <w:tcBorders>
              <w:top w:val="single" w:color="000000" w:sz="4" w:space="0"/>
              <w:left w:val="single" w:color="000000" w:sz="4" w:space="0"/>
              <w:bottom w:val="single" w:color="000000" w:sz="4" w:space="0"/>
              <w:right w:val="single" w:color="000000" w:sz="4" w:space="0"/>
            </w:tcBorders>
            <w:noWrap w:val="0"/>
            <w:vAlign w:val="center"/>
          </w:tcPr>
          <w:p w14:paraId="7728A64E">
            <w:pPr>
              <w:topLinePunct/>
              <w:spacing w:line="312" w:lineRule="exact"/>
              <w:jc w:val="center"/>
              <w:rPr>
                <w:rFonts w:hint="eastAsia" w:ascii="宋体" w:hAnsi="宋体" w:eastAsia="宋体" w:cs="宋体"/>
                <w:bCs/>
                <w:szCs w:val="21"/>
              </w:rPr>
            </w:pPr>
          </w:p>
        </w:tc>
      </w:tr>
      <w:tr w14:paraId="02321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5B2375F2">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2</w:t>
            </w:r>
          </w:p>
        </w:tc>
        <w:tc>
          <w:tcPr>
            <w:tcW w:w="1697" w:type="dxa"/>
            <w:tcBorders>
              <w:top w:val="single" w:color="000000" w:sz="4" w:space="0"/>
              <w:left w:val="single" w:color="000000" w:sz="4" w:space="0"/>
              <w:bottom w:val="single" w:color="000000" w:sz="4" w:space="0"/>
              <w:right w:val="single" w:color="000000" w:sz="4" w:space="0"/>
            </w:tcBorders>
            <w:noWrap w:val="0"/>
            <w:vAlign w:val="center"/>
          </w:tcPr>
          <w:p w14:paraId="60F446DC">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1250</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14:paraId="5B114F38">
            <w:pPr>
              <w:jc w:val="left"/>
              <w:rPr>
                <w:rFonts w:hint="eastAsia" w:ascii="宋体" w:hAnsi="宋体" w:eastAsia="宋体" w:cs="宋体"/>
                <w:szCs w:val="21"/>
              </w:rPr>
            </w:pPr>
            <w:r>
              <w:rPr>
                <w:rFonts w:hint="eastAsia" w:ascii="宋体" w:hAnsi="宋体" w:eastAsia="宋体" w:cs="宋体"/>
                <w:szCs w:val="21"/>
              </w:rPr>
              <w:t>80×8</w:t>
            </w:r>
          </w:p>
        </w:tc>
        <w:tc>
          <w:tcPr>
            <w:tcW w:w="2127" w:type="dxa"/>
            <w:tcBorders>
              <w:top w:val="single" w:color="000000" w:sz="4" w:space="0"/>
              <w:left w:val="single" w:color="000000" w:sz="4" w:space="0"/>
              <w:bottom w:val="single" w:color="000000" w:sz="4" w:space="0"/>
              <w:right w:val="single" w:color="000000" w:sz="4" w:space="0"/>
            </w:tcBorders>
            <w:noWrap w:val="0"/>
            <w:vAlign w:val="center"/>
          </w:tcPr>
          <w:p w14:paraId="71C6F6D5">
            <w:pPr>
              <w:jc w:val="left"/>
              <w:rPr>
                <w:rFonts w:hint="eastAsia" w:ascii="宋体" w:hAnsi="宋体" w:eastAsia="宋体" w:cs="宋体"/>
                <w:szCs w:val="21"/>
              </w:rPr>
            </w:pPr>
            <w:r>
              <w:rPr>
                <w:rFonts w:hint="eastAsia" w:ascii="宋体" w:hAnsi="宋体" w:eastAsia="宋体" w:cs="宋体"/>
                <w:szCs w:val="21"/>
              </w:rPr>
              <w:t>60×6</w:t>
            </w:r>
          </w:p>
        </w:tc>
        <w:tc>
          <w:tcPr>
            <w:tcW w:w="1751" w:type="dxa"/>
            <w:tcBorders>
              <w:top w:val="single" w:color="000000" w:sz="4" w:space="0"/>
              <w:left w:val="single" w:color="000000" w:sz="4" w:space="0"/>
              <w:bottom w:val="single" w:color="000000" w:sz="4" w:space="0"/>
              <w:right w:val="single" w:color="000000" w:sz="4" w:space="0"/>
            </w:tcBorders>
            <w:noWrap w:val="0"/>
            <w:vAlign w:val="center"/>
          </w:tcPr>
          <w:p w14:paraId="28CC57AC">
            <w:pPr>
              <w:topLinePunct/>
              <w:spacing w:line="312" w:lineRule="exact"/>
              <w:jc w:val="center"/>
              <w:rPr>
                <w:rFonts w:hint="eastAsia" w:ascii="宋体" w:hAnsi="宋体" w:eastAsia="宋体" w:cs="宋体"/>
                <w:bCs/>
                <w:szCs w:val="21"/>
              </w:rPr>
            </w:pPr>
          </w:p>
        </w:tc>
      </w:tr>
      <w:tr w14:paraId="2A6FF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26BACB7D">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3</w:t>
            </w:r>
          </w:p>
        </w:tc>
        <w:tc>
          <w:tcPr>
            <w:tcW w:w="1697" w:type="dxa"/>
            <w:tcBorders>
              <w:top w:val="single" w:color="000000" w:sz="4" w:space="0"/>
              <w:left w:val="single" w:color="000000" w:sz="4" w:space="0"/>
              <w:bottom w:val="single" w:color="000000" w:sz="4" w:space="0"/>
              <w:right w:val="single" w:color="000000" w:sz="4" w:space="0"/>
            </w:tcBorders>
            <w:noWrap w:val="0"/>
            <w:vAlign w:val="center"/>
          </w:tcPr>
          <w:p w14:paraId="5FCD1A5E">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2000</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14:paraId="007F1CA0">
            <w:pPr>
              <w:jc w:val="left"/>
              <w:rPr>
                <w:rFonts w:hint="eastAsia" w:ascii="宋体" w:hAnsi="宋体" w:eastAsia="宋体" w:cs="宋体"/>
                <w:szCs w:val="21"/>
              </w:rPr>
            </w:pPr>
            <w:r>
              <w:rPr>
                <w:rFonts w:hint="eastAsia" w:ascii="宋体" w:hAnsi="宋体" w:eastAsia="宋体" w:cs="宋体"/>
                <w:szCs w:val="21"/>
              </w:rPr>
              <w:t>125×10</w:t>
            </w:r>
          </w:p>
        </w:tc>
        <w:tc>
          <w:tcPr>
            <w:tcW w:w="2127" w:type="dxa"/>
            <w:tcBorders>
              <w:top w:val="single" w:color="000000" w:sz="4" w:space="0"/>
              <w:left w:val="single" w:color="000000" w:sz="4" w:space="0"/>
              <w:bottom w:val="single" w:color="000000" w:sz="4" w:space="0"/>
              <w:right w:val="single" w:color="000000" w:sz="4" w:space="0"/>
            </w:tcBorders>
            <w:noWrap w:val="0"/>
            <w:vAlign w:val="center"/>
          </w:tcPr>
          <w:p w14:paraId="1B1A0390">
            <w:pPr>
              <w:jc w:val="left"/>
              <w:rPr>
                <w:rFonts w:hint="eastAsia" w:ascii="宋体" w:hAnsi="宋体" w:eastAsia="宋体" w:cs="宋体"/>
                <w:szCs w:val="21"/>
              </w:rPr>
            </w:pPr>
            <w:r>
              <w:rPr>
                <w:rFonts w:hint="eastAsia" w:ascii="宋体" w:hAnsi="宋体" w:eastAsia="宋体" w:cs="宋体"/>
                <w:szCs w:val="21"/>
              </w:rPr>
              <w:t>80×8</w:t>
            </w:r>
          </w:p>
        </w:tc>
        <w:tc>
          <w:tcPr>
            <w:tcW w:w="1751" w:type="dxa"/>
            <w:tcBorders>
              <w:top w:val="single" w:color="000000" w:sz="4" w:space="0"/>
              <w:left w:val="single" w:color="000000" w:sz="4" w:space="0"/>
              <w:bottom w:val="single" w:color="000000" w:sz="4" w:space="0"/>
              <w:right w:val="single" w:color="000000" w:sz="4" w:space="0"/>
            </w:tcBorders>
            <w:noWrap w:val="0"/>
            <w:vAlign w:val="center"/>
          </w:tcPr>
          <w:p w14:paraId="70FC8B3C">
            <w:pPr>
              <w:topLinePunct/>
              <w:spacing w:line="312" w:lineRule="exact"/>
              <w:jc w:val="center"/>
              <w:rPr>
                <w:rFonts w:hint="eastAsia" w:ascii="宋体" w:hAnsi="宋体" w:eastAsia="宋体" w:cs="宋体"/>
                <w:bCs/>
                <w:szCs w:val="21"/>
              </w:rPr>
            </w:pPr>
          </w:p>
        </w:tc>
      </w:tr>
      <w:tr w14:paraId="74D7A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9DE1BE2">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4</w:t>
            </w:r>
          </w:p>
        </w:tc>
        <w:tc>
          <w:tcPr>
            <w:tcW w:w="1697" w:type="dxa"/>
            <w:tcBorders>
              <w:top w:val="single" w:color="000000" w:sz="4" w:space="0"/>
              <w:left w:val="single" w:color="000000" w:sz="4" w:space="0"/>
              <w:bottom w:val="single" w:color="000000" w:sz="4" w:space="0"/>
              <w:right w:val="single" w:color="000000" w:sz="4" w:space="0"/>
            </w:tcBorders>
            <w:noWrap w:val="0"/>
            <w:vAlign w:val="center"/>
          </w:tcPr>
          <w:p w14:paraId="2336C59D">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2500</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14:paraId="408CFC6B">
            <w:pPr>
              <w:jc w:val="left"/>
              <w:rPr>
                <w:rFonts w:hint="eastAsia" w:ascii="宋体" w:hAnsi="宋体" w:eastAsia="宋体" w:cs="宋体"/>
                <w:szCs w:val="21"/>
              </w:rPr>
            </w:pPr>
            <w:r>
              <w:rPr>
                <w:rFonts w:hint="eastAsia" w:ascii="宋体" w:hAnsi="宋体" w:eastAsia="宋体" w:cs="宋体"/>
                <w:szCs w:val="21"/>
              </w:rPr>
              <w:t>2×(100×10)</w:t>
            </w:r>
          </w:p>
        </w:tc>
        <w:tc>
          <w:tcPr>
            <w:tcW w:w="2127" w:type="dxa"/>
            <w:tcBorders>
              <w:top w:val="single" w:color="000000" w:sz="4" w:space="0"/>
              <w:left w:val="single" w:color="000000" w:sz="4" w:space="0"/>
              <w:bottom w:val="single" w:color="000000" w:sz="4" w:space="0"/>
              <w:right w:val="single" w:color="000000" w:sz="4" w:space="0"/>
            </w:tcBorders>
            <w:noWrap w:val="0"/>
            <w:vAlign w:val="center"/>
          </w:tcPr>
          <w:p w14:paraId="71A93DEF">
            <w:pPr>
              <w:jc w:val="left"/>
              <w:rPr>
                <w:rFonts w:hint="eastAsia" w:ascii="宋体" w:hAnsi="宋体" w:eastAsia="宋体" w:cs="宋体"/>
                <w:szCs w:val="21"/>
              </w:rPr>
            </w:pPr>
            <w:r>
              <w:rPr>
                <w:rFonts w:hint="eastAsia" w:ascii="宋体" w:hAnsi="宋体" w:eastAsia="宋体" w:cs="宋体"/>
                <w:szCs w:val="21"/>
              </w:rPr>
              <w:t>100×10</w:t>
            </w:r>
          </w:p>
        </w:tc>
        <w:tc>
          <w:tcPr>
            <w:tcW w:w="1751" w:type="dxa"/>
            <w:tcBorders>
              <w:top w:val="single" w:color="000000" w:sz="4" w:space="0"/>
              <w:left w:val="single" w:color="000000" w:sz="4" w:space="0"/>
              <w:bottom w:val="single" w:color="000000" w:sz="4" w:space="0"/>
              <w:right w:val="single" w:color="000000" w:sz="4" w:space="0"/>
            </w:tcBorders>
            <w:noWrap w:val="0"/>
            <w:vAlign w:val="center"/>
          </w:tcPr>
          <w:p w14:paraId="00893919">
            <w:pPr>
              <w:topLinePunct/>
              <w:spacing w:line="312" w:lineRule="exact"/>
              <w:jc w:val="center"/>
              <w:rPr>
                <w:rFonts w:hint="eastAsia" w:ascii="宋体" w:hAnsi="宋体" w:eastAsia="宋体" w:cs="宋体"/>
                <w:bCs/>
                <w:szCs w:val="21"/>
              </w:rPr>
            </w:pPr>
          </w:p>
        </w:tc>
      </w:tr>
    </w:tbl>
    <w:p w14:paraId="159B88E7">
      <w:pPr>
        <w:topLinePunct/>
        <w:adjustRightInd w:val="0"/>
        <w:snapToGrid w:val="0"/>
        <w:rPr>
          <w:rFonts w:hint="eastAsia" w:ascii="宋体" w:hAnsi="宋体" w:eastAsia="宋体" w:cs="宋体"/>
          <w:snapToGrid w:val="0"/>
          <w:sz w:val="18"/>
          <w:szCs w:val="18"/>
        </w:rPr>
      </w:pPr>
      <w:r>
        <w:rPr>
          <w:rFonts w:hint="eastAsia" w:ascii="宋体" w:hAnsi="宋体" w:eastAsia="宋体" w:cs="宋体"/>
          <w:snapToGrid w:val="0"/>
          <w:sz w:val="18"/>
          <w:szCs w:val="18"/>
        </w:rPr>
        <w:t>注：1.铜母排横截面应为直角矩形。</w:t>
      </w:r>
    </w:p>
    <w:p w14:paraId="417FCA27">
      <w:pPr>
        <w:topLinePunct/>
        <w:adjustRightInd w:val="0"/>
        <w:snapToGrid w:val="0"/>
        <w:ind w:left="541" w:leftChars="172" w:hanging="180" w:hangingChars="100"/>
        <w:rPr>
          <w:rFonts w:hint="eastAsia" w:ascii="宋体" w:hAnsi="宋体" w:eastAsia="宋体" w:cs="宋体"/>
          <w:snapToGrid w:val="0"/>
          <w:sz w:val="18"/>
          <w:szCs w:val="18"/>
        </w:rPr>
      </w:pPr>
      <w:r>
        <w:rPr>
          <w:rFonts w:hint="eastAsia" w:ascii="宋体" w:hAnsi="宋体" w:eastAsia="宋体" w:cs="宋体"/>
          <w:snapToGrid w:val="0"/>
          <w:sz w:val="18"/>
          <w:szCs w:val="18"/>
        </w:rPr>
        <w:t>2.表中铜母线规格为建议值，供货厂家如选用以上规格或选用其它规格替代，应提供相关型式试验报告。</w:t>
      </w:r>
    </w:p>
    <w:p w14:paraId="41BAF0CB">
      <w:pPr>
        <w:topLinePunct/>
        <w:adjustRightInd w:val="0"/>
        <w:snapToGrid w:val="0"/>
        <w:rPr>
          <w:rFonts w:hint="eastAsia" w:ascii="宋体" w:hAnsi="宋体" w:eastAsia="宋体" w:cs="宋体"/>
          <w:bCs/>
          <w:szCs w:val="21"/>
        </w:rPr>
      </w:pPr>
    </w:p>
    <w:p w14:paraId="448BC8C7">
      <w:pPr>
        <w:topLinePunct/>
        <w:adjustRightInd w:val="0"/>
        <w:snapToGrid w:val="0"/>
        <w:rPr>
          <w:rFonts w:hint="eastAsia" w:ascii="宋体" w:hAnsi="宋体" w:eastAsia="宋体" w:cs="宋体"/>
          <w:bCs/>
          <w:szCs w:val="21"/>
        </w:rPr>
      </w:pPr>
      <w:r>
        <w:rPr>
          <w:rFonts w:hint="eastAsia" w:ascii="宋体" w:hAnsi="宋体" w:eastAsia="宋体" w:cs="宋体"/>
          <w:bCs/>
          <w:szCs w:val="21"/>
        </w:rPr>
        <w:t>13）母线相色参见表3。</w:t>
      </w:r>
    </w:p>
    <w:p w14:paraId="2DB5A4D3">
      <w:pPr>
        <w:topLinePunct/>
        <w:adjustRightInd w:val="0"/>
        <w:snapToGrid w:val="0"/>
        <w:jc w:val="center"/>
        <w:rPr>
          <w:rFonts w:hint="eastAsia" w:ascii="宋体" w:hAnsi="宋体" w:eastAsia="宋体" w:cs="宋体"/>
          <w:bCs/>
          <w:szCs w:val="21"/>
        </w:rPr>
      </w:pPr>
      <w:r>
        <w:rPr>
          <w:rFonts w:hint="eastAsia" w:ascii="宋体" w:hAnsi="宋体" w:eastAsia="宋体" w:cs="宋体"/>
          <w:bCs/>
          <w:szCs w:val="21"/>
        </w:rPr>
        <w:t>表3　电工成套装置中的母线相色</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05"/>
        <w:gridCol w:w="4706"/>
      </w:tblGrid>
      <w:tr w14:paraId="198881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705" w:type="dxa"/>
            <w:tcBorders>
              <w:top w:val="single" w:color="auto" w:sz="8" w:space="0"/>
              <w:left w:val="single" w:color="auto" w:sz="8" w:space="0"/>
              <w:bottom w:val="single" w:color="auto" w:sz="4" w:space="0"/>
              <w:right w:val="single" w:color="auto" w:sz="4" w:space="0"/>
            </w:tcBorders>
            <w:noWrap w:val="0"/>
            <w:vAlign w:val="center"/>
          </w:tcPr>
          <w:p w14:paraId="61807792">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颜　　色</w:t>
            </w:r>
          </w:p>
        </w:tc>
        <w:tc>
          <w:tcPr>
            <w:tcW w:w="4706" w:type="dxa"/>
            <w:tcBorders>
              <w:top w:val="single" w:color="auto" w:sz="8" w:space="0"/>
              <w:left w:val="single" w:color="auto" w:sz="4" w:space="0"/>
              <w:bottom w:val="single" w:color="auto" w:sz="4" w:space="0"/>
              <w:right w:val="single" w:color="auto" w:sz="8" w:space="0"/>
            </w:tcBorders>
            <w:noWrap w:val="0"/>
            <w:vAlign w:val="center"/>
          </w:tcPr>
          <w:p w14:paraId="79CDA456">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用　　途</w:t>
            </w:r>
          </w:p>
        </w:tc>
      </w:tr>
      <w:tr w14:paraId="161F56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069B98A0">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黄</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1C6F549C">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交流A相线</w:t>
            </w:r>
          </w:p>
        </w:tc>
      </w:tr>
      <w:tr w14:paraId="485FD6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3AA071A4">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绿</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6D7F894A">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交流B相线</w:t>
            </w:r>
          </w:p>
        </w:tc>
      </w:tr>
      <w:tr w14:paraId="3AA07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26E3C4A4">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红</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065CBABB">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交流C相线</w:t>
            </w:r>
          </w:p>
        </w:tc>
      </w:tr>
      <w:tr w14:paraId="1FC8AF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2261A950">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黄绿间隔（绿/黄）</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14ADFF63">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PE或PEN线</w:t>
            </w:r>
          </w:p>
        </w:tc>
      </w:tr>
      <w:tr w14:paraId="05F96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0011D751">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黑色</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65A99F0A">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装置和设备内的布线</w:t>
            </w:r>
          </w:p>
        </w:tc>
      </w:tr>
      <w:tr w14:paraId="45968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5EF49234">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淡蓝色</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519E143A">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交流N相</w:t>
            </w:r>
          </w:p>
        </w:tc>
      </w:tr>
      <w:tr w14:paraId="7CB643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774285DC">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三芯电缆颜色由下列颜色构成：绿/黄+淡蓝+</w:t>
            </w:r>
            <w:r>
              <w:rPr>
                <w:rFonts w:hint="eastAsia" w:ascii="宋体" w:hAnsi="宋体" w:eastAsia="宋体" w:cs="宋体"/>
                <w:sz w:val="18"/>
                <w:szCs w:val="21"/>
              </w:rPr>
              <w:br w:type="textWrapping"/>
            </w:r>
            <w:r>
              <w:rPr>
                <w:rFonts w:hint="eastAsia" w:ascii="宋体" w:hAnsi="宋体" w:eastAsia="宋体" w:cs="宋体"/>
                <w:sz w:val="18"/>
                <w:szCs w:val="21"/>
              </w:rPr>
              <w:t>棕色或者黑+淡蓝+棕色</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64DB50A2">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连接三相交流电路</w:t>
            </w:r>
          </w:p>
        </w:tc>
      </w:tr>
      <w:tr w14:paraId="59695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tcBorders>
              <w:top w:val="single" w:color="auto" w:sz="4" w:space="0"/>
              <w:left w:val="single" w:color="auto" w:sz="8" w:space="0"/>
              <w:bottom w:val="single" w:color="auto" w:sz="4" w:space="0"/>
              <w:right w:val="single" w:color="auto" w:sz="4" w:space="0"/>
            </w:tcBorders>
            <w:noWrap w:val="0"/>
            <w:vAlign w:val="center"/>
          </w:tcPr>
          <w:p w14:paraId="716E00D9">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四芯颜色构成：绿/黄+淡蓝+黑+棕色</w:t>
            </w:r>
          </w:p>
        </w:tc>
        <w:tc>
          <w:tcPr>
            <w:tcW w:w="4706" w:type="dxa"/>
            <w:tcBorders>
              <w:top w:val="single" w:color="auto" w:sz="4" w:space="0"/>
              <w:left w:val="single" w:color="auto" w:sz="4" w:space="0"/>
              <w:bottom w:val="single" w:color="auto" w:sz="4" w:space="0"/>
              <w:right w:val="single" w:color="auto" w:sz="8" w:space="0"/>
            </w:tcBorders>
            <w:noWrap w:val="0"/>
            <w:vAlign w:val="center"/>
          </w:tcPr>
          <w:p w14:paraId="084838CD">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连接三相交流电路</w:t>
            </w:r>
          </w:p>
        </w:tc>
      </w:tr>
      <w:tr w14:paraId="7BE343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411" w:type="dxa"/>
            <w:gridSpan w:val="2"/>
            <w:tcBorders>
              <w:top w:val="single" w:color="auto" w:sz="4" w:space="0"/>
              <w:left w:val="single" w:color="auto" w:sz="8" w:space="0"/>
              <w:bottom w:val="single" w:color="auto" w:sz="8" w:space="0"/>
              <w:right w:val="single" w:color="auto" w:sz="8" w:space="0"/>
            </w:tcBorders>
            <w:noWrap w:val="0"/>
            <w:vAlign w:val="center"/>
          </w:tcPr>
          <w:p w14:paraId="06987785">
            <w:pPr>
              <w:topLinePunct/>
              <w:snapToGrid w:val="0"/>
              <w:spacing w:before="56" w:after="56"/>
              <w:ind w:firstLine="170"/>
              <w:rPr>
                <w:rFonts w:hint="eastAsia" w:ascii="宋体" w:hAnsi="宋体" w:eastAsia="宋体" w:cs="宋体"/>
                <w:sz w:val="18"/>
                <w:szCs w:val="21"/>
              </w:rPr>
            </w:pPr>
            <w:r>
              <w:rPr>
                <w:rFonts w:hint="eastAsia" w:ascii="宋体" w:hAnsi="宋体" w:eastAsia="宋体" w:cs="宋体"/>
                <w:sz w:val="18"/>
                <w:szCs w:val="21"/>
              </w:rPr>
              <w:t>二次交流系统选择：A、B、C全部选择单一黑色，PE或PEN线为黄绿间隔条形线</w:t>
            </w:r>
          </w:p>
        </w:tc>
      </w:tr>
    </w:tbl>
    <w:p w14:paraId="66734C3A">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2.2.6</w:t>
      </w:r>
      <w:r>
        <w:rPr>
          <w:rFonts w:hint="eastAsia" w:ascii="宋体" w:hAnsi="宋体" w:eastAsia="宋体" w:cs="宋体"/>
          <w:bCs/>
          <w:szCs w:val="21"/>
        </w:rPr>
        <w:t>　电气间隙：相间及相对地之间不小于10mm，爬电距离不小于14mm。</w:t>
      </w:r>
    </w:p>
    <w:p w14:paraId="177CD2E9">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2.2.7</w:t>
      </w:r>
      <w:r>
        <w:rPr>
          <w:rFonts w:hint="eastAsia" w:ascii="宋体" w:hAnsi="宋体" w:eastAsia="宋体" w:cs="宋体"/>
          <w:bCs/>
          <w:szCs w:val="21"/>
        </w:rPr>
        <w:t>　抽屉层高分为1单元、2单元、4单元三个尺寸系列。单元回路额定电流400A及以下的抽屉单元，抽屉改变仅在高度尺寸上变化，其宽度、深度尺寸不变。相同功能单元的抽屉具有良好的互换性。</w:t>
      </w:r>
    </w:p>
    <w:p w14:paraId="15DFFA2A">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2.2.8</w:t>
      </w:r>
      <w:r>
        <w:rPr>
          <w:rFonts w:hint="eastAsia" w:ascii="宋体" w:hAnsi="宋体" w:eastAsia="宋体" w:cs="宋体"/>
          <w:bCs/>
          <w:szCs w:val="21"/>
        </w:rPr>
        <w:t>　功能单元之间、隔室之间的分隔清晰、可靠，不因某一单元的故障而影响其他单元工作，使故障局限在最小范围。</w:t>
      </w:r>
    </w:p>
    <w:p w14:paraId="2F051FE5">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2.2.9</w:t>
      </w:r>
      <w:r>
        <w:rPr>
          <w:rFonts w:hint="eastAsia" w:ascii="宋体" w:hAnsi="宋体" w:eastAsia="宋体" w:cs="宋体"/>
          <w:bCs/>
          <w:szCs w:val="21"/>
        </w:rPr>
        <w:t>　抽屉进出线根据电流大小采用不同片数的同一规格片式结构的接插件。</w:t>
      </w:r>
    </w:p>
    <w:p w14:paraId="14028D0B">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2.2.10</w:t>
      </w:r>
      <w:r>
        <w:rPr>
          <w:rFonts w:hint="eastAsia" w:ascii="宋体" w:hAnsi="宋体" w:eastAsia="宋体" w:cs="宋体"/>
          <w:bCs/>
          <w:szCs w:val="21"/>
        </w:rPr>
        <w:t>　抽屉单元有足够数量的二次接插件（1单元及以上为16对，特殊要求时可达32对），可满足计算机接口和自控回路对接点数量的要求。</w:t>
      </w:r>
    </w:p>
    <w:p w14:paraId="521EB12E">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2.2.11</w:t>
      </w:r>
      <w:r>
        <w:rPr>
          <w:rFonts w:hint="eastAsia" w:ascii="宋体" w:hAnsi="宋体" w:eastAsia="宋体" w:cs="宋体"/>
          <w:bCs/>
          <w:szCs w:val="21"/>
        </w:rPr>
        <w:t>　开关柜设计及制造期间，供方应积极与同一项目的干式变压器制造厂就接口问题相互配合，以确保开关柜与干式变压器母线的可靠连接，并保持现场立面安装整齐。</w:t>
      </w:r>
    </w:p>
    <w:p w14:paraId="759E7435">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2.2.12</w:t>
      </w:r>
      <w:r>
        <w:rPr>
          <w:rFonts w:hint="eastAsia" w:ascii="宋体" w:hAnsi="宋体" w:eastAsia="宋体" w:cs="宋体"/>
          <w:bCs/>
          <w:szCs w:val="21"/>
        </w:rPr>
        <w:t>　出线柜与外部采用电缆连接时在柜后完成接线，出线方式为下出线；与外部采用母线连接时在柜顶完成接线，出线方式为上出线。</w:t>
      </w:r>
    </w:p>
    <w:p w14:paraId="47249CD6">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2.2.13</w:t>
      </w:r>
      <w:r>
        <w:rPr>
          <w:rFonts w:hint="eastAsia" w:ascii="宋体" w:hAnsi="宋体" w:eastAsia="宋体" w:cs="宋体"/>
          <w:bCs/>
          <w:szCs w:val="21"/>
        </w:rPr>
        <w:t>　柜内二次引线采用铜芯电缆，电流互感器引线截面不小于2.5mm</w:t>
      </w:r>
      <w:r>
        <w:rPr>
          <w:rFonts w:hint="eastAsia" w:ascii="宋体" w:hAnsi="宋体" w:eastAsia="宋体" w:cs="宋体"/>
          <w:bCs/>
          <w:szCs w:val="21"/>
          <w:vertAlign w:val="superscript"/>
        </w:rPr>
        <w:t>2</w:t>
      </w:r>
      <w:r>
        <w:rPr>
          <w:rFonts w:hint="eastAsia" w:ascii="宋体" w:hAnsi="宋体" w:eastAsia="宋体" w:cs="宋体"/>
          <w:bCs/>
          <w:szCs w:val="21"/>
        </w:rPr>
        <w:t>/根；电压互感器引线截面不小于1.5 mm</w:t>
      </w:r>
      <w:r>
        <w:rPr>
          <w:rFonts w:hint="eastAsia" w:ascii="宋体" w:hAnsi="宋体" w:eastAsia="宋体" w:cs="宋体"/>
          <w:bCs/>
          <w:szCs w:val="21"/>
          <w:vertAlign w:val="superscript"/>
        </w:rPr>
        <w:t>2</w:t>
      </w:r>
      <w:r>
        <w:rPr>
          <w:rFonts w:hint="eastAsia" w:ascii="宋体" w:hAnsi="宋体" w:eastAsia="宋体" w:cs="宋体"/>
          <w:bCs/>
          <w:szCs w:val="21"/>
        </w:rPr>
        <w:t>/根。</w:t>
      </w:r>
    </w:p>
    <w:p w14:paraId="4CABE49D">
      <w:pPr>
        <w:topLinePunct/>
        <w:spacing w:line="320" w:lineRule="exact"/>
        <w:rPr>
          <w:rFonts w:hint="eastAsia" w:ascii="宋体" w:hAnsi="宋体" w:eastAsia="宋体" w:cs="宋体"/>
          <w:szCs w:val="21"/>
        </w:rPr>
      </w:pPr>
      <w:r>
        <w:rPr>
          <w:rFonts w:hint="eastAsia" w:ascii="宋体" w:hAnsi="宋体" w:eastAsia="宋体" w:cs="宋体"/>
          <w:snapToGrid w:val="0"/>
          <w:szCs w:val="21"/>
        </w:rPr>
        <w:t>2.2.14</w:t>
      </w:r>
      <w:r>
        <w:rPr>
          <w:rFonts w:hint="eastAsia" w:ascii="宋体" w:hAnsi="宋体" w:eastAsia="宋体" w:cs="宋体"/>
          <w:bCs/>
          <w:szCs w:val="21"/>
        </w:rPr>
        <w:t>　</w:t>
      </w:r>
      <w:r>
        <w:rPr>
          <w:rFonts w:hint="eastAsia" w:ascii="宋体" w:hAnsi="宋体" w:eastAsia="宋体" w:cs="宋体"/>
          <w:szCs w:val="21"/>
        </w:rPr>
        <w:t>每台开关柜的外壳应通过专门的接地点可靠接地，接地回路应满足短路电流的动、热稳定要求。凡不属主回路或辅助回路的预定要接地的所有金属部分都应接地。外壳、框架等的相互电气连接宜用紧固连接，以保证电气上连通。接地点的接触面和接地连线的截面积应能安全地通过故障接地电流。紧固接地螺栓的直径不得小于12mm。接地点应标有接地符号。主回路应有可靠的接地措施，以保证维修工作的安全。</w:t>
      </w:r>
    </w:p>
    <w:p w14:paraId="0FC3F636">
      <w:pPr>
        <w:topLinePunct/>
        <w:spacing w:line="320" w:lineRule="exact"/>
        <w:rPr>
          <w:rFonts w:hint="eastAsia" w:ascii="宋体" w:hAnsi="宋体" w:eastAsia="宋体" w:cs="宋体"/>
          <w:szCs w:val="21"/>
        </w:rPr>
      </w:pPr>
      <w:r>
        <w:rPr>
          <w:rFonts w:hint="eastAsia" w:ascii="宋体" w:hAnsi="宋体" w:eastAsia="宋体" w:cs="宋体"/>
          <w:snapToGrid w:val="0"/>
          <w:szCs w:val="21"/>
        </w:rPr>
        <w:t>2.2.15</w:t>
      </w:r>
      <w:r>
        <w:rPr>
          <w:rFonts w:hint="eastAsia" w:ascii="宋体" w:hAnsi="宋体" w:eastAsia="宋体" w:cs="宋体"/>
          <w:szCs w:val="21"/>
        </w:rPr>
        <w:t>　接地母线须为扁铜排，所有需要接地的设备和回路须接于此排。至少须备有2个适用于120mm</w:t>
      </w:r>
      <w:r>
        <w:rPr>
          <w:rFonts w:hint="eastAsia" w:ascii="宋体" w:hAnsi="宋体" w:eastAsia="宋体" w:cs="宋体"/>
          <w:szCs w:val="21"/>
          <w:vertAlign w:val="superscript"/>
        </w:rPr>
        <w:t>2</w:t>
      </w:r>
      <w:r>
        <w:rPr>
          <w:rFonts w:hint="eastAsia" w:ascii="宋体" w:hAnsi="宋体" w:eastAsia="宋体" w:cs="宋体"/>
          <w:szCs w:val="21"/>
        </w:rPr>
        <w:t>铜电缆的端末连接，以便将此接地母线接至变电站接地系统。</w:t>
      </w:r>
    </w:p>
    <w:p w14:paraId="295E8F4E">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2.2.16</w:t>
      </w:r>
      <w:r>
        <w:rPr>
          <w:rFonts w:hint="eastAsia" w:ascii="宋体" w:hAnsi="宋体" w:eastAsia="宋体" w:cs="宋体"/>
          <w:szCs w:val="21"/>
        </w:rPr>
        <w:t>　</w:t>
      </w:r>
      <w:r>
        <w:rPr>
          <w:rFonts w:hint="eastAsia" w:ascii="宋体" w:hAnsi="宋体" w:eastAsia="宋体" w:cs="宋体"/>
          <w:bCs/>
          <w:szCs w:val="21"/>
        </w:rPr>
        <w:t>装有电器元件的仪表门用4mm2多股软铜线（加装透明绝缘护套）与构架相连，整柜构架完整的接地保护由保护接地铜排完成相互有效的连接以确保保护电路的连续性。保护接地连续性其电阻值应在0.01欧姆以下。</w:t>
      </w:r>
    </w:p>
    <w:p w14:paraId="6BA3E58A">
      <w:pPr>
        <w:topLinePunct/>
        <w:spacing w:line="312" w:lineRule="exact"/>
        <w:rPr>
          <w:rFonts w:hint="eastAsia" w:ascii="宋体" w:hAnsi="宋体" w:eastAsia="宋体" w:cs="宋体"/>
        </w:rPr>
      </w:pPr>
      <w:bookmarkStart w:id="16" w:name="_Toc355884473"/>
      <w:r>
        <w:rPr>
          <w:rFonts w:hint="eastAsia" w:ascii="宋体" w:hAnsi="宋体" w:eastAsia="宋体" w:cs="宋体"/>
        </w:rPr>
        <w:t>2.3 断路器</w:t>
      </w:r>
    </w:p>
    <w:p w14:paraId="2C72B4A3">
      <w:pPr>
        <w:topLinePunct/>
        <w:spacing w:line="312" w:lineRule="exact"/>
        <w:rPr>
          <w:rFonts w:hint="eastAsia" w:ascii="宋体" w:hAnsi="宋体" w:eastAsia="宋体" w:cs="宋体"/>
          <w:szCs w:val="21"/>
        </w:rPr>
      </w:pPr>
      <w:bookmarkStart w:id="17" w:name="_Toc466881988"/>
      <w:r>
        <w:rPr>
          <w:rFonts w:hint="eastAsia" w:ascii="宋体" w:hAnsi="宋体" w:eastAsia="宋体" w:cs="宋体"/>
          <w:snapToGrid w:val="0"/>
          <w:szCs w:val="21"/>
        </w:rPr>
        <w:t xml:space="preserve">2.3.1  </w:t>
      </w:r>
      <w:bookmarkEnd w:id="17"/>
      <w:r>
        <w:rPr>
          <w:rFonts w:hint="eastAsia" w:ascii="宋体" w:hAnsi="宋体" w:eastAsia="宋体" w:cs="宋体"/>
          <w:szCs w:val="21"/>
        </w:rPr>
        <w:t>框架断路器采用电子微处理器脱扣器，液晶显示，中文菜单操作及参数整定。</w:t>
      </w:r>
      <w:r>
        <w:rPr>
          <w:rFonts w:hint="eastAsia" w:ascii="宋体" w:hAnsi="宋体" w:eastAsia="宋体" w:cs="宋体"/>
          <w:bCs/>
          <w:szCs w:val="21"/>
        </w:rPr>
        <w:t>框架断路器采用电动并可手动操作。</w:t>
      </w:r>
      <w:r>
        <w:rPr>
          <w:rFonts w:hint="eastAsia" w:ascii="宋体" w:hAnsi="宋体" w:eastAsia="宋体" w:cs="宋体"/>
          <w:szCs w:val="21"/>
        </w:rPr>
        <w:t>框架断路器采用三段保护，能实现“三遥”功能。</w:t>
      </w:r>
    </w:p>
    <w:p w14:paraId="48CF0AB1">
      <w:pPr>
        <w:topLinePunct/>
        <w:spacing w:line="320" w:lineRule="exact"/>
        <w:rPr>
          <w:rFonts w:hint="eastAsia" w:ascii="宋体" w:hAnsi="宋体" w:eastAsia="宋体" w:cs="宋体"/>
          <w:szCs w:val="21"/>
        </w:rPr>
      </w:pPr>
      <w:r>
        <w:rPr>
          <w:rFonts w:hint="eastAsia" w:ascii="宋体" w:hAnsi="宋体" w:eastAsia="宋体" w:cs="宋体"/>
          <w:snapToGrid w:val="0"/>
          <w:szCs w:val="21"/>
        </w:rPr>
        <w:t xml:space="preserve">2.3.2  </w:t>
      </w:r>
      <w:r>
        <w:rPr>
          <w:rFonts w:hint="eastAsia" w:ascii="宋体" w:hAnsi="宋体" w:eastAsia="宋体" w:cs="宋体"/>
          <w:bCs/>
          <w:szCs w:val="21"/>
        </w:rPr>
        <w:t>塑壳断路器采用手动操作</w:t>
      </w:r>
      <w:r>
        <w:rPr>
          <w:rFonts w:hint="eastAsia" w:ascii="宋体" w:hAnsi="宋体" w:eastAsia="宋体" w:cs="宋体"/>
          <w:szCs w:val="21"/>
        </w:rPr>
        <w:t>，配电子脱扣器，应具备瞬时脱扣、短延时脱扣、长延时脱扣三段保护。</w:t>
      </w:r>
    </w:p>
    <w:p w14:paraId="43E5A24C">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 xml:space="preserve">2.3.3  </w:t>
      </w:r>
      <w:r>
        <w:rPr>
          <w:rFonts w:hint="eastAsia" w:ascii="宋体" w:hAnsi="宋体" w:eastAsia="宋体" w:cs="宋体"/>
          <w:szCs w:val="21"/>
        </w:rPr>
        <w:t>抽屉柜</w:t>
      </w:r>
      <w:r>
        <w:rPr>
          <w:rFonts w:hint="eastAsia" w:ascii="宋体" w:hAnsi="宋体" w:eastAsia="宋体" w:cs="宋体"/>
          <w:bCs/>
          <w:szCs w:val="21"/>
        </w:rPr>
        <w:t>出线单元为抽出式，采用面板旋转手柄操作方式，塑壳断路器为固定式断路器，框架断路器为抽出式断路器。</w:t>
      </w:r>
      <w:r>
        <w:rPr>
          <w:rFonts w:hint="eastAsia" w:ascii="宋体" w:hAnsi="宋体" w:eastAsia="宋体" w:cs="宋体"/>
          <w:szCs w:val="21"/>
        </w:rPr>
        <w:t>固定分隔柜</w:t>
      </w:r>
      <w:r>
        <w:rPr>
          <w:rFonts w:hint="eastAsia" w:ascii="宋体" w:hAnsi="宋体" w:eastAsia="宋体" w:cs="宋体"/>
          <w:bCs/>
          <w:szCs w:val="21"/>
        </w:rPr>
        <w:t>内断路器采用抽出式或插拔式断路器。</w:t>
      </w:r>
      <w:r>
        <w:rPr>
          <w:rFonts w:hint="eastAsia" w:ascii="宋体" w:hAnsi="宋体" w:eastAsia="宋体" w:cs="宋体"/>
          <w:szCs w:val="21"/>
        </w:rPr>
        <w:t>固定柜</w:t>
      </w:r>
      <w:r>
        <w:rPr>
          <w:rFonts w:hint="eastAsia" w:ascii="宋体" w:hAnsi="宋体" w:eastAsia="宋体" w:cs="宋体"/>
          <w:bCs/>
          <w:szCs w:val="21"/>
        </w:rPr>
        <w:t>内断路器采用固定式。</w:t>
      </w:r>
    </w:p>
    <w:p w14:paraId="5323CD26">
      <w:pPr>
        <w:topLinePunct/>
        <w:spacing w:line="320" w:lineRule="exact"/>
        <w:rPr>
          <w:rFonts w:hint="eastAsia" w:ascii="宋体" w:hAnsi="宋体" w:eastAsia="宋体" w:cs="宋体"/>
          <w:szCs w:val="21"/>
        </w:rPr>
      </w:pPr>
      <w:r>
        <w:rPr>
          <w:rFonts w:hint="eastAsia" w:ascii="宋体" w:hAnsi="宋体" w:eastAsia="宋体" w:cs="宋体"/>
          <w:szCs w:val="21"/>
        </w:rPr>
        <w:t xml:space="preserve">2.3.4  </w:t>
      </w:r>
      <w:r>
        <w:rPr>
          <w:rFonts w:hint="eastAsia" w:ascii="宋体" w:hAnsi="宋体" w:eastAsia="宋体" w:cs="宋体"/>
          <w:bCs/>
          <w:szCs w:val="21"/>
        </w:rPr>
        <w:t>抽屉柜断路器应有三个明显的位置：运行位置、试验位置、分离位置。本体（动触头）插入断路器底座（静触头）后，在断路器处于分闸状态时，断路器可视为试验位置；本体（动触头）拨出断路器底座（静触头）后，为分离位置，并形成明显断开点。</w:t>
      </w:r>
    </w:p>
    <w:p w14:paraId="040E1231">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2.3.5  </w:t>
      </w:r>
      <w:r>
        <w:rPr>
          <w:rFonts w:hint="eastAsia" w:ascii="宋体" w:hAnsi="宋体" w:eastAsia="宋体" w:cs="宋体"/>
          <w:bCs/>
          <w:szCs w:val="21"/>
        </w:rPr>
        <w:t>塑壳断路器的位置应与面板有可靠闭锁，在断路器处于合闸位置时，严禁打开面板进行工作。</w:t>
      </w:r>
    </w:p>
    <w:p w14:paraId="558BF05E">
      <w:pPr>
        <w:topLinePunct/>
        <w:spacing w:line="320" w:lineRule="exact"/>
        <w:rPr>
          <w:rFonts w:hint="eastAsia" w:ascii="宋体" w:hAnsi="宋体" w:eastAsia="宋体" w:cs="宋体"/>
          <w:szCs w:val="21"/>
        </w:rPr>
      </w:pPr>
      <w:r>
        <w:rPr>
          <w:rFonts w:hint="eastAsia" w:ascii="宋体" w:hAnsi="宋体" w:eastAsia="宋体" w:cs="宋体"/>
          <w:szCs w:val="21"/>
        </w:rPr>
        <w:t xml:space="preserve">2.3.6  </w:t>
      </w:r>
      <w:r>
        <w:rPr>
          <w:rFonts w:hint="eastAsia" w:ascii="宋体" w:hAnsi="宋体" w:eastAsia="宋体" w:cs="宋体"/>
          <w:bCs/>
          <w:szCs w:val="21"/>
        </w:rPr>
        <w:t>断路器位置指示可采用双色位置指示灯，也可借助于操作手柄的位置变化加以识别。</w:t>
      </w:r>
    </w:p>
    <w:p w14:paraId="7C0B743C">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2.3.7  </w:t>
      </w:r>
      <w:r>
        <w:rPr>
          <w:rFonts w:hint="eastAsia" w:ascii="宋体" w:hAnsi="宋体" w:eastAsia="宋体" w:cs="宋体"/>
          <w:bCs/>
          <w:szCs w:val="21"/>
        </w:rPr>
        <w:t>断路器的辅助电路的插接件应跟随断路器的动作自动地接通和分离。</w:t>
      </w:r>
    </w:p>
    <w:p w14:paraId="667AE980">
      <w:pPr>
        <w:topLinePunct/>
        <w:spacing w:line="320" w:lineRule="exact"/>
        <w:rPr>
          <w:rFonts w:hint="eastAsia" w:ascii="宋体" w:hAnsi="宋体" w:eastAsia="宋体" w:cs="宋体"/>
          <w:szCs w:val="21"/>
        </w:rPr>
      </w:pPr>
      <w:r>
        <w:rPr>
          <w:rFonts w:hint="eastAsia" w:ascii="宋体" w:hAnsi="宋体" w:eastAsia="宋体" w:cs="宋体"/>
          <w:szCs w:val="21"/>
        </w:rPr>
        <w:t xml:space="preserve">2.3.8  </w:t>
      </w:r>
      <w:r>
        <w:rPr>
          <w:rFonts w:hint="eastAsia" w:ascii="宋体" w:hAnsi="宋体" w:eastAsia="宋体" w:cs="宋体"/>
          <w:bCs/>
          <w:szCs w:val="21"/>
        </w:rPr>
        <w:t>框架断路器及抽屉单元内的塑壳断路器，在分闸后，即使断路器上口带电，也能直接或借助于工具安全地将断路器本体从断路器固定装置上移除。</w:t>
      </w:r>
      <w:r>
        <w:rPr>
          <w:rFonts w:hint="eastAsia" w:ascii="宋体" w:hAnsi="宋体" w:eastAsia="宋体" w:cs="宋体"/>
          <w:szCs w:val="21"/>
        </w:rPr>
        <w:t xml:space="preserve">  </w:t>
      </w:r>
    </w:p>
    <w:p w14:paraId="04B2D151">
      <w:pPr>
        <w:topLinePunct/>
        <w:spacing w:line="312" w:lineRule="exact"/>
        <w:rPr>
          <w:rFonts w:hint="eastAsia" w:ascii="宋体" w:hAnsi="宋体" w:eastAsia="宋体" w:cs="宋体"/>
        </w:rPr>
      </w:pPr>
      <w:r>
        <w:rPr>
          <w:rFonts w:hint="eastAsia" w:ascii="宋体" w:hAnsi="宋体" w:eastAsia="宋体" w:cs="宋体"/>
        </w:rPr>
        <w:t>2.4　电流互感器</w:t>
      </w:r>
    </w:p>
    <w:p w14:paraId="6D022A5A">
      <w:pPr>
        <w:topLinePunct/>
        <w:spacing w:line="320" w:lineRule="exact"/>
        <w:rPr>
          <w:rFonts w:hint="eastAsia" w:ascii="宋体" w:hAnsi="宋体" w:eastAsia="宋体" w:cs="宋体"/>
          <w:bCs/>
          <w:szCs w:val="21"/>
        </w:rPr>
      </w:pPr>
      <w:r>
        <w:rPr>
          <w:rFonts w:hint="eastAsia" w:ascii="宋体" w:hAnsi="宋体" w:eastAsia="宋体" w:cs="宋体"/>
          <w:szCs w:val="21"/>
        </w:rPr>
        <w:t xml:space="preserve">    进线及分段柜内电流互感器采用环氧树脂浇铸，出线柜内电流互感器采用塑壳式（塑壳式材质应具有阻燃性能），所有端子及紧固件应有足够的机械强度和良好的导电接触，有可靠的防腐镀层。</w:t>
      </w:r>
    </w:p>
    <w:p w14:paraId="3992295E">
      <w:pPr>
        <w:topLinePunct/>
        <w:spacing w:line="312" w:lineRule="exact"/>
        <w:rPr>
          <w:rFonts w:hint="eastAsia" w:ascii="宋体" w:hAnsi="宋体" w:eastAsia="宋体" w:cs="宋体"/>
        </w:rPr>
      </w:pPr>
      <w:r>
        <w:rPr>
          <w:rFonts w:hint="eastAsia" w:ascii="宋体" w:hAnsi="宋体" w:eastAsia="宋体" w:cs="宋体"/>
        </w:rPr>
        <w:t>2.5 电路</w:t>
      </w:r>
    </w:p>
    <w:p w14:paraId="7C0E7AC9">
      <w:pPr>
        <w:topLinePunct/>
        <w:spacing w:line="320" w:lineRule="exact"/>
        <w:rPr>
          <w:rFonts w:hint="eastAsia" w:ascii="宋体" w:hAnsi="宋体" w:eastAsia="宋体" w:cs="宋体"/>
          <w:szCs w:val="21"/>
        </w:rPr>
      </w:pPr>
      <w:r>
        <w:rPr>
          <w:rFonts w:hint="eastAsia" w:ascii="宋体" w:hAnsi="宋体" w:eastAsia="宋体" w:cs="宋体"/>
          <w:szCs w:val="21"/>
        </w:rPr>
        <w:t>2.5.1 主电路</w:t>
      </w:r>
    </w:p>
    <w:p w14:paraId="11AFB428">
      <w:pPr>
        <w:topLinePunct/>
        <w:spacing w:line="320" w:lineRule="exact"/>
        <w:rPr>
          <w:rFonts w:hint="eastAsia" w:ascii="宋体" w:hAnsi="宋体" w:eastAsia="宋体" w:cs="宋体"/>
          <w:bCs/>
          <w:szCs w:val="21"/>
        </w:rPr>
      </w:pPr>
      <w:r>
        <w:rPr>
          <w:rFonts w:hint="eastAsia" w:ascii="宋体" w:hAnsi="宋体" w:eastAsia="宋体" w:cs="宋体"/>
          <w:bCs/>
          <w:szCs w:val="21"/>
        </w:rPr>
        <w:t>1）各断路器主电路的导体和串联元件，应充分考虑各元件的参数配合。各元件的额定电流、额定短时耐受电流、额定峰值耐受电流应满足本技术条件的要求。</w:t>
      </w:r>
    </w:p>
    <w:p w14:paraId="1109EE2E">
      <w:pPr>
        <w:topLinePunct/>
        <w:spacing w:line="320" w:lineRule="exact"/>
        <w:rPr>
          <w:rFonts w:hint="eastAsia" w:ascii="宋体" w:hAnsi="宋体" w:eastAsia="宋体" w:cs="宋体"/>
          <w:bCs/>
          <w:szCs w:val="21"/>
        </w:rPr>
      </w:pPr>
      <w:r>
        <w:rPr>
          <w:rFonts w:hint="eastAsia" w:ascii="宋体" w:hAnsi="宋体" w:eastAsia="宋体" w:cs="宋体"/>
          <w:bCs/>
          <w:szCs w:val="21"/>
        </w:rPr>
        <w:t>2）短路保护元件在额定的参数范围内，应能可靠地分断短路电流。</w:t>
      </w:r>
    </w:p>
    <w:p w14:paraId="70F15B1B">
      <w:pPr>
        <w:topLinePunct/>
        <w:spacing w:line="320" w:lineRule="exact"/>
        <w:rPr>
          <w:rFonts w:hint="eastAsia" w:ascii="宋体" w:hAnsi="宋体" w:eastAsia="宋体" w:cs="宋体"/>
          <w:bCs/>
          <w:szCs w:val="21"/>
        </w:rPr>
      </w:pPr>
      <w:r>
        <w:rPr>
          <w:rFonts w:hint="eastAsia" w:ascii="宋体" w:hAnsi="宋体" w:eastAsia="宋体" w:cs="宋体"/>
          <w:bCs/>
          <w:szCs w:val="21"/>
        </w:rPr>
        <w:t>3）装置内短路保护元件的动作值应具有选择性。</w:t>
      </w:r>
    </w:p>
    <w:p w14:paraId="5371C248">
      <w:pPr>
        <w:topLinePunct/>
        <w:spacing w:line="320" w:lineRule="exact"/>
        <w:rPr>
          <w:rFonts w:hint="eastAsia" w:ascii="宋体" w:hAnsi="宋体" w:eastAsia="宋体" w:cs="宋体"/>
          <w:szCs w:val="21"/>
        </w:rPr>
      </w:pPr>
      <w:r>
        <w:rPr>
          <w:rFonts w:hint="eastAsia" w:ascii="宋体" w:hAnsi="宋体" w:eastAsia="宋体" w:cs="宋体"/>
          <w:szCs w:val="21"/>
        </w:rPr>
        <w:t>2.5.2 辅助电路</w:t>
      </w:r>
    </w:p>
    <w:p w14:paraId="0DDE030F">
      <w:pPr>
        <w:topLinePunct/>
        <w:spacing w:line="320" w:lineRule="exact"/>
        <w:rPr>
          <w:rFonts w:hint="eastAsia" w:ascii="宋体" w:hAnsi="宋体" w:eastAsia="宋体" w:cs="宋体"/>
          <w:bCs/>
          <w:szCs w:val="21"/>
        </w:rPr>
      </w:pPr>
      <w:r>
        <w:rPr>
          <w:rFonts w:hint="eastAsia" w:ascii="宋体" w:hAnsi="宋体" w:eastAsia="宋体" w:cs="宋体"/>
          <w:bCs/>
          <w:szCs w:val="21"/>
        </w:rPr>
        <w:t>1）用于控制、测量、信号、调节、数据处理等辅助电路的设计应采用电源接地系统，并保证接地故障或带电部件和裸露导电部件之间的故障不会引起误动作。</w:t>
      </w:r>
    </w:p>
    <w:p w14:paraId="097320B2">
      <w:pPr>
        <w:topLinePunct/>
        <w:spacing w:line="320" w:lineRule="exact"/>
        <w:rPr>
          <w:rFonts w:hint="eastAsia" w:ascii="宋体" w:hAnsi="宋体" w:eastAsia="宋体" w:cs="宋体"/>
          <w:bCs/>
          <w:szCs w:val="21"/>
        </w:rPr>
      </w:pPr>
      <w:r>
        <w:rPr>
          <w:rFonts w:hint="eastAsia" w:ascii="宋体" w:hAnsi="宋体" w:eastAsia="宋体" w:cs="宋体"/>
          <w:bCs/>
          <w:szCs w:val="21"/>
        </w:rPr>
        <w:t>2）辅助电路应装设保护元件，如果与主电路连接，则保护元件的短路分断能力应与主电路保护元件相同；</w:t>
      </w:r>
    </w:p>
    <w:p w14:paraId="303B3881">
      <w:pPr>
        <w:topLinePunct/>
        <w:spacing w:line="320" w:lineRule="exact"/>
        <w:rPr>
          <w:rFonts w:hint="eastAsia" w:ascii="宋体" w:hAnsi="宋体" w:eastAsia="宋体" w:cs="宋体"/>
          <w:bCs/>
          <w:szCs w:val="21"/>
        </w:rPr>
      </w:pPr>
      <w:r>
        <w:rPr>
          <w:rFonts w:hint="eastAsia" w:ascii="宋体" w:hAnsi="宋体" w:eastAsia="宋体" w:cs="宋体"/>
          <w:bCs/>
          <w:szCs w:val="21"/>
        </w:rPr>
        <w:t>3）辅助设备（仪表、继电器等）应能承受开关分、合闸产生的振动，而不会发生误动作；</w:t>
      </w:r>
    </w:p>
    <w:p w14:paraId="39A51B57">
      <w:pPr>
        <w:topLinePunct/>
        <w:spacing w:line="320" w:lineRule="exact"/>
        <w:rPr>
          <w:rFonts w:hint="eastAsia" w:ascii="宋体" w:hAnsi="宋体" w:eastAsia="宋体" w:cs="宋体"/>
          <w:bCs/>
          <w:szCs w:val="21"/>
        </w:rPr>
      </w:pPr>
      <w:r>
        <w:rPr>
          <w:rFonts w:hint="eastAsia" w:ascii="宋体" w:hAnsi="宋体" w:eastAsia="宋体" w:cs="宋体"/>
          <w:bCs/>
          <w:szCs w:val="21"/>
        </w:rPr>
        <w:t>4）辅助电路、辅助设备的接线应有适当的保护，以防来自主电路意外燃弧的损坏。</w:t>
      </w:r>
    </w:p>
    <w:p w14:paraId="4AF7D872">
      <w:pPr>
        <w:topLinePunct/>
        <w:spacing w:line="312" w:lineRule="exact"/>
        <w:rPr>
          <w:rFonts w:hint="eastAsia" w:ascii="宋体" w:hAnsi="宋体" w:eastAsia="宋体" w:cs="宋体"/>
        </w:rPr>
      </w:pPr>
      <w:r>
        <w:rPr>
          <w:rFonts w:hint="eastAsia" w:ascii="宋体" w:hAnsi="宋体" w:eastAsia="宋体" w:cs="宋体"/>
        </w:rPr>
        <w:t>2.6 电气间隙、爬电距离和间隔距离</w:t>
      </w:r>
    </w:p>
    <w:p w14:paraId="76C4AB6C">
      <w:pPr>
        <w:topLinePunct/>
        <w:spacing w:line="320" w:lineRule="exact"/>
        <w:rPr>
          <w:rFonts w:hint="eastAsia" w:ascii="宋体" w:hAnsi="宋体" w:eastAsia="宋体" w:cs="宋体"/>
          <w:szCs w:val="21"/>
        </w:rPr>
      </w:pPr>
      <w:r>
        <w:rPr>
          <w:rFonts w:hint="eastAsia" w:ascii="宋体" w:hAnsi="宋体" w:eastAsia="宋体" w:cs="宋体"/>
          <w:szCs w:val="21"/>
        </w:rPr>
        <w:t xml:space="preserve">2.6.1 </w:t>
      </w:r>
      <w:r>
        <w:rPr>
          <w:rFonts w:hint="eastAsia" w:ascii="宋体" w:hAnsi="宋体" w:eastAsia="宋体" w:cs="宋体"/>
          <w:bCs/>
          <w:szCs w:val="21"/>
        </w:rPr>
        <w:t>主母线、配电母线、分支母线和主电路插接件带电部分之间以及带电部分与接地金属构件之间的电气间隙应满足相关标准要求。</w:t>
      </w:r>
    </w:p>
    <w:p w14:paraId="05D563C5">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2.6.2 </w:t>
      </w:r>
      <w:r>
        <w:rPr>
          <w:rFonts w:hint="eastAsia" w:ascii="宋体" w:hAnsi="宋体" w:eastAsia="宋体" w:cs="宋体"/>
          <w:bCs/>
          <w:szCs w:val="21"/>
        </w:rPr>
        <w:t>断路器处于分离位置时，断路器本体的插接件与配电母线（或静触头）的间隔距离应不小于25mm。即使机械寿命到期后亦应保持此距离。</w:t>
      </w:r>
    </w:p>
    <w:p w14:paraId="21996B52">
      <w:pPr>
        <w:topLinePunct/>
        <w:spacing w:line="320" w:lineRule="exact"/>
        <w:rPr>
          <w:rFonts w:hint="eastAsia" w:ascii="宋体" w:hAnsi="宋体" w:eastAsia="宋体" w:cs="宋体"/>
        </w:rPr>
      </w:pPr>
      <w:r>
        <w:rPr>
          <w:rFonts w:hint="eastAsia" w:ascii="宋体" w:hAnsi="宋体" w:eastAsia="宋体" w:cs="宋体"/>
        </w:rPr>
        <w:t>2.7　电磁兼容性</w:t>
      </w:r>
    </w:p>
    <w:p w14:paraId="7179846E">
      <w:pPr>
        <w:topLinePunct/>
        <w:spacing w:line="312" w:lineRule="exact"/>
        <w:ind w:firstLine="420" w:firstLineChars="200"/>
        <w:rPr>
          <w:rFonts w:hint="eastAsia" w:ascii="宋体" w:hAnsi="宋体" w:eastAsia="宋体" w:cs="宋体"/>
          <w:szCs w:val="21"/>
        </w:rPr>
      </w:pPr>
      <w:r>
        <w:rPr>
          <w:rFonts w:hint="eastAsia" w:ascii="宋体" w:hAnsi="宋体" w:eastAsia="宋体" w:cs="宋体"/>
          <w:szCs w:val="21"/>
        </w:rPr>
        <w:t>装置的电磁兼容性应满足GB/T 17626.2、GB/T 17626.3、GB/T 17626.4、GB/T 17626.5的试验技术要求。</w:t>
      </w:r>
    </w:p>
    <w:p w14:paraId="59945C43">
      <w:pPr>
        <w:topLinePunct/>
        <w:spacing w:line="320" w:lineRule="exact"/>
        <w:rPr>
          <w:rFonts w:hint="eastAsia" w:ascii="宋体" w:hAnsi="宋体" w:eastAsia="宋体" w:cs="宋体"/>
        </w:rPr>
      </w:pPr>
      <w:r>
        <w:rPr>
          <w:rFonts w:hint="eastAsia" w:ascii="宋体" w:hAnsi="宋体" w:eastAsia="宋体" w:cs="宋体"/>
        </w:rPr>
        <w:t>2.8　其它要求</w:t>
      </w:r>
    </w:p>
    <w:p w14:paraId="63FE8736">
      <w:pPr>
        <w:topLinePunct/>
        <w:spacing w:line="320" w:lineRule="exact"/>
        <w:rPr>
          <w:rFonts w:hint="eastAsia" w:ascii="宋体" w:hAnsi="宋体" w:eastAsia="宋体" w:cs="宋体"/>
          <w:szCs w:val="21"/>
        </w:rPr>
      </w:pPr>
      <w:r>
        <w:rPr>
          <w:rFonts w:hint="eastAsia" w:ascii="宋体" w:hAnsi="宋体" w:eastAsia="宋体" w:cs="宋体"/>
          <w:szCs w:val="21"/>
        </w:rPr>
        <w:t>2.8.1</w:t>
      </w:r>
      <w:r>
        <w:rPr>
          <w:rFonts w:hint="eastAsia" w:ascii="宋体" w:hAnsi="宋体" w:eastAsia="宋体" w:cs="宋体"/>
          <w:bCs/>
          <w:szCs w:val="21"/>
        </w:rPr>
        <w:t xml:space="preserve"> 进线开关柜上部应按标准计量仓大小预留接线盒、考核计量表，计量互感器安装位置。</w:t>
      </w:r>
    </w:p>
    <w:p w14:paraId="06691769">
      <w:pPr>
        <w:topLinePunct/>
        <w:spacing w:line="320" w:lineRule="exact"/>
        <w:rPr>
          <w:rFonts w:hint="eastAsia" w:ascii="宋体" w:hAnsi="宋体" w:eastAsia="宋体" w:cs="宋体"/>
          <w:szCs w:val="21"/>
        </w:rPr>
      </w:pPr>
      <w:r>
        <w:rPr>
          <w:rFonts w:hint="eastAsia" w:ascii="宋体" w:hAnsi="宋体" w:eastAsia="宋体" w:cs="宋体"/>
          <w:szCs w:val="21"/>
        </w:rPr>
        <w:t>2.8.2</w:t>
      </w:r>
      <w:r>
        <w:rPr>
          <w:rFonts w:hint="eastAsia" w:ascii="宋体" w:hAnsi="宋体" w:eastAsia="宋体" w:cs="宋体"/>
          <w:bCs/>
          <w:szCs w:val="21"/>
        </w:rPr>
        <w:t xml:space="preserve"> 分段柜柜内翻排，与主变压器低压进线柜间采取“三选二”的电气及机械闭锁。</w:t>
      </w:r>
    </w:p>
    <w:p w14:paraId="329F173F">
      <w:pPr>
        <w:topLinePunct/>
        <w:spacing w:line="320" w:lineRule="exact"/>
        <w:rPr>
          <w:rFonts w:hint="eastAsia" w:ascii="宋体" w:hAnsi="宋体" w:eastAsia="宋体" w:cs="宋体"/>
          <w:szCs w:val="21"/>
        </w:rPr>
      </w:pPr>
      <w:r>
        <w:rPr>
          <w:rFonts w:hint="eastAsia" w:ascii="宋体" w:hAnsi="宋体" w:eastAsia="宋体" w:cs="宋体"/>
          <w:szCs w:val="21"/>
        </w:rPr>
        <w:t>2.8.3</w:t>
      </w:r>
      <w:r>
        <w:rPr>
          <w:rFonts w:hint="eastAsia" w:ascii="宋体" w:hAnsi="宋体" w:eastAsia="宋体" w:cs="宋体"/>
          <w:bCs/>
          <w:szCs w:val="21"/>
        </w:rPr>
        <w:t xml:space="preserve"> 分段柜柜内两段母线由两组100A熔断器经ATS后接至站用电回路，具体见图纸</w:t>
      </w:r>
      <w:r>
        <w:rPr>
          <w:rFonts w:hint="eastAsia" w:ascii="宋体" w:hAnsi="宋体" w:eastAsia="宋体" w:cs="宋体"/>
          <w:szCs w:val="21"/>
        </w:rPr>
        <w:t>。</w:t>
      </w:r>
    </w:p>
    <w:p w14:paraId="7EEB6FF9">
      <w:pPr>
        <w:topLinePunct/>
        <w:spacing w:line="320" w:lineRule="exact"/>
        <w:rPr>
          <w:rFonts w:hint="eastAsia" w:ascii="宋体" w:hAnsi="宋体" w:eastAsia="宋体" w:cs="宋体"/>
          <w:bCs/>
          <w:szCs w:val="21"/>
        </w:rPr>
      </w:pPr>
      <w:r>
        <w:rPr>
          <w:rFonts w:hint="eastAsia" w:ascii="宋体" w:hAnsi="宋体" w:eastAsia="宋体" w:cs="宋体"/>
          <w:szCs w:val="21"/>
        </w:rPr>
        <w:t>2.8.4</w:t>
      </w:r>
      <w:r>
        <w:rPr>
          <w:rFonts w:hint="eastAsia" w:ascii="宋体" w:hAnsi="宋体" w:eastAsia="宋体" w:cs="宋体"/>
          <w:bCs/>
          <w:szCs w:val="21"/>
        </w:rPr>
        <w:t>对组件的要求：同型号产品内额定值和结构相同的组件安装与柜内应能互换。装于开关柜内的各组件应符合各自的技术标准。</w:t>
      </w:r>
    </w:p>
    <w:p w14:paraId="0B997292">
      <w:pPr>
        <w:tabs>
          <w:tab w:val="left" w:pos="420"/>
        </w:tabs>
        <w:topLinePunct/>
        <w:spacing w:line="312" w:lineRule="exact"/>
        <w:rPr>
          <w:rFonts w:hint="eastAsia" w:ascii="宋体" w:hAnsi="宋体" w:eastAsia="宋体" w:cs="宋体"/>
          <w:szCs w:val="21"/>
        </w:rPr>
      </w:pPr>
      <w:r>
        <w:rPr>
          <w:rFonts w:hint="eastAsia" w:ascii="宋体" w:hAnsi="宋体" w:eastAsia="宋体" w:cs="宋体"/>
          <w:szCs w:val="21"/>
        </w:rPr>
        <w:t>2.8.5铰链</w:t>
      </w:r>
    </w:p>
    <w:p w14:paraId="17C4BB13">
      <w:pPr>
        <w:topLinePunct/>
        <w:spacing w:line="320" w:lineRule="exact"/>
        <w:rPr>
          <w:rFonts w:hint="eastAsia" w:ascii="宋体" w:hAnsi="宋体" w:eastAsia="宋体" w:cs="宋体"/>
          <w:bCs/>
          <w:szCs w:val="21"/>
        </w:rPr>
      </w:pPr>
      <w:r>
        <w:rPr>
          <w:rFonts w:hint="eastAsia" w:ascii="宋体" w:hAnsi="宋体" w:eastAsia="宋体" w:cs="宋体"/>
          <w:szCs w:val="21"/>
        </w:rPr>
        <w:t>1</w:t>
      </w:r>
      <w:r>
        <w:rPr>
          <w:rFonts w:hint="eastAsia" w:ascii="宋体" w:hAnsi="宋体" w:eastAsia="宋体" w:cs="宋体"/>
          <w:bCs/>
          <w:szCs w:val="21"/>
        </w:rPr>
        <w:t>)门的铰链应采用表面经过防腐处理的铅锌合金制或铸钢静电环氧喷涂铰链，并选用优质橡胶材料做为门板的密封材料。铰链的轴和套应配合紧密并分别牢固地固定在门及装置的壳体支架上，同时保证防护等级的要求。</w:t>
      </w:r>
    </w:p>
    <w:p w14:paraId="0F1F9FB8">
      <w:pPr>
        <w:topLinePunct/>
        <w:spacing w:line="320" w:lineRule="exact"/>
        <w:rPr>
          <w:rFonts w:hint="eastAsia" w:ascii="宋体" w:hAnsi="宋体" w:eastAsia="宋体" w:cs="宋体"/>
          <w:bCs/>
          <w:szCs w:val="21"/>
        </w:rPr>
      </w:pPr>
      <w:r>
        <w:rPr>
          <w:rFonts w:hint="eastAsia" w:ascii="宋体" w:hAnsi="宋体" w:eastAsia="宋体" w:cs="宋体"/>
          <w:bCs/>
          <w:szCs w:val="21"/>
        </w:rPr>
        <w:t>2)对开门的高度（安装铰链边）小于1000mm时，设两个铰链。门的高度≥1000mm时，应设三个铰链。</w:t>
      </w:r>
    </w:p>
    <w:p w14:paraId="39F7F74D">
      <w:pPr>
        <w:topLinePunct/>
        <w:spacing w:line="320" w:lineRule="exact"/>
        <w:rPr>
          <w:rFonts w:hint="eastAsia" w:ascii="宋体" w:hAnsi="宋体" w:eastAsia="宋体" w:cs="宋体"/>
          <w:bCs/>
          <w:szCs w:val="21"/>
        </w:rPr>
      </w:pPr>
      <w:r>
        <w:rPr>
          <w:rFonts w:hint="eastAsia" w:ascii="宋体" w:hAnsi="宋体" w:eastAsia="宋体" w:cs="宋体"/>
          <w:bCs/>
          <w:szCs w:val="21"/>
        </w:rPr>
        <w:t>3)单开门的高度（安装铰链边）小于600mm时，设两个铰链。门的高度≥600mm时，应设三个铰链；</w:t>
      </w:r>
    </w:p>
    <w:p w14:paraId="3D19DC8D">
      <w:pPr>
        <w:topLinePunct/>
        <w:rPr>
          <w:rFonts w:hint="eastAsia" w:ascii="宋体" w:hAnsi="宋体" w:eastAsia="宋体" w:cs="宋体"/>
          <w:bCs/>
          <w:szCs w:val="21"/>
        </w:rPr>
      </w:pPr>
      <w:r>
        <w:rPr>
          <w:rFonts w:hint="eastAsia" w:ascii="宋体" w:hAnsi="宋体" w:eastAsia="宋体" w:cs="宋体"/>
          <w:bCs/>
          <w:szCs w:val="21"/>
        </w:rPr>
        <w:t>4)门的开启角度≥120度（允许±5°公差）。</w:t>
      </w:r>
    </w:p>
    <w:p w14:paraId="7FD07499">
      <w:pPr>
        <w:tabs>
          <w:tab w:val="left" w:pos="420"/>
        </w:tabs>
        <w:topLinePunct/>
        <w:spacing w:line="312" w:lineRule="exact"/>
        <w:rPr>
          <w:rFonts w:hint="eastAsia" w:ascii="宋体" w:hAnsi="宋体" w:eastAsia="宋体" w:cs="宋体"/>
          <w:szCs w:val="21"/>
        </w:rPr>
      </w:pPr>
      <w:r>
        <w:rPr>
          <w:rFonts w:hint="eastAsia" w:ascii="宋体" w:hAnsi="宋体" w:eastAsia="宋体" w:cs="宋体"/>
          <w:szCs w:val="21"/>
        </w:rPr>
        <w:t>2.9标志及铭牌</w:t>
      </w:r>
    </w:p>
    <w:p w14:paraId="15EDFA2F">
      <w:pPr>
        <w:topLinePunct/>
        <w:spacing w:line="320" w:lineRule="exact"/>
        <w:rPr>
          <w:rFonts w:hint="eastAsia" w:ascii="宋体" w:hAnsi="宋体" w:eastAsia="宋体" w:cs="宋体"/>
        </w:rPr>
      </w:pPr>
      <w:r>
        <w:rPr>
          <w:rFonts w:hint="eastAsia" w:ascii="宋体" w:hAnsi="宋体" w:eastAsia="宋体" w:cs="宋体"/>
        </w:rPr>
        <w:t>2.9.1标志</w:t>
      </w:r>
    </w:p>
    <w:p w14:paraId="78588D6E">
      <w:pPr>
        <w:topLinePunct/>
        <w:spacing w:line="320" w:lineRule="exact"/>
        <w:rPr>
          <w:rFonts w:hint="eastAsia" w:ascii="宋体" w:hAnsi="宋体" w:eastAsia="宋体" w:cs="宋体"/>
          <w:bCs/>
          <w:szCs w:val="21"/>
        </w:rPr>
      </w:pPr>
      <w:r>
        <w:rPr>
          <w:rFonts w:hint="eastAsia" w:ascii="宋体" w:hAnsi="宋体" w:eastAsia="宋体" w:cs="宋体"/>
          <w:bCs/>
          <w:szCs w:val="21"/>
        </w:rPr>
        <w:t>1）在装置内部，应能辨别出单独的电路及电器元器件。电器元器件所用的标记应与随同装置一起提供的电路图上的标记一致。</w:t>
      </w:r>
    </w:p>
    <w:p w14:paraId="1F6972AB">
      <w:pPr>
        <w:topLinePunct/>
        <w:spacing w:line="320" w:lineRule="exact"/>
        <w:rPr>
          <w:rFonts w:hint="eastAsia" w:ascii="宋体" w:hAnsi="宋体" w:eastAsia="宋体" w:cs="宋体"/>
        </w:rPr>
      </w:pPr>
      <w:r>
        <w:rPr>
          <w:rFonts w:hint="eastAsia" w:ascii="宋体" w:hAnsi="宋体" w:eastAsia="宋体" w:cs="宋体"/>
          <w:bCs/>
          <w:szCs w:val="21"/>
        </w:rPr>
        <w:t>2）开关柜后门内侧粘贴所有主要元器件的铭牌。</w:t>
      </w:r>
    </w:p>
    <w:p w14:paraId="6CA4BDC4">
      <w:pPr>
        <w:topLinePunct/>
        <w:spacing w:line="320" w:lineRule="exact"/>
        <w:rPr>
          <w:rFonts w:hint="eastAsia" w:ascii="宋体" w:hAnsi="宋体" w:eastAsia="宋体" w:cs="宋体"/>
        </w:rPr>
      </w:pPr>
      <w:r>
        <w:rPr>
          <w:rFonts w:hint="eastAsia" w:ascii="宋体" w:hAnsi="宋体" w:eastAsia="宋体" w:cs="宋体"/>
        </w:rPr>
        <w:t>2.9.2铭牌</w:t>
      </w:r>
    </w:p>
    <w:p w14:paraId="7A91107C">
      <w:pPr>
        <w:topLinePunct/>
        <w:spacing w:line="320" w:lineRule="exact"/>
        <w:rPr>
          <w:rFonts w:hint="eastAsia" w:ascii="宋体" w:hAnsi="宋体" w:eastAsia="宋体" w:cs="宋体"/>
          <w:bCs/>
          <w:szCs w:val="21"/>
        </w:rPr>
      </w:pPr>
      <w:r>
        <w:rPr>
          <w:rFonts w:hint="eastAsia" w:ascii="宋体" w:hAnsi="宋体" w:eastAsia="宋体" w:cs="宋体"/>
          <w:bCs/>
          <w:szCs w:val="21"/>
        </w:rPr>
        <w:t>1)每台开关柜应配备铭牌，铭牌应字迹清晰，安装应坚固、耐久，其位置应该是在装置安装好后，易于看见的地方。</w:t>
      </w:r>
    </w:p>
    <w:p w14:paraId="447B03BF">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a) 制造商（生产厂）或商标；</w:t>
      </w:r>
    </w:p>
    <w:p w14:paraId="752F54AC">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b) 产品名称或型号；</w:t>
      </w:r>
    </w:p>
    <w:p w14:paraId="3FECB3DA">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c) 制造日期及出厂编号；</w:t>
      </w:r>
    </w:p>
    <w:p w14:paraId="14C0B915">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d) 额定电流；</w:t>
      </w:r>
    </w:p>
    <w:p w14:paraId="50999A14">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e) 额定电压；</w:t>
      </w:r>
    </w:p>
    <w:p w14:paraId="2FB359B1">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f) 额定绝缘电压；</w:t>
      </w:r>
    </w:p>
    <w:p w14:paraId="6A59CD8A">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g) 额定频率；</w:t>
      </w:r>
    </w:p>
    <w:p w14:paraId="0D531F6B">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    h) 防护等级</w:t>
      </w:r>
    </w:p>
    <w:p w14:paraId="2DF4AFEA">
      <w:pPr>
        <w:topLinePunct/>
        <w:spacing w:line="320" w:lineRule="exact"/>
        <w:rPr>
          <w:rFonts w:hint="eastAsia" w:ascii="宋体" w:hAnsi="宋体" w:eastAsia="宋体" w:cs="宋体"/>
          <w:bCs/>
          <w:szCs w:val="21"/>
        </w:rPr>
      </w:pPr>
      <w:r>
        <w:rPr>
          <w:rFonts w:hint="eastAsia" w:ascii="宋体" w:hAnsi="宋体" w:eastAsia="宋体" w:cs="宋体"/>
          <w:bCs/>
          <w:szCs w:val="21"/>
        </w:rPr>
        <w:t>2)开关柜内的电器组件铭牌，如断路器、互感器等均应有耐久清晰的铭牌；在正常运行中，各组件的铭牌应便于识别。</w:t>
      </w:r>
    </w:p>
    <w:p w14:paraId="531DC0B0">
      <w:pPr>
        <w:topLinePunct/>
        <w:spacing w:line="320" w:lineRule="exact"/>
        <w:rPr>
          <w:rFonts w:hint="eastAsia" w:ascii="宋体" w:hAnsi="宋体" w:eastAsia="宋体" w:cs="宋体"/>
          <w:bCs/>
          <w:szCs w:val="21"/>
        </w:rPr>
      </w:pPr>
      <w:r>
        <w:rPr>
          <w:rFonts w:hint="eastAsia" w:ascii="宋体" w:hAnsi="宋体" w:eastAsia="宋体" w:cs="宋体"/>
          <w:bCs/>
          <w:szCs w:val="21"/>
        </w:rPr>
        <w:t>3)设备铭牌为2mm有机玻璃材料，规格为200*50 mm。</w:t>
      </w:r>
    </w:p>
    <w:p w14:paraId="2D6FDF16">
      <w:pPr>
        <w:topLinePunct/>
        <w:rPr>
          <w:rFonts w:hint="eastAsia" w:ascii="宋体" w:hAnsi="宋体" w:eastAsia="宋体" w:cs="宋体"/>
          <w:bCs/>
          <w:szCs w:val="21"/>
        </w:rPr>
      </w:pPr>
      <w:r>
        <w:rPr>
          <w:rFonts w:hint="eastAsia" w:ascii="宋体" w:hAnsi="宋体" w:eastAsia="宋体" w:cs="宋体"/>
          <w:bCs/>
          <w:szCs w:val="21"/>
        </w:rPr>
        <w:t>4)设备二次铭牌为聚脂纤维材料，规格为60*15 mm（仪表面板）。</w:t>
      </w:r>
    </w:p>
    <w:p w14:paraId="3FFDB3E7">
      <w:pPr>
        <w:pStyle w:val="37"/>
        <w:keepNext w:val="0"/>
        <w:keepLines w:val="0"/>
        <w:topLinePunct w:val="0"/>
        <w:outlineLvl w:val="0"/>
        <w:rPr>
          <w:rFonts w:hint="eastAsia" w:ascii="宋体" w:hAnsi="宋体" w:eastAsia="宋体" w:cs="宋体"/>
        </w:rPr>
      </w:pPr>
      <w:bookmarkStart w:id="18" w:name="_Toc445922207"/>
      <w:bookmarkStart w:id="19" w:name="_Toc399245042"/>
      <w:r>
        <w:rPr>
          <w:rFonts w:hint="eastAsia" w:ascii="宋体" w:hAnsi="宋体" w:eastAsia="宋体" w:cs="宋体"/>
          <w:lang w:eastAsia="zh-CN"/>
        </w:rPr>
        <w:t>3</w:t>
      </w:r>
      <w:r>
        <w:rPr>
          <w:rFonts w:hint="eastAsia" w:ascii="宋体" w:hAnsi="宋体" w:eastAsia="宋体" w:cs="宋体"/>
        </w:rPr>
        <w:t>　标准技术参数</w:t>
      </w:r>
      <w:bookmarkEnd w:id="18"/>
    </w:p>
    <w:p w14:paraId="269AB9B2">
      <w:pPr>
        <w:topLinePunct/>
        <w:spacing w:line="312" w:lineRule="exact"/>
        <w:ind w:firstLine="420"/>
        <w:rPr>
          <w:rFonts w:hint="eastAsia" w:ascii="宋体" w:hAnsi="宋体" w:eastAsia="宋体" w:cs="宋体"/>
          <w:szCs w:val="21"/>
        </w:rPr>
      </w:pPr>
      <w:r>
        <w:rPr>
          <w:rFonts w:hint="eastAsia" w:ascii="宋体" w:hAnsi="宋体" w:eastAsia="宋体" w:cs="宋体"/>
          <w:szCs w:val="21"/>
        </w:rPr>
        <w:t>技术参数特性表是对采购设备的基础技术参数要求，供货方应对技术参数特性表中标准参数值进行响应。低压开关柜技术参数特性见表4。</w:t>
      </w:r>
    </w:p>
    <w:p w14:paraId="073F51F7">
      <w:pPr>
        <w:jc w:val="center"/>
        <w:rPr>
          <w:rFonts w:hint="eastAsia" w:ascii="宋体" w:hAnsi="宋体" w:eastAsia="宋体" w:cs="宋体"/>
        </w:rPr>
      </w:pPr>
      <w:r>
        <w:rPr>
          <w:rFonts w:hint="eastAsia" w:ascii="宋体" w:hAnsi="宋体" w:eastAsia="宋体" w:cs="宋体"/>
        </w:rPr>
        <w:t>表4　技术参数特性表</w:t>
      </w:r>
    </w:p>
    <w:tbl>
      <w:tblPr>
        <w:tblStyle w:val="16"/>
        <w:tblW w:w="86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302"/>
        <w:gridCol w:w="1877"/>
        <w:gridCol w:w="4553"/>
      </w:tblGrid>
      <w:tr w14:paraId="583254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268" w:type="dxa"/>
            <w:gridSpan w:val="2"/>
            <w:tcBorders>
              <w:top w:val="single" w:color="auto" w:sz="8" w:space="0"/>
              <w:left w:val="single" w:color="auto" w:sz="4" w:space="0"/>
              <w:bottom w:val="single" w:color="auto" w:sz="4" w:space="0"/>
              <w:right w:val="single" w:color="auto" w:sz="4" w:space="0"/>
            </w:tcBorders>
            <w:noWrap w:val="0"/>
            <w:vAlign w:val="center"/>
          </w:tcPr>
          <w:p w14:paraId="312D1CC4">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名　　称</w:t>
            </w:r>
          </w:p>
        </w:tc>
        <w:tc>
          <w:tcPr>
            <w:tcW w:w="1877" w:type="dxa"/>
            <w:tcBorders>
              <w:top w:val="single" w:color="auto" w:sz="8" w:space="0"/>
              <w:left w:val="single" w:color="auto" w:sz="4" w:space="0"/>
              <w:bottom w:val="single" w:color="auto" w:sz="4" w:space="0"/>
              <w:right w:val="single" w:color="auto" w:sz="4" w:space="0"/>
            </w:tcBorders>
            <w:noWrap w:val="0"/>
            <w:vAlign w:val="center"/>
          </w:tcPr>
          <w:p w14:paraId="3CBCDE5C">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项　　目</w:t>
            </w:r>
          </w:p>
        </w:tc>
        <w:tc>
          <w:tcPr>
            <w:tcW w:w="4553" w:type="dxa"/>
            <w:tcBorders>
              <w:top w:val="single" w:color="auto" w:sz="8" w:space="0"/>
              <w:left w:val="single" w:color="auto" w:sz="4" w:space="0"/>
              <w:bottom w:val="single" w:color="auto" w:sz="4" w:space="0"/>
              <w:right w:val="single" w:color="auto" w:sz="8" w:space="0"/>
            </w:tcBorders>
            <w:noWrap w:val="0"/>
            <w:vAlign w:val="center"/>
          </w:tcPr>
          <w:p w14:paraId="2135C428">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标准参数值</w:t>
            </w:r>
          </w:p>
        </w:tc>
      </w:tr>
      <w:tr w14:paraId="2D243C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restart"/>
            <w:tcBorders>
              <w:top w:val="single" w:color="auto" w:sz="4" w:space="0"/>
              <w:left w:val="single" w:color="auto" w:sz="4" w:space="0"/>
              <w:right w:val="single" w:color="auto" w:sz="4" w:space="0"/>
            </w:tcBorders>
            <w:noWrap w:val="0"/>
            <w:vAlign w:val="center"/>
          </w:tcPr>
          <w:p w14:paraId="131ECF7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共用参数</w:t>
            </w: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3434A2C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主要电气参数</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EB48DD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额定工作电压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18EE22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400V</w:t>
            </w:r>
          </w:p>
        </w:tc>
      </w:tr>
      <w:tr w14:paraId="0EEA9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F237BE5">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576FCD7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203261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额定绝缘电压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A38FD5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660V</w:t>
            </w:r>
          </w:p>
        </w:tc>
      </w:tr>
      <w:tr w14:paraId="253C16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1E90B06">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25C152E">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81BD30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额定耐受电压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692E6A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2500V（1min工频）</w:t>
            </w:r>
          </w:p>
        </w:tc>
      </w:tr>
      <w:tr w14:paraId="2FE904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887B879">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right w:val="single" w:color="auto" w:sz="4" w:space="0"/>
            </w:tcBorders>
            <w:noWrap w:val="0"/>
            <w:vAlign w:val="center"/>
          </w:tcPr>
          <w:p w14:paraId="7D0A30CF">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水平母线</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3977F7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4522D56">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 xml:space="preserve"> (项目单位提供)</w:t>
            </w:r>
          </w:p>
        </w:tc>
      </w:tr>
      <w:tr w14:paraId="6F4CF9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0F186F7">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top"/>
          </w:tcPr>
          <w:p w14:paraId="5C3EAA9F">
            <w:pPr>
              <w:topLinePunct/>
              <w:snapToGrid w:val="0"/>
              <w:spacing w:before="64" w:after="63"/>
              <w:jc w:val="center"/>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17B94E9B">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母线（3L+N+PE）规格</w:t>
            </w:r>
          </w:p>
          <w:p w14:paraId="73CDE461">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宽×厚</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6809026">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6FC99F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F92E219">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top"/>
          </w:tcPr>
          <w:p w14:paraId="786C2578">
            <w:pPr>
              <w:topLinePunct/>
              <w:snapToGrid w:val="0"/>
              <w:spacing w:before="64" w:after="63"/>
              <w:jc w:val="center"/>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6D53D628">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额定短时耐受电流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5AF66AA">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65kA/1s</w:t>
            </w:r>
          </w:p>
        </w:tc>
      </w:tr>
      <w:tr w14:paraId="106FA6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5BA01401">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top"/>
          </w:tcPr>
          <w:p w14:paraId="24530154">
            <w:pPr>
              <w:topLinePunct/>
              <w:snapToGrid w:val="0"/>
              <w:spacing w:before="64" w:after="63"/>
              <w:jc w:val="center"/>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28A34B3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额定峰值耐受电流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DB66462">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625BB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bottom w:val="single" w:color="auto" w:sz="4" w:space="0"/>
              <w:right w:val="single" w:color="auto" w:sz="4" w:space="0"/>
            </w:tcBorders>
            <w:noWrap w:val="0"/>
            <w:vAlign w:val="center"/>
          </w:tcPr>
          <w:p w14:paraId="746E689D">
            <w:pPr>
              <w:widowControl/>
              <w:jc w:val="left"/>
              <w:rPr>
                <w:rFonts w:hint="eastAsia" w:ascii="宋体" w:hAnsi="宋体" w:eastAsia="宋体" w:cs="宋体"/>
                <w:sz w:val="18"/>
                <w:szCs w:val="18"/>
              </w:rPr>
            </w:pPr>
          </w:p>
        </w:tc>
        <w:tc>
          <w:tcPr>
            <w:tcW w:w="3179" w:type="dxa"/>
            <w:gridSpan w:val="2"/>
            <w:tcBorders>
              <w:left w:val="single" w:color="auto" w:sz="4" w:space="0"/>
              <w:bottom w:val="single" w:color="auto" w:sz="4" w:space="0"/>
              <w:right w:val="single" w:color="auto" w:sz="4" w:space="0"/>
            </w:tcBorders>
            <w:noWrap w:val="0"/>
            <w:vAlign w:val="center"/>
          </w:tcPr>
          <w:p w14:paraId="6D73C270">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防护等级</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41B0F6E">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IP31</w:t>
            </w:r>
          </w:p>
        </w:tc>
      </w:tr>
      <w:tr w14:paraId="24D07C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restart"/>
            <w:tcBorders>
              <w:top w:val="single" w:color="auto" w:sz="4" w:space="0"/>
              <w:left w:val="single" w:color="auto" w:sz="4" w:space="0"/>
              <w:right w:val="single" w:color="auto" w:sz="4" w:space="0"/>
            </w:tcBorders>
            <w:noWrap w:val="0"/>
            <w:vAlign w:val="center"/>
          </w:tcPr>
          <w:p w14:paraId="133F6094">
            <w:pPr>
              <w:widowControl/>
              <w:jc w:val="center"/>
              <w:rPr>
                <w:rFonts w:hint="eastAsia" w:ascii="宋体" w:hAnsi="宋体" w:eastAsia="宋体" w:cs="宋体"/>
                <w:sz w:val="18"/>
                <w:szCs w:val="18"/>
              </w:rPr>
            </w:pPr>
            <w:r>
              <w:rPr>
                <w:rFonts w:hint="eastAsia" w:ascii="宋体" w:hAnsi="宋体" w:eastAsia="宋体" w:cs="宋体"/>
                <w:sz w:val="18"/>
                <w:szCs w:val="18"/>
              </w:rPr>
              <w:t>进线柜</w:t>
            </w:r>
          </w:p>
        </w:tc>
        <w:tc>
          <w:tcPr>
            <w:tcW w:w="1302" w:type="dxa"/>
            <w:vMerge w:val="restart"/>
            <w:tcBorders>
              <w:top w:val="single" w:color="auto" w:sz="4" w:space="0"/>
              <w:left w:val="single" w:color="auto" w:sz="4" w:space="0"/>
              <w:right w:val="single" w:color="auto" w:sz="4" w:space="0"/>
            </w:tcBorders>
            <w:noWrap w:val="0"/>
            <w:vAlign w:val="center"/>
          </w:tcPr>
          <w:p w14:paraId="1B58CE0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断路器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AAFE16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型式</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E84371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框架断路器</w:t>
            </w:r>
          </w:p>
        </w:tc>
      </w:tr>
      <w:tr w14:paraId="4C1D31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44BEE833">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67FB00F8">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3F6993A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极数</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4803F7A">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3P</w:t>
            </w:r>
          </w:p>
        </w:tc>
      </w:tr>
      <w:tr w14:paraId="31ECCC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0FCB950">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223CE7DE">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5D33E5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额定工作电压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7AC91A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660V</w:t>
            </w:r>
          </w:p>
        </w:tc>
      </w:tr>
      <w:tr w14:paraId="68671A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440838D6">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775E28F8">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DC3823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BB910A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430FE3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14AF563">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3791590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A1A536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额定极限分断能力</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92CE59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65kA（框架断路器）</w:t>
            </w:r>
          </w:p>
        </w:tc>
      </w:tr>
      <w:tr w14:paraId="67F24A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42393A2">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06B4761A">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E9C264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额定运行分断能力</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F0314A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65kA（框架断路器）</w:t>
            </w:r>
          </w:p>
        </w:tc>
      </w:tr>
      <w:tr w14:paraId="53ED24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1624761">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1418ADB1">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19C5E65">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额定绝缘电压</w:t>
            </w:r>
            <w:r>
              <w:rPr>
                <w:rFonts w:hint="eastAsia" w:ascii="宋体" w:hAnsi="宋体" w:eastAsia="宋体" w:cs="宋体"/>
                <w:sz w:val="18"/>
                <w:szCs w:val="18"/>
              </w:rPr>
              <w:tab/>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0CA2B11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1000V（框架断路器）</w:t>
            </w:r>
          </w:p>
        </w:tc>
      </w:tr>
      <w:tr w14:paraId="69A02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D853DFC">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7981EDD0">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1E0307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额定冲击耐受电压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FE9632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12kV（框架断路器）</w:t>
            </w:r>
          </w:p>
        </w:tc>
      </w:tr>
      <w:tr w14:paraId="1BC0FA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bottom w:val="single" w:color="auto" w:sz="4" w:space="0"/>
              <w:right w:val="single" w:color="auto" w:sz="4" w:space="0"/>
            </w:tcBorders>
            <w:noWrap w:val="0"/>
            <w:vAlign w:val="center"/>
          </w:tcPr>
          <w:p w14:paraId="3284E42F">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center"/>
          </w:tcPr>
          <w:p w14:paraId="3A891D04">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E8DC03A">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机械寿命（免维护）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6FDCF9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≥10000次</w:t>
            </w:r>
          </w:p>
        </w:tc>
      </w:tr>
      <w:tr w14:paraId="2CFBCE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restart"/>
            <w:tcBorders>
              <w:top w:val="single" w:color="auto" w:sz="4" w:space="0"/>
              <w:left w:val="single" w:color="auto" w:sz="4" w:space="0"/>
              <w:right w:val="single" w:color="auto" w:sz="4" w:space="0"/>
            </w:tcBorders>
            <w:noWrap w:val="0"/>
            <w:vAlign w:val="center"/>
          </w:tcPr>
          <w:p w14:paraId="093F5924">
            <w:pPr>
              <w:widowControl/>
              <w:jc w:val="center"/>
              <w:rPr>
                <w:rFonts w:hint="eastAsia" w:ascii="宋体" w:hAnsi="宋体" w:eastAsia="宋体" w:cs="宋体"/>
                <w:sz w:val="18"/>
                <w:szCs w:val="18"/>
              </w:rPr>
            </w:pPr>
            <w:r>
              <w:rPr>
                <w:rFonts w:hint="eastAsia" w:ascii="宋体" w:hAnsi="宋体" w:eastAsia="宋体" w:cs="宋体"/>
                <w:sz w:val="18"/>
                <w:szCs w:val="18"/>
              </w:rPr>
              <w:t>进线柜</w:t>
            </w:r>
          </w:p>
        </w:tc>
        <w:tc>
          <w:tcPr>
            <w:tcW w:w="1302" w:type="dxa"/>
            <w:vMerge w:val="restart"/>
            <w:tcBorders>
              <w:top w:val="single" w:color="auto" w:sz="4" w:space="0"/>
              <w:left w:val="single" w:color="auto" w:sz="4" w:space="0"/>
              <w:right w:val="single" w:color="auto" w:sz="4" w:space="0"/>
            </w:tcBorders>
            <w:noWrap w:val="0"/>
            <w:vAlign w:val="center"/>
          </w:tcPr>
          <w:p w14:paraId="609A63BA">
            <w:pPr>
              <w:widowControl/>
              <w:jc w:val="center"/>
              <w:rPr>
                <w:rFonts w:hint="eastAsia" w:ascii="宋体" w:hAnsi="宋体" w:eastAsia="宋体" w:cs="宋体"/>
                <w:sz w:val="18"/>
                <w:szCs w:val="18"/>
              </w:rPr>
            </w:pPr>
            <w:r>
              <w:rPr>
                <w:rFonts w:hint="eastAsia" w:ascii="宋体" w:hAnsi="宋体" w:eastAsia="宋体" w:cs="宋体"/>
                <w:sz w:val="18"/>
                <w:szCs w:val="18"/>
              </w:rPr>
              <w:t>断路器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355214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电气寿命</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550187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≥6000次</w:t>
            </w:r>
          </w:p>
        </w:tc>
      </w:tr>
      <w:tr w14:paraId="401E52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2F08294">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center"/>
          </w:tcPr>
          <w:p w14:paraId="6491AAA7">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E0893A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断路器飞弧距离</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D22861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零</w:t>
            </w:r>
          </w:p>
        </w:tc>
      </w:tr>
      <w:tr w14:paraId="76AF1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E1EF47A">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center"/>
          </w:tcPr>
          <w:p w14:paraId="76EDA1C4">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40439F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是否带失压脱扣器</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00F655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否</w:t>
            </w:r>
          </w:p>
        </w:tc>
      </w:tr>
      <w:tr w14:paraId="6AC528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9693FD1">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07A7828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电流互感器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3382931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精度</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839B72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0.5级</w:t>
            </w:r>
          </w:p>
        </w:tc>
      </w:tr>
      <w:tr w14:paraId="5B3BDA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A57812D">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4B00D348">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15F7B4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变比</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7823D4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0398CF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145B9B7">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11A47C6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多功能数显表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3BBF59D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有功</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ABBB9F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1.0级</w:t>
            </w:r>
          </w:p>
        </w:tc>
      </w:tr>
      <w:tr w14:paraId="59698D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CCA30C1">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C92A16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B40C7E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无功</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D13B71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2.0级</w:t>
            </w:r>
          </w:p>
        </w:tc>
      </w:tr>
      <w:tr w14:paraId="7A6B2C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35FCAB9">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2298324A">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31C7769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通信接口</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D72C65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RS-485标准接口</w:t>
            </w:r>
          </w:p>
        </w:tc>
      </w:tr>
      <w:tr w14:paraId="3CBC75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E6E4512">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40E743F">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8BF1B8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通信规约</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9ED703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DL/T 645-1997</w:t>
            </w:r>
          </w:p>
        </w:tc>
      </w:tr>
      <w:tr w14:paraId="334C98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EC33A20">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7B6ACE4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柜体</w:t>
            </w:r>
          </w:p>
          <w:p w14:paraId="09148E1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尺寸</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DC0F24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 xml:space="preserve">宽度（mm）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240DA2D">
            <w:pPr>
              <w:topLinePunct/>
              <w:snapToGrid w:val="0"/>
              <w:spacing w:before="50" w:after="51"/>
              <w:jc w:val="center"/>
              <w:rPr>
                <w:rFonts w:hint="eastAsia" w:ascii="宋体" w:hAnsi="宋体" w:eastAsia="宋体" w:cs="宋体"/>
                <w:sz w:val="18"/>
                <w:szCs w:val="18"/>
                <w:lang w:eastAsia="zh-CN"/>
              </w:rPr>
            </w:pPr>
            <w:r>
              <w:rPr>
                <w:rFonts w:hint="eastAsia" w:ascii="宋体" w:hAnsi="宋体" w:eastAsia="宋体" w:cs="宋体"/>
                <w:sz w:val="18"/>
                <w:szCs w:val="18"/>
              </w:rPr>
              <w:t>800</w:t>
            </w:r>
          </w:p>
        </w:tc>
      </w:tr>
      <w:tr w14:paraId="3CFAEA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7EE973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F0D557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F3CB85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深度（mm）</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5A5698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w:t>
            </w:r>
          </w:p>
        </w:tc>
      </w:tr>
      <w:tr w14:paraId="7C5F51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C5D17C0">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481C3BE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D27FD5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高度（mm）</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94CB66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2200</w:t>
            </w:r>
          </w:p>
        </w:tc>
      </w:tr>
      <w:tr w14:paraId="363D45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44A9E53">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17FF5C5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浪涌保护器</w:t>
            </w:r>
          </w:p>
        </w:tc>
        <w:tc>
          <w:tcPr>
            <w:tcW w:w="1877" w:type="dxa"/>
            <w:tcBorders>
              <w:top w:val="single" w:color="auto" w:sz="4" w:space="0"/>
              <w:left w:val="single" w:color="auto" w:sz="4" w:space="0"/>
              <w:bottom w:val="single" w:color="auto" w:sz="4" w:space="0"/>
              <w:right w:val="single" w:color="auto" w:sz="4" w:space="0"/>
            </w:tcBorders>
            <w:noWrap w:val="0"/>
            <w:vAlign w:val="top"/>
          </w:tcPr>
          <w:p w14:paraId="53C91F41">
            <w:pPr>
              <w:adjustRightInd w:val="0"/>
              <w:snapToGrid w:val="0"/>
              <w:rPr>
                <w:rFonts w:hint="eastAsia" w:ascii="宋体" w:hAnsi="宋体" w:eastAsia="宋体" w:cs="宋体"/>
                <w:sz w:val="18"/>
                <w:szCs w:val="18"/>
              </w:rPr>
            </w:pPr>
            <w:r>
              <w:rPr>
                <w:rFonts w:hint="eastAsia" w:ascii="宋体" w:hAnsi="宋体" w:eastAsia="宋体" w:cs="宋体"/>
                <w:sz w:val="18"/>
                <w:szCs w:val="18"/>
              </w:rPr>
              <w:t>保护类型（IEC类别）</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E07CD9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I类</w:t>
            </w:r>
          </w:p>
        </w:tc>
      </w:tr>
      <w:tr w14:paraId="022767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47B005EB">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28D75F07">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3E9052D5">
            <w:pPr>
              <w:adjustRightInd w:val="0"/>
              <w:snapToGrid w:val="0"/>
              <w:rPr>
                <w:rFonts w:hint="eastAsia" w:ascii="宋体" w:hAnsi="宋体" w:eastAsia="宋体" w:cs="宋体"/>
                <w:sz w:val="18"/>
                <w:szCs w:val="18"/>
              </w:rPr>
            </w:pPr>
            <w:r>
              <w:rPr>
                <w:rFonts w:hint="eastAsia" w:ascii="宋体" w:hAnsi="宋体" w:eastAsia="宋体" w:cs="宋体"/>
                <w:sz w:val="18"/>
                <w:szCs w:val="18"/>
              </w:rPr>
              <w:t>标称工作电压（V）</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3C2FC5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400V</w:t>
            </w:r>
          </w:p>
        </w:tc>
      </w:tr>
      <w:tr w14:paraId="0002E2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22310A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2B083B97">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54790357">
            <w:pPr>
              <w:adjustRightInd w:val="0"/>
              <w:snapToGrid w:val="0"/>
              <w:rPr>
                <w:rFonts w:hint="eastAsia" w:ascii="宋体" w:hAnsi="宋体" w:eastAsia="宋体" w:cs="宋体"/>
                <w:sz w:val="18"/>
                <w:szCs w:val="18"/>
              </w:rPr>
            </w:pPr>
            <w:r>
              <w:rPr>
                <w:rFonts w:hint="eastAsia" w:ascii="宋体" w:hAnsi="宋体" w:eastAsia="宋体" w:cs="宋体"/>
                <w:sz w:val="18"/>
                <w:szCs w:val="18"/>
              </w:rPr>
              <w:t>最大持续工作电压（V）</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5C84340">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5E86D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6B9D578">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887A59D">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F31225E">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标称放电电流(8/20uS)</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A08CCF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100kA</w:t>
            </w:r>
          </w:p>
        </w:tc>
      </w:tr>
      <w:tr w14:paraId="2FF776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C1E7D5A">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722FA4C">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2AC86FA4">
            <w:pPr>
              <w:adjustRightInd w:val="0"/>
              <w:snapToGrid w:val="0"/>
              <w:rPr>
                <w:rFonts w:hint="eastAsia" w:ascii="宋体" w:hAnsi="宋体" w:eastAsia="宋体" w:cs="宋体"/>
                <w:sz w:val="18"/>
                <w:szCs w:val="18"/>
              </w:rPr>
            </w:pPr>
            <w:r>
              <w:rPr>
                <w:rFonts w:hint="eastAsia" w:ascii="宋体" w:hAnsi="宋体" w:eastAsia="宋体" w:cs="宋体"/>
                <w:sz w:val="18"/>
                <w:szCs w:val="18"/>
              </w:rPr>
              <w:t>电压保护水平（kV）</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C7567EE">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2A2F7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bottom w:val="single" w:color="auto" w:sz="4" w:space="0"/>
              <w:right w:val="single" w:color="auto" w:sz="4" w:space="0"/>
            </w:tcBorders>
            <w:noWrap w:val="0"/>
            <w:vAlign w:val="center"/>
          </w:tcPr>
          <w:p w14:paraId="1EB40F68">
            <w:pPr>
              <w:widowControl/>
              <w:jc w:val="left"/>
              <w:rPr>
                <w:rFonts w:hint="eastAsia" w:ascii="宋体" w:hAnsi="宋体" w:eastAsia="宋体" w:cs="宋体"/>
                <w:sz w:val="18"/>
                <w:szCs w:val="18"/>
              </w:rPr>
            </w:pPr>
          </w:p>
        </w:tc>
        <w:tc>
          <w:tcPr>
            <w:tcW w:w="3179" w:type="dxa"/>
            <w:gridSpan w:val="2"/>
            <w:tcBorders>
              <w:top w:val="single" w:color="auto" w:sz="4" w:space="0"/>
              <w:left w:val="single" w:color="auto" w:sz="4" w:space="0"/>
              <w:bottom w:val="single" w:color="auto" w:sz="4" w:space="0"/>
              <w:right w:val="single" w:color="auto" w:sz="4" w:space="0"/>
            </w:tcBorders>
            <w:noWrap w:val="0"/>
            <w:vAlign w:val="center"/>
          </w:tcPr>
          <w:p w14:paraId="6C4A7D7E">
            <w:pPr>
              <w:adjustRightInd w:val="0"/>
              <w:snapToGrid w:val="0"/>
              <w:rPr>
                <w:rFonts w:hint="eastAsia" w:ascii="宋体" w:hAnsi="宋体" w:eastAsia="宋体" w:cs="宋体"/>
                <w:sz w:val="18"/>
                <w:szCs w:val="18"/>
              </w:rPr>
            </w:pPr>
            <w:r>
              <w:rPr>
                <w:rFonts w:hint="eastAsia" w:ascii="宋体" w:hAnsi="宋体" w:eastAsia="宋体" w:cs="宋体"/>
                <w:sz w:val="18"/>
                <w:szCs w:val="18"/>
              </w:rPr>
              <w:t>进线方式</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083173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侧进线/母线上进线（供货前与项目单位确认）</w:t>
            </w:r>
          </w:p>
        </w:tc>
      </w:tr>
      <w:tr w14:paraId="1D1A20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restart"/>
            <w:tcBorders>
              <w:top w:val="single" w:color="auto" w:sz="4" w:space="0"/>
              <w:left w:val="single" w:color="auto" w:sz="4" w:space="0"/>
              <w:right w:val="single" w:color="auto" w:sz="4" w:space="0"/>
            </w:tcBorders>
            <w:noWrap w:val="0"/>
            <w:vAlign w:val="center"/>
          </w:tcPr>
          <w:p w14:paraId="0863CDFA">
            <w:pPr>
              <w:widowControl/>
              <w:jc w:val="center"/>
              <w:rPr>
                <w:rFonts w:hint="eastAsia" w:ascii="宋体" w:hAnsi="宋体" w:eastAsia="宋体" w:cs="宋体"/>
                <w:sz w:val="18"/>
                <w:szCs w:val="18"/>
              </w:rPr>
            </w:pPr>
            <w:r>
              <w:rPr>
                <w:rFonts w:hint="eastAsia" w:ascii="宋体" w:hAnsi="宋体" w:eastAsia="宋体" w:cs="宋体"/>
                <w:sz w:val="18"/>
                <w:szCs w:val="18"/>
              </w:rPr>
              <w:t>分段柜</w:t>
            </w: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488BE3B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断路器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D1FE4EA">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型式</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B80291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框架断路器</w:t>
            </w:r>
          </w:p>
        </w:tc>
      </w:tr>
      <w:tr w14:paraId="1E746F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5705D4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33C7679">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1402705">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极数</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15FE72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3P</w:t>
            </w:r>
          </w:p>
        </w:tc>
      </w:tr>
      <w:tr w14:paraId="58EF56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85B1530">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AD548E3">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3EA3F0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额定工作电压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F25683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660V</w:t>
            </w:r>
          </w:p>
        </w:tc>
      </w:tr>
      <w:tr w14:paraId="2093BD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535584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183EE4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01EF82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00094E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800A/1250A/2000A/2500A</w:t>
            </w:r>
            <w:r>
              <w:rPr>
                <w:rFonts w:hint="eastAsia" w:ascii="宋体" w:hAnsi="宋体" w:eastAsia="宋体" w:cs="宋体"/>
                <w:sz w:val="18"/>
                <w:szCs w:val="18"/>
                <w:lang w:val="en-US" w:eastAsia="zh-CN"/>
              </w:rPr>
              <w:t>/4000A</w:t>
            </w:r>
            <w:r>
              <w:rPr>
                <w:rFonts w:hint="eastAsia" w:ascii="宋体" w:hAnsi="宋体" w:eastAsia="宋体" w:cs="宋体"/>
                <w:sz w:val="18"/>
                <w:szCs w:val="18"/>
              </w:rPr>
              <w:t xml:space="preserve"> </w:t>
            </w:r>
          </w:p>
        </w:tc>
      </w:tr>
      <w:tr w14:paraId="30A4E5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419267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9ED093A">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1937BD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额定极限分断能力</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C88E28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65kA（框架断路器）</w:t>
            </w:r>
          </w:p>
        </w:tc>
      </w:tr>
      <w:tr w14:paraId="4D579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990DA7D">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23CBD0FC">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A19D6B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额定运行分断能力</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2620A8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65kA（框架断路器）</w:t>
            </w:r>
          </w:p>
        </w:tc>
      </w:tr>
      <w:tr w14:paraId="6379BB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40D7F41">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4A624A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31C4A3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额定绝缘电压</w:t>
            </w:r>
            <w:r>
              <w:rPr>
                <w:rFonts w:hint="eastAsia" w:ascii="宋体" w:hAnsi="宋体" w:eastAsia="宋体" w:cs="宋体"/>
                <w:sz w:val="18"/>
                <w:szCs w:val="18"/>
              </w:rPr>
              <w:tab/>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0CC67F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1000V（框架断路器）</w:t>
            </w:r>
          </w:p>
        </w:tc>
      </w:tr>
      <w:tr w14:paraId="167D7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33E2560">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45B064A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5D56AD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额定冲击耐受电压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AA6C9A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12kV（框架断路器）</w:t>
            </w:r>
          </w:p>
        </w:tc>
      </w:tr>
      <w:tr w14:paraId="7DF6FB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729DF68">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B30E4D9">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E561B2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机械寿命（免维护）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0B95D92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≥10000次</w:t>
            </w:r>
          </w:p>
        </w:tc>
      </w:tr>
      <w:tr w14:paraId="04CEB4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1EE6CE21">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ADA2A9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D1A53E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电气寿命</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3D6021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≥6000次</w:t>
            </w:r>
          </w:p>
        </w:tc>
      </w:tr>
      <w:tr w14:paraId="66D78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24EF39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30910CD9">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D1EF49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断路器飞弧距离</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903F84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零</w:t>
            </w:r>
          </w:p>
        </w:tc>
      </w:tr>
      <w:tr w14:paraId="74C8A1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89C7BAC">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47BFB58E">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59EC6CA">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是否带失压脱扣器</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0AC3F4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否</w:t>
            </w:r>
          </w:p>
        </w:tc>
      </w:tr>
      <w:tr w14:paraId="774F09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6184044">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2D075E2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电流互感器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6E943B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精度</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6C4130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0.5级</w:t>
            </w:r>
          </w:p>
        </w:tc>
      </w:tr>
      <w:tr w14:paraId="21395A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19E20FA4">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7007A0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B3B23A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变比</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14995B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378F9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55F29736">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5F8CAF97">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多功能数显表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A5C911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有功</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0E9A676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1.0级</w:t>
            </w:r>
          </w:p>
        </w:tc>
      </w:tr>
      <w:tr w14:paraId="6C8B7B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78730AF">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5C009123">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313699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无功</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F1F520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2.0级</w:t>
            </w:r>
          </w:p>
        </w:tc>
      </w:tr>
      <w:tr w14:paraId="20656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4981E78A">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575DED91">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D5B243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通信接口</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466C94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RS-485标准接口</w:t>
            </w:r>
          </w:p>
        </w:tc>
      </w:tr>
      <w:tr w14:paraId="7F730C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6F6893B">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8C8368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0A220C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通信规约</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CD1218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DL/T 645-1997</w:t>
            </w:r>
          </w:p>
        </w:tc>
      </w:tr>
      <w:tr w14:paraId="480B55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45346E5">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right w:val="single" w:color="auto" w:sz="4" w:space="0"/>
            </w:tcBorders>
            <w:noWrap w:val="0"/>
            <w:vAlign w:val="center"/>
          </w:tcPr>
          <w:p w14:paraId="42FD879D">
            <w:pPr>
              <w:widowControl/>
              <w:jc w:val="left"/>
              <w:rPr>
                <w:rFonts w:hint="eastAsia" w:ascii="宋体" w:hAnsi="宋体" w:eastAsia="宋体" w:cs="宋体"/>
                <w:sz w:val="18"/>
                <w:szCs w:val="18"/>
              </w:rPr>
            </w:pPr>
            <w:r>
              <w:rPr>
                <w:rFonts w:hint="eastAsia" w:ascii="宋体" w:hAnsi="宋体" w:eastAsia="宋体" w:cs="宋体"/>
                <w:sz w:val="18"/>
                <w:szCs w:val="18"/>
              </w:rPr>
              <w:t>双电源切换装置(ATS)</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17CC99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极数</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AC1A53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4P</w:t>
            </w:r>
          </w:p>
        </w:tc>
      </w:tr>
      <w:tr w14:paraId="568493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bottom w:val="single" w:color="auto" w:sz="4" w:space="0"/>
              <w:right w:val="single" w:color="auto" w:sz="4" w:space="0"/>
            </w:tcBorders>
            <w:noWrap w:val="0"/>
            <w:vAlign w:val="center"/>
          </w:tcPr>
          <w:p w14:paraId="14458B69">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center"/>
          </w:tcPr>
          <w:p w14:paraId="614BDE85">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BF0FC6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0BB936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63A</w:t>
            </w:r>
          </w:p>
        </w:tc>
      </w:tr>
      <w:tr w14:paraId="47441E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restart"/>
            <w:tcBorders>
              <w:top w:val="single" w:color="auto" w:sz="4" w:space="0"/>
              <w:left w:val="single" w:color="auto" w:sz="4" w:space="0"/>
              <w:right w:val="single" w:color="auto" w:sz="4" w:space="0"/>
            </w:tcBorders>
            <w:noWrap w:val="0"/>
            <w:vAlign w:val="center"/>
          </w:tcPr>
          <w:p w14:paraId="6D5F0335">
            <w:pPr>
              <w:widowControl/>
              <w:jc w:val="center"/>
              <w:rPr>
                <w:rFonts w:hint="eastAsia" w:ascii="宋体" w:hAnsi="宋体" w:eastAsia="宋体" w:cs="宋体"/>
                <w:sz w:val="18"/>
                <w:szCs w:val="18"/>
              </w:rPr>
            </w:pPr>
            <w:r>
              <w:rPr>
                <w:rFonts w:hint="eastAsia" w:ascii="宋体" w:hAnsi="宋体" w:eastAsia="宋体" w:cs="宋体"/>
                <w:sz w:val="18"/>
                <w:szCs w:val="18"/>
              </w:rPr>
              <w:t>分段柜</w:t>
            </w:r>
          </w:p>
        </w:tc>
        <w:tc>
          <w:tcPr>
            <w:tcW w:w="1302" w:type="dxa"/>
            <w:vMerge w:val="restart"/>
            <w:tcBorders>
              <w:top w:val="single" w:color="auto" w:sz="4" w:space="0"/>
              <w:left w:val="single" w:color="auto" w:sz="4" w:space="0"/>
              <w:right w:val="single" w:color="auto" w:sz="4" w:space="0"/>
            </w:tcBorders>
            <w:noWrap w:val="0"/>
            <w:vAlign w:val="center"/>
          </w:tcPr>
          <w:p w14:paraId="216EE3DF">
            <w:pPr>
              <w:widowControl/>
              <w:jc w:val="left"/>
              <w:rPr>
                <w:rFonts w:hint="eastAsia" w:ascii="宋体" w:hAnsi="宋体" w:eastAsia="宋体" w:cs="宋体"/>
                <w:sz w:val="18"/>
                <w:szCs w:val="18"/>
              </w:rPr>
            </w:pPr>
            <w:r>
              <w:rPr>
                <w:rFonts w:hint="eastAsia" w:ascii="宋体" w:hAnsi="宋体" w:eastAsia="宋体" w:cs="宋体"/>
                <w:sz w:val="18"/>
                <w:szCs w:val="18"/>
              </w:rPr>
              <w:t>熔断器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FB3BEA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极数</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D7BA87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3P</w:t>
            </w:r>
          </w:p>
        </w:tc>
      </w:tr>
      <w:tr w14:paraId="567D59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5D074567">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center"/>
          </w:tcPr>
          <w:p w14:paraId="1DD2B86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959249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45DAC5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100A</w:t>
            </w:r>
          </w:p>
        </w:tc>
      </w:tr>
      <w:tr w14:paraId="7BF64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53A9F7D">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right w:val="single" w:color="auto" w:sz="4" w:space="0"/>
            </w:tcBorders>
            <w:noWrap w:val="0"/>
            <w:vAlign w:val="center"/>
          </w:tcPr>
          <w:p w14:paraId="1AC32515">
            <w:pPr>
              <w:widowControl/>
              <w:jc w:val="left"/>
              <w:rPr>
                <w:rFonts w:hint="eastAsia" w:ascii="宋体" w:hAnsi="宋体" w:eastAsia="宋体" w:cs="宋体"/>
                <w:sz w:val="18"/>
                <w:szCs w:val="18"/>
              </w:rPr>
            </w:pPr>
            <w:r>
              <w:rPr>
                <w:rFonts w:hint="eastAsia" w:ascii="宋体" w:hAnsi="宋体" w:eastAsia="宋体" w:cs="宋体"/>
                <w:sz w:val="18"/>
                <w:szCs w:val="18"/>
              </w:rPr>
              <w:t>微型断路器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8AA2A2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极数</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F74A321">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3P</w:t>
            </w:r>
          </w:p>
        </w:tc>
      </w:tr>
      <w:tr w14:paraId="6894BA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17E6BFFF">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center"/>
          </w:tcPr>
          <w:p w14:paraId="55BF16B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57BDC6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338B58C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16A/63A</w:t>
            </w:r>
          </w:p>
        </w:tc>
      </w:tr>
      <w:tr w14:paraId="33B8AD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C681D0B">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5FF77C3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柜体</w:t>
            </w:r>
          </w:p>
          <w:p w14:paraId="73ADC0C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尺寸</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3787B02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 xml:space="preserve">宽度（mm）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97D8D2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800</w:t>
            </w:r>
          </w:p>
        </w:tc>
      </w:tr>
      <w:tr w14:paraId="22AEAD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64F88FDD">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20F1D4F3">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7F85EDE">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深度（mm）</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FDF7E8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w:t>
            </w:r>
          </w:p>
        </w:tc>
      </w:tr>
      <w:tr w14:paraId="1D07F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E6A25E6">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5B182B0">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2C33D4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高度（mm）</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78E234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2200</w:t>
            </w:r>
          </w:p>
        </w:tc>
      </w:tr>
      <w:tr w14:paraId="2BFF3C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bottom w:val="single" w:color="auto" w:sz="4" w:space="0"/>
              <w:right w:val="single" w:color="auto" w:sz="4" w:space="0"/>
            </w:tcBorders>
            <w:noWrap w:val="0"/>
            <w:vAlign w:val="center"/>
          </w:tcPr>
          <w:p w14:paraId="180E8044">
            <w:pPr>
              <w:widowControl/>
              <w:jc w:val="left"/>
              <w:rPr>
                <w:rFonts w:hint="eastAsia" w:ascii="宋体" w:hAnsi="宋体" w:eastAsia="宋体" w:cs="宋体"/>
                <w:sz w:val="18"/>
                <w:szCs w:val="18"/>
              </w:rPr>
            </w:pPr>
          </w:p>
        </w:tc>
        <w:tc>
          <w:tcPr>
            <w:tcW w:w="3179" w:type="dxa"/>
            <w:gridSpan w:val="2"/>
            <w:tcBorders>
              <w:top w:val="single" w:color="auto" w:sz="4" w:space="0"/>
              <w:left w:val="single" w:color="auto" w:sz="4" w:space="0"/>
              <w:bottom w:val="single" w:color="auto" w:sz="4" w:space="0"/>
              <w:right w:val="single" w:color="auto" w:sz="4" w:space="0"/>
            </w:tcBorders>
            <w:noWrap w:val="0"/>
            <w:vAlign w:val="center"/>
          </w:tcPr>
          <w:p w14:paraId="761FCF0F">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出线方式</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D2E2EB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侧出线/母线上出线</w:t>
            </w:r>
          </w:p>
          <w:p w14:paraId="5B9D91C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（供货前与项目单位确认）</w:t>
            </w:r>
          </w:p>
        </w:tc>
      </w:tr>
      <w:tr w14:paraId="57D7C8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restart"/>
            <w:tcBorders>
              <w:top w:val="single" w:color="auto" w:sz="4" w:space="0"/>
              <w:left w:val="single" w:color="auto" w:sz="4" w:space="0"/>
              <w:right w:val="single" w:color="auto" w:sz="4" w:space="0"/>
            </w:tcBorders>
            <w:noWrap w:val="0"/>
            <w:vAlign w:val="center"/>
          </w:tcPr>
          <w:p w14:paraId="39C80A5A">
            <w:pPr>
              <w:widowControl/>
              <w:jc w:val="center"/>
              <w:rPr>
                <w:rFonts w:hint="eastAsia" w:ascii="宋体" w:hAnsi="宋体" w:eastAsia="宋体" w:cs="宋体"/>
                <w:sz w:val="18"/>
                <w:szCs w:val="18"/>
              </w:rPr>
            </w:pPr>
            <w:r>
              <w:rPr>
                <w:rFonts w:hint="eastAsia" w:ascii="宋体" w:hAnsi="宋体" w:eastAsia="宋体" w:cs="宋体"/>
                <w:sz w:val="18"/>
                <w:szCs w:val="18"/>
              </w:rPr>
              <w:t>馈线柜</w:t>
            </w:r>
          </w:p>
        </w:tc>
        <w:tc>
          <w:tcPr>
            <w:tcW w:w="1302" w:type="dxa"/>
            <w:vMerge w:val="restart"/>
            <w:tcBorders>
              <w:top w:val="single" w:color="auto" w:sz="4" w:space="0"/>
              <w:left w:val="single" w:color="auto" w:sz="4" w:space="0"/>
              <w:right w:val="single" w:color="auto" w:sz="4" w:space="0"/>
            </w:tcBorders>
            <w:noWrap w:val="0"/>
            <w:vAlign w:val="center"/>
          </w:tcPr>
          <w:p w14:paraId="2297F678">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垂直母线</w:t>
            </w:r>
          </w:p>
        </w:tc>
        <w:tc>
          <w:tcPr>
            <w:tcW w:w="1877" w:type="dxa"/>
            <w:tcBorders>
              <w:top w:val="single" w:color="auto" w:sz="4" w:space="0"/>
              <w:left w:val="single" w:color="auto" w:sz="4" w:space="0"/>
              <w:bottom w:val="single" w:color="auto" w:sz="4" w:space="0"/>
              <w:right w:val="single" w:color="auto" w:sz="4" w:space="0"/>
            </w:tcBorders>
            <w:noWrap w:val="0"/>
            <w:vAlign w:val="top"/>
          </w:tcPr>
          <w:p w14:paraId="5D517A4A">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34E21F5">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≤1000A</w:t>
            </w:r>
          </w:p>
        </w:tc>
      </w:tr>
      <w:tr w14:paraId="1D630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66C9F14">
            <w:pPr>
              <w:widowControl/>
              <w:jc w:val="left"/>
              <w:rPr>
                <w:rFonts w:hint="eastAsia" w:ascii="宋体" w:hAnsi="宋体" w:eastAsia="宋体" w:cs="宋体"/>
                <w:sz w:val="18"/>
                <w:szCs w:val="18"/>
              </w:rPr>
            </w:pPr>
          </w:p>
        </w:tc>
        <w:tc>
          <w:tcPr>
            <w:tcW w:w="1302" w:type="dxa"/>
            <w:vMerge w:val="continue"/>
            <w:tcBorders>
              <w:left w:val="single" w:color="auto" w:sz="4" w:space="0"/>
              <w:right w:val="single" w:color="auto" w:sz="4" w:space="0"/>
            </w:tcBorders>
            <w:noWrap w:val="0"/>
            <w:vAlign w:val="top"/>
          </w:tcPr>
          <w:p w14:paraId="0A56B053">
            <w:pPr>
              <w:topLinePunct/>
              <w:snapToGrid w:val="0"/>
              <w:spacing w:before="64" w:after="63"/>
              <w:jc w:val="center"/>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43CBC70E">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额定短时耐受电流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2EFDE41">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50kA/1s</w:t>
            </w:r>
          </w:p>
        </w:tc>
      </w:tr>
      <w:tr w14:paraId="7658CA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C8F374E">
            <w:pPr>
              <w:widowControl/>
              <w:jc w:val="left"/>
              <w:rPr>
                <w:rFonts w:hint="eastAsia" w:ascii="宋体" w:hAnsi="宋体" w:eastAsia="宋体" w:cs="宋体"/>
                <w:sz w:val="18"/>
                <w:szCs w:val="18"/>
              </w:rPr>
            </w:pPr>
          </w:p>
        </w:tc>
        <w:tc>
          <w:tcPr>
            <w:tcW w:w="1302" w:type="dxa"/>
            <w:vMerge w:val="continue"/>
            <w:tcBorders>
              <w:left w:val="single" w:color="auto" w:sz="4" w:space="0"/>
              <w:bottom w:val="single" w:color="auto" w:sz="4" w:space="0"/>
              <w:right w:val="single" w:color="auto" w:sz="4" w:space="0"/>
            </w:tcBorders>
            <w:noWrap w:val="0"/>
            <w:vAlign w:val="top"/>
          </w:tcPr>
          <w:p w14:paraId="6D20FFCE">
            <w:pPr>
              <w:topLinePunct/>
              <w:snapToGrid w:val="0"/>
              <w:spacing w:before="64" w:after="63"/>
              <w:jc w:val="center"/>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top"/>
          </w:tcPr>
          <w:p w14:paraId="0C3C4F11">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额定峰值耐受电流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39C09EE">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5389DD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EA4BE79">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426FD37A">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断路器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4E32B4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出线配置</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04C8E1D">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076B1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E8F19EE">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9CF175A">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775EE27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型式</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5B1A6648">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塑壳断路器，电子脱扣</w:t>
            </w:r>
          </w:p>
        </w:tc>
      </w:tr>
      <w:tr w14:paraId="22ABB1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39D4EBC">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77A7355E">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2FACBA2">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极数</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A79DFA6">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3P</w:t>
            </w:r>
          </w:p>
        </w:tc>
      </w:tr>
      <w:tr w14:paraId="61CD19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0B3C6721">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6F02D92B">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29A27D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额定工作电压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363251F">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 xml:space="preserve">400V（塑壳断路器）  </w:t>
            </w:r>
          </w:p>
        </w:tc>
      </w:tr>
      <w:tr w14:paraId="2C5AC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2716C50">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5F23FAE0">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7A72EC2">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额定电流</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C87828F">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10552C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7EA3879">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C369488">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662D99C">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额定极限分断能力</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BABF78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50kA（塑壳断路器）</w:t>
            </w:r>
          </w:p>
        </w:tc>
      </w:tr>
      <w:tr w14:paraId="59FFBC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5956882">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2D6F5918">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6AA9F4F">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额定运行分断能力</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575136C">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50kA（塑壳断路器）</w:t>
            </w:r>
          </w:p>
        </w:tc>
      </w:tr>
      <w:tr w14:paraId="3D47F9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CBA83EA">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47B35D9">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9A9DEAF">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额定绝缘电压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0BFA6E03">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660V（塑壳断路器）</w:t>
            </w:r>
          </w:p>
        </w:tc>
      </w:tr>
      <w:tr w14:paraId="672A4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1D459D1">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735A1F0">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0852FA4">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额定冲击耐受电压</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72B289D">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8kV（塑壳断路器）</w:t>
            </w:r>
          </w:p>
        </w:tc>
      </w:tr>
      <w:tr w14:paraId="726039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039F651">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0FAA97BE">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CD3046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机械寿命（免维护）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13DA75BA">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≥10000次</w:t>
            </w:r>
          </w:p>
        </w:tc>
      </w:tr>
      <w:tr w14:paraId="4E42C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B4E8F59">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396686B8">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3438C8C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电气寿命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A0752B5">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≥7000次（塑壳断路器）</w:t>
            </w:r>
          </w:p>
        </w:tc>
      </w:tr>
      <w:tr w14:paraId="35DEA3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6EEA3F6">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78C26EFE">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14A9F6B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是否带失压脱扣器</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749B42E5">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否</w:t>
            </w:r>
          </w:p>
        </w:tc>
      </w:tr>
      <w:tr w14:paraId="24EDA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14ADF7C3">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258FFDF4">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电流互感器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6972A31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精度</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2D1EA0F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0.5级</w:t>
            </w:r>
          </w:p>
        </w:tc>
      </w:tr>
      <w:tr w14:paraId="0C143F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27C8AE1E">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7D2CF7BA">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4672A01D">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变比</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907FDC0">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46337B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375CE775">
            <w:pPr>
              <w:widowControl/>
              <w:jc w:val="left"/>
              <w:rPr>
                <w:rFonts w:hint="eastAsia" w:ascii="宋体" w:hAnsi="宋体" w:eastAsia="宋体" w:cs="宋体"/>
                <w:sz w:val="18"/>
                <w:szCs w:val="18"/>
              </w:rPr>
            </w:pPr>
          </w:p>
        </w:tc>
        <w:tc>
          <w:tcPr>
            <w:tcW w:w="1302" w:type="dxa"/>
            <w:tcBorders>
              <w:top w:val="single" w:color="auto" w:sz="4" w:space="0"/>
              <w:left w:val="single" w:color="auto" w:sz="4" w:space="0"/>
              <w:bottom w:val="single" w:color="auto" w:sz="4" w:space="0"/>
              <w:right w:val="single" w:color="auto" w:sz="4" w:space="0"/>
            </w:tcBorders>
            <w:noWrap w:val="0"/>
            <w:vAlign w:val="center"/>
          </w:tcPr>
          <w:p w14:paraId="6D7816F7">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电流表</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842FDE1">
            <w:pPr>
              <w:topLinePunct/>
              <w:snapToGrid w:val="0"/>
              <w:spacing w:before="64" w:after="63"/>
              <w:jc w:val="center"/>
              <w:rPr>
                <w:rFonts w:hint="eastAsia" w:ascii="宋体" w:hAnsi="宋体" w:eastAsia="宋体" w:cs="宋体"/>
                <w:sz w:val="18"/>
                <w:szCs w:val="18"/>
              </w:rPr>
            </w:pPr>
          </w:p>
        </w:tc>
        <w:tc>
          <w:tcPr>
            <w:tcW w:w="4553" w:type="dxa"/>
            <w:tcBorders>
              <w:top w:val="single" w:color="auto" w:sz="4" w:space="0"/>
              <w:left w:val="single" w:color="auto" w:sz="4" w:space="0"/>
              <w:bottom w:val="single" w:color="auto" w:sz="4" w:space="0"/>
              <w:right w:val="single" w:color="auto" w:sz="8" w:space="0"/>
            </w:tcBorders>
            <w:noWrap w:val="0"/>
            <w:vAlign w:val="center"/>
          </w:tcPr>
          <w:p w14:paraId="42866CFB">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三相数显式</w:t>
            </w:r>
          </w:p>
        </w:tc>
      </w:tr>
      <w:tr w14:paraId="3B04D4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433FE292">
            <w:pPr>
              <w:widowControl/>
              <w:jc w:val="left"/>
              <w:rPr>
                <w:rFonts w:hint="eastAsia" w:ascii="宋体" w:hAnsi="宋体" w:eastAsia="宋体" w:cs="宋体"/>
                <w:sz w:val="18"/>
                <w:szCs w:val="18"/>
              </w:rPr>
            </w:pPr>
          </w:p>
        </w:tc>
        <w:tc>
          <w:tcPr>
            <w:tcW w:w="1302" w:type="dxa"/>
            <w:vMerge w:val="restart"/>
            <w:tcBorders>
              <w:top w:val="single" w:color="auto" w:sz="4" w:space="0"/>
              <w:left w:val="single" w:color="auto" w:sz="4" w:space="0"/>
              <w:bottom w:val="single" w:color="auto" w:sz="4" w:space="0"/>
              <w:right w:val="single" w:color="auto" w:sz="4" w:space="0"/>
            </w:tcBorders>
            <w:noWrap w:val="0"/>
            <w:vAlign w:val="center"/>
          </w:tcPr>
          <w:p w14:paraId="5EF52AC6">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柜体尺寸</w:t>
            </w:r>
          </w:p>
        </w:tc>
        <w:tc>
          <w:tcPr>
            <w:tcW w:w="1877" w:type="dxa"/>
            <w:tcBorders>
              <w:top w:val="single" w:color="auto" w:sz="4" w:space="0"/>
              <w:left w:val="single" w:color="auto" w:sz="4" w:space="0"/>
              <w:bottom w:val="single" w:color="auto" w:sz="4" w:space="0"/>
              <w:right w:val="single" w:color="auto" w:sz="4" w:space="0"/>
            </w:tcBorders>
            <w:noWrap w:val="0"/>
            <w:vAlign w:val="center"/>
          </w:tcPr>
          <w:p w14:paraId="29F5C848">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 xml:space="preserve">宽度（mm） </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0786E4A0">
            <w:pPr>
              <w:topLinePunct/>
              <w:snapToGrid w:val="0"/>
              <w:spacing w:before="64" w:after="63"/>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800</w:t>
            </w:r>
            <w:r>
              <w:rPr>
                <w:rFonts w:hint="eastAsia" w:ascii="宋体" w:hAnsi="宋体" w:eastAsia="宋体" w:cs="宋体"/>
                <w:sz w:val="18"/>
                <w:szCs w:val="18"/>
                <w:lang w:eastAsia="zh-CN"/>
              </w:rPr>
              <w:t>（</w:t>
            </w:r>
            <w:r>
              <w:rPr>
                <w:rFonts w:hint="eastAsia" w:ascii="宋体" w:hAnsi="宋体" w:eastAsia="宋体" w:cs="宋体"/>
                <w:sz w:val="18"/>
                <w:szCs w:val="18"/>
                <w:lang w:val="en-US" w:eastAsia="zh-CN"/>
              </w:rPr>
              <w:t>900</w:t>
            </w:r>
            <w:r>
              <w:rPr>
                <w:rFonts w:hint="eastAsia" w:ascii="宋体" w:hAnsi="宋体" w:eastAsia="宋体" w:cs="宋体"/>
                <w:sz w:val="18"/>
                <w:szCs w:val="18"/>
                <w:lang w:eastAsia="zh-CN"/>
              </w:rPr>
              <w:t>）</w:t>
            </w:r>
          </w:p>
        </w:tc>
      </w:tr>
      <w:tr w14:paraId="1E5727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right w:val="single" w:color="auto" w:sz="4" w:space="0"/>
            </w:tcBorders>
            <w:noWrap w:val="0"/>
            <w:vAlign w:val="center"/>
          </w:tcPr>
          <w:p w14:paraId="7BC3E4F5">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1801DF91">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5DB47B78">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深度（mm）</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09B75056">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1000</w:t>
            </w:r>
          </w:p>
        </w:tc>
      </w:tr>
      <w:tr w14:paraId="45C0AF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6" w:type="dxa"/>
            <w:vMerge w:val="continue"/>
            <w:tcBorders>
              <w:left w:val="single" w:color="auto" w:sz="4" w:space="0"/>
              <w:bottom w:val="single" w:color="auto" w:sz="4" w:space="0"/>
              <w:right w:val="single" w:color="auto" w:sz="4" w:space="0"/>
            </w:tcBorders>
            <w:noWrap w:val="0"/>
            <w:vAlign w:val="center"/>
          </w:tcPr>
          <w:p w14:paraId="28DFCFF5">
            <w:pPr>
              <w:widowControl/>
              <w:jc w:val="left"/>
              <w:rPr>
                <w:rFonts w:hint="eastAsia" w:ascii="宋体" w:hAnsi="宋体" w:eastAsia="宋体" w:cs="宋体"/>
                <w:sz w:val="18"/>
                <w:szCs w:val="18"/>
              </w:rPr>
            </w:pPr>
          </w:p>
        </w:tc>
        <w:tc>
          <w:tcPr>
            <w:tcW w:w="1302" w:type="dxa"/>
            <w:vMerge w:val="continue"/>
            <w:tcBorders>
              <w:top w:val="single" w:color="auto" w:sz="4" w:space="0"/>
              <w:left w:val="single" w:color="auto" w:sz="4" w:space="0"/>
              <w:bottom w:val="single" w:color="auto" w:sz="4" w:space="0"/>
              <w:right w:val="single" w:color="auto" w:sz="4" w:space="0"/>
            </w:tcBorders>
            <w:noWrap w:val="0"/>
            <w:vAlign w:val="center"/>
          </w:tcPr>
          <w:p w14:paraId="34FBA672">
            <w:pPr>
              <w:widowControl/>
              <w:jc w:val="left"/>
              <w:rPr>
                <w:rFonts w:hint="eastAsia" w:ascii="宋体" w:hAnsi="宋体" w:eastAsia="宋体" w:cs="宋体"/>
                <w:sz w:val="18"/>
                <w:szCs w:val="18"/>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14:paraId="0A20B772">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高度（mm）</w:t>
            </w:r>
          </w:p>
        </w:tc>
        <w:tc>
          <w:tcPr>
            <w:tcW w:w="4553" w:type="dxa"/>
            <w:tcBorders>
              <w:top w:val="single" w:color="auto" w:sz="4" w:space="0"/>
              <w:left w:val="single" w:color="auto" w:sz="4" w:space="0"/>
              <w:bottom w:val="single" w:color="auto" w:sz="4" w:space="0"/>
              <w:right w:val="single" w:color="auto" w:sz="8" w:space="0"/>
            </w:tcBorders>
            <w:noWrap w:val="0"/>
            <w:vAlign w:val="center"/>
          </w:tcPr>
          <w:p w14:paraId="634AC4D5">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2200</w:t>
            </w:r>
          </w:p>
        </w:tc>
      </w:tr>
    </w:tbl>
    <w:p w14:paraId="6313595F">
      <w:pPr>
        <w:topLinePunct/>
        <w:snapToGrid w:val="0"/>
        <w:ind w:firstLine="420"/>
        <w:rPr>
          <w:rFonts w:hint="eastAsia" w:ascii="宋体" w:hAnsi="宋体" w:eastAsia="宋体" w:cs="宋体"/>
          <w:szCs w:val="21"/>
        </w:rPr>
      </w:pPr>
    </w:p>
    <w:p w14:paraId="09F472E0">
      <w:pPr>
        <w:pStyle w:val="37"/>
        <w:keepNext w:val="0"/>
        <w:keepLines w:val="0"/>
        <w:topLinePunct w:val="0"/>
        <w:outlineLvl w:val="0"/>
        <w:rPr>
          <w:rFonts w:hint="eastAsia" w:ascii="宋体" w:hAnsi="宋体" w:eastAsia="宋体" w:cs="宋体"/>
        </w:rPr>
      </w:pPr>
      <w:bookmarkStart w:id="20" w:name="_Toc355884481"/>
      <w:bookmarkStart w:id="21" w:name="_Toc445922208"/>
      <w:r>
        <w:rPr>
          <w:rFonts w:hint="eastAsia" w:ascii="宋体" w:hAnsi="宋体" w:eastAsia="宋体" w:cs="宋体"/>
          <w:lang w:eastAsia="zh-CN"/>
        </w:rPr>
        <w:t>4</w:t>
      </w:r>
      <w:r>
        <w:rPr>
          <w:rFonts w:hint="eastAsia" w:ascii="宋体" w:hAnsi="宋体" w:eastAsia="宋体" w:cs="宋体"/>
        </w:rPr>
        <w:t>　使用环境条件表</w:t>
      </w:r>
      <w:bookmarkEnd w:id="20"/>
      <w:bookmarkEnd w:id="21"/>
    </w:p>
    <w:p w14:paraId="0A201F5A">
      <w:pPr>
        <w:topLinePunct/>
        <w:spacing w:line="312" w:lineRule="exact"/>
        <w:ind w:firstLine="420"/>
        <w:rPr>
          <w:rFonts w:hint="eastAsia" w:ascii="宋体" w:hAnsi="宋体" w:eastAsia="宋体" w:cs="宋体"/>
          <w:szCs w:val="21"/>
        </w:rPr>
      </w:pPr>
      <w:r>
        <w:rPr>
          <w:rFonts w:hint="eastAsia" w:ascii="宋体" w:hAnsi="宋体" w:eastAsia="宋体" w:cs="宋体"/>
          <w:szCs w:val="21"/>
        </w:rPr>
        <w:t>使用环境条件见表5。特殊环境要求根据项目情况进行编制。</w:t>
      </w:r>
    </w:p>
    <w:p w14:paraId="7DE8D648">
      <w:pPr>
        <w:jc w:val="center"/>
        <w:rPr>
          <w:rFonts w:hint="eastAsia" w:ascii="宋体" w:hAnsi="宋体" w:eastAsia="宋体" w:cs="宋体"/>
        </w:rPr>
      </w:pPr>
      <w:r>
        <w:rPr>
          <w:rFonts w:hint="eastAsia" w:ascii="宋体" w:hAnsi="宋体" w:eastAsia="宋体" w:cs="宋体"/>
        </w:rPr>
        <w:t>表5　使用环境条件表</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1994"/>
        <w:gridCol w:w="1994"/>
        <w:gridCol w:w="1113"/>
        <w:gridCol w:w="2509"/>
      </w:tblGrid>
      <w:tr w14:paraId="718A5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8" w:space="0"/>
              <w:left w:val="single" w:color="auto" w:sz="8" w:space="0"/>
              <w:bottom w:val="single" w:color="auto" w:sz="4" w:space="0"/>
              <w:right w:val="single" w:color="auto" w:sz="4" w:space="0"/>
            </w:tcBorders>
            <w:noWrap w:val="0"/>
            <w:vAlign w:val="center"/>
          </w:tcPr>
          <w:p w14:paraId="61D02F73">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序号</w:t>
            </w:r>
          </w:p>
        </w:tc>
        <w:tc>
          <w:tcPr>
            <w:tcW w:w="2340" w:type="pct"/>
            <w:gridSpan w:val="2"/>
            <w:tcBorders>
              <w:top w:val="single" w:color="auto" w:sz="8" w:space="0"/>
              <w:left w:val="single" w:color="auto" w:sz="4" w:space="0"/>
              <w:bottom w:val="single" w:color="auto" w:sz="4" w:space="0"/>
              <w:right w:val="single" w:color="auto" w:sz="4" w:space="0"/>
            </w:tcBorders>
            <w:noWrap w:val="0"/>
            <w:vAlign w:val="center"/>
          </w:tcPr>
          <w:p w14:paraId="5C948AFB">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名　　称</w:t>
            </w:r>
          </w:p>
        </w:tc>
        <w:tc>
          <w:tcPr>
            <w:tcW w:w="653" w:type="pct"/>
            <w:tcBorders>
              <w:top w:val="single" w:color="auto" w:sz="8" w:space="0"/>
              <w:left w:val="single" w:color="auto" w:sz="4" w:space="0"/>
              <w:bottom w:val="single" w:color="auto" w:sz="4" w:space="0"/>
              <w:right w:val="single" w:color="auto" w:sz="4" w:space="0"/>
            </w:tcBorders>
            <w:noWrap w:val="0"/>
            <w:vAlign w:val="center"/>
          </w:tcPr>
          <w:p w14:paraId="335CCAAB">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单位</w:t>
            </w:r>
          </w:p>
        </w:tc>
        <w:tc>
          <w:tcPr>
            <w:tcW w:w="1472" w:type="pct"/>
            <w:tcBorders>
              <w:top w:val="single" w:color="auto" w:sz="8" w:space="0"/>
              <w:left w:val="single" w:color="auto" w:sz="4" w:space="0"/>
              <w:bottom w:val="single" w:color="auto" w:sz="4" w:space="0"/>
              <w:right w:val="single" w:color="auto" w:sz="8" w:space="0"/>
            </w:tcBorders>
            <w:noWrap w:val="0"/>
            <w:vAlign w:val="center"/>
          </w:tcPr>
          <w:p w14:paraId="4CDCA328">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项目需求值</w:t>
            </w:r>
          </w:p>
        </w:tc>
      </w:tr>
      <w:tr w14:paraId="5283C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restart"/>
            <w:tcBorders>
              <w:top w:val="single" w:color="auto" w:sz="4" w:space="0"/>
              <w:left w:val="single" w:color="auto" w:sz="8" w:space="0"/>
              <w:bottom w:val="single" w:color="auto" w:sz="4" w:space="0"/>
              <w:right w:val="single" w:color="auto" w:sz="4" w:space="0"/>
            </w:tcBorders>
            <w:noWrap w:val="0"/>
            <w:vAlign w:val="center"/>
          </w:tcPr>
          <w:p w14:paraId="4CD42FA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1170" w:type="pct"/>
            <w:vMerge w:val="restart"/>
            <w:tcBorders>
              <w:top w:val="single" w:color="auto" w:sz="4" w:space="0"/>
              <w:left w:val="single" w:color="auto" w:sz="4" w:space="0"/>
              <w:bottom w:val="single" w:color="auto" w:sz="4" w:space="0"/>
              <w:right w:val="single" w:color="auto" w:sz="4" w:space="0"/>
            </w:tcBorders>
            <w:noWrap w:val="0"/>
            <w:vAlign w:val="center"/>
          </w:tcPr>
          <w:p w14:paraId="5614EED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周围空气温度</w:t>
            </w:r>
          </w:p>
        </w:tc>
        <w:tc>
          <w:tcPr>
            <w:tcW w:w="1170" w:type="pct"/>
            <w:tcBorders>
              <w:top w:val="single" w:color="auto" w:sz="4" w:space="0"/>
              <w:left w:val="single" w:color="auto" w:sz="4" w:space="0"/>
              <w:bottom w:val="single" w:color="auto" w:sz="4" w:space="0"/>
              <w:right w:val="single" w:color="auto" w:sz="4" w:space="0"/>
            </w:tcBorders>
            <w:noWrap w:val="0"/>
            <w:vAlign w:val="center"/>
          </w:tcPr>
          <w:p w14:paraId="17DD10A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最高气温</w:t>
            </w:r>
          </w:p>
        </w:tc>
        <w:tc>
          <w:tcPr>
            <w:tcW w:w="653" w:type="pct"/>
            <w:vMerge w:val="restart"/>
            <w:tcBorders>
              <w:top w:val="single" w:color="auto" w:sz="4" w:space="0"/>
              <w:left w:val="single" w:color="auto" w:sz="4" w:space="0"/>
              <w:bottom w:val="single" w:color="auto" w:sz="4" w:space="0"/>
              <w:right w:val="single" w:color="auto" w:sz="4" w:space="0"/>
            </w:tcBorders>
            <w:noWrap w:val="0"/>
            <w:vAlign w:val="center"/>
          </w:tcPr>
          <w:p w14:paraId="531FBFF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4D8EC0E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+45</w:t>
            </w:r>
          </w:p>
        </w:tc>
      </w:tr>
      <w:tr w14:paraId="3991DE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14:paraId="2A3DA43F">
            <w:pPr>
              <w:widowControl/>
              <w:jc w:val="left"/>
              <w:rPr>
                <w:rFonts w:hint="eastAsia" w:ascii="宋体" w:hAnsi="宋体" w:eastAsia="宋体" w:cs="宋体"/>
                <w:sz w:val="18"/>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74C22D16">
            <w:pPr>
              <w:widowControl/>
              <w:jc w:val="left"/>
              <w:rPr>
                <w:rFonts w:hint="eastAsia" w:ascii="宋体" w:hAnsi="宋体" w:eastAsia="宋体" w:cs="宋体"/>
                <w:sz w:val="18"/>
                <w:szCs w:val="21"/>
              </w:rPr>
            </w:pPr>
          </w:p>
        </w:tc>
        <w:tc>
          <w:tcPr>
            <w:tcW w:w="1170" w:type="pct"/>
            <w:tcBorders>
              <w:top w:val="single" w:color="auto" w:sz="4" w:space="0"/>
              <w:left w:val="single" w:color="auto" w:sz="4" w:space="0"/>
              <w:bottom w:val="single" w:color="auto" w:sz="4" w:space="0"/>
              <w:right w:val="single" w:color="auto" w:sz="4" w:space="0"/>
            </w:tcBorders>
            <w:noWrap w:val="0"/>
            <w:vAlign w:val="center"/>
          </w:tcPr>
          <w:p w14:paraId="6D799AA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最低气温</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044AAAF5">
            <w:pPr>
              <w:widowControl/>
              <w:jc w:val="left"/>
              <w:rPr>
                <w:rFonts w:hint="eastAsia" w:ascii="宋体" w:hAnsi="宋体" w:eastAsia="宋体" w:cs="宋体"/>
                <w:sz w:val="18"/>
                <w:szCs w:val="21"/>
              </w:rPr>
            </w:pPr>
          </w:p>
        </w:tc>
        <w:tc>
          <w:tcPr>
            <w:tcW w:w="1472" w:type="pct"/>
            <w:tcBorders>
              <w:top w:val="single" w:color="auto" w:sz="4" w:space="0"/>
              <w:left w:val="single" w:color="auto" w:sz="4" w:space="0"/>
              <w:bottom w:val="single" w:color="auto" w:sz="4" w:space="0"/>
              <w:right w:val="single" w:color="auto" w:sz="8" w:space="0"/>
            </w:tcBorders>
            <w:noWrap w:val="0"/>
            <w:vAlign w:val="center"/>
          </w:tcPr>
          <w:p w14:paraId="2B93BB4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25</w:t>
            </w:r>
          </w:p>
        </w:tc>
      </w:tr>
      <w:tr w14:paraId="3366A5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14:paraId="69884FDA">
            <w:pPr>
              <w:widowControl/>
              <w:jc w:val="left"/>
              <w:rPr>
                <w:rFonts w:hint="eastAsia" w:ascii="宋体" w:hAnsi="宋体" w:eastAsia="宋体" w:cs="宋体"/>
                <w:sz w:val="18"/>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03BE4891">
            <w:pPr>
              <w:widowControl/>
              <w:jc w:val="left"/>
              <w:rPr>
                <w:rFonts w:hint="eastAsia" w:ascii="宋体" w:hAnsi="宋体" w:eastAsia="宋体" w:cs="宋体"/>
                <w:sz w:val="18"/>
                <w:szCs w:val="21"/>
              </w:rPr>
            </w:pPr>
          </w:p>
        </w:tc>
        <w:tc>
          <w:tcPr>
            <w:tcW w:w="1170" w:type="pct"/>
            <w:tcBorders>
              <w:top w:val="single" w:color="auto" w:sz="4" w:space="0"/>
              <w:left w:val="single" w:color="auto" w:sz="4" w:space="0"/>
              <w:bottom w:val="single" w:color="auto" w:sz="4" w:space="0"/>
              <w:right w:val="single" w:color="auto" w:sz="4" w:space="0"/>
            </w:tcBorders>
            <w:noWrap w:val="0"/>
            <w:vAlign w:val="center"/>
          </w:tcPr>
          <w:p w14:paraId="223BA1B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最大日温差</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75AF4F63">
            <w:pPr>
              <w:pStyle w:val="5"/>
              <w:keepNext w:val="0"/>
              <w:keepLines w:val="0"/>
              <w:topLinePunct/>
              <w:snapToGrid w:val="0"/>
              <w:spacing w:before="60" w:after="60" w:line="240" w:lineRule="auto"/>
              <w:jc w:val="center"/>
              <w:rPr>
                <w:rFonts w:hint="eastAsia" w:ascii="宋体" w:hAnsi="宋体" w:eastAsia="宋体" w:cs="宋体"/>
                <w:b w:val="0"/>
                <w:bCs w:val="0"/>
                <w:sz w:val="18"/>
                <w:szCs w:val="21"/>
              </w:rPr>
            </w:pPr>
            <w:r>
              <w:rPr>
                <w:rFonts w:hint="eastAsia" w:ascii="宋体" w:hAnsi="宋体" w:eastAsia="宋体" w:cs="宋体"/>
                <w:b w:val="0"/>
                <w:sz w:val="18"/>
                <w:szCs w:val="21"/>
              </w:rPr>
              <w:t>K</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7935DE4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30</w:t>
            </w:r>
          </w:p>
        </w:tc>
      </w:tr>
      <w:tr w14:paraId="6884A7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4" w:space="0"/>
              <w:left w:val="single" w:color="auto" w:sz="8" w:space="0"/>
              <w:bottom w:val="single" w:color="auto" w:sz="4" w:space="0"/>
              <w:right w:val="single" w:color="auto" w:sz="4" w:space="0"/>
            </w:tcBorders>
            <w:noWrap w:val="0"/>
            <w:vAlign w:val="center"/>
          </w:tcPr>
          <w:p w14:paraId="6A43837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2340" w:type="pct"/>
            <w:gridSpan w:val="2"/>
            <w:tcBorders>
              <w:top w:val="single" w:color="auto" w:sz="4" w:space="0"/>
              <w:left w:val="single" w:color="auto" w:sz="4" w:space="0"/>
              <w:bottom w:val="single" w:color="auto" w:sz="4" w:space="0"/>
              <w:right w:val="single" w:color="auto" w:sz="4" w:space="0"/>
            </w:tcBorders>
            <w:noWrap w:val="0"/>
            <w:vAlign w:val="center"/>
          </w:tcPr>
          <w:p w14:paraId="0BC3B71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海拔</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253003F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17B5D59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≤1000</w:t>
            </w:r>
          </w:p>
        </w:tc>
      </w:tr>
      <w:tr w14:paraId="5B17F1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4" w:space="0"/>
              <w:left w:val="single" w:color="auto" w:sz="8" w:space="0"/>
              <w:bottom w:val="single" w:color="auto" w:sz="4" w:space="0"/>
              <w:right w:val="single" w:color="auto" w:sz="4" w:space="0"/>
            </w:tcBorders>
            <w:noWrap w:val="0"/>
            <w:vAlign w:val="center"/>
          </w:tcPr>
          <w:p w14:paraId="5F45721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2340" w:type="pct"/>
            <w:gridSpan w:val="2"/>
            <w:tcBorders>
              <w:top w:val="single" w:color="auto" w:sz="4" w:space="0"/>
              <w:left w:val="single" w:color="auto" w:sz="4" w:space="0"/>
              <w:bottom w:val="single" w:color="auto" w:sz="4" w:space="0"/>
              <w:right w:val="single" w:color="auto" w:sz="4" w:space="0"/>
            </w:tcBorders>
            <w:noWrap w:val="0"/>
            <w:vAlign w:val="center"/>
          </w:tcPr>
          <w:p w14:paraId="0126B69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太阳辐射强度</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34D1CAD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W/cm</w:t>
            </w:r>
            <w:r>
              <w:rPr>
                <w:rFonts w:hint="eastAsia" w:ascii="宋体" w:hAnsi="宋体" w:eastAsia="宋体" w:cs="宋体"/>
                <w:sz w:val="18"/>
                <w:szCs w:val="21"/>
                <w:vertAlign w:val="superscript"/>
              </w:rPr>
              <w:t>2</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0943F3D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0.1</w:t>
            </w:r>
          </w:p>
        </w:tc>
      </w:tr>
      <w:tr w14:paraId="7853E1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4" w:space="0"/>
              <w:left w:val="single" w:color="auto" w:sz="8" w:space="0"/>
              <w:bottom w:val="single" w:color="auto" w:sz="4" w:space="0"/>
              <w:right w:val="single" w:color="auto" w:sz="4" w:space="0"/>
            </w:tcBorders>
            <w:noWrap w:val="0"/>
            <w:vAlign w:val="center"/>
          </w:tcPr>
          <w:p w14:paraId="3917620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2340" w:type="pct"/>
            <w:gridSpan w:val="2"/>
            <w:tcBorders>
              <w:top w:val="single" w:color="auto" w:sz="4" w:space="0"/>
              <w:left w:val="single" w:color="auto" w:sz="4" w:space="0"/>
              <w:bottom w:val="single" w:color="auto" w:sz="4" w:space="0"/>
              <w:right w:val="single" w:color="auto" w:sz="4" w:space="0"/>
            </w:tcBorders>
            <w:noWrap w:val="0"/>
            <w:vAlign w:val="center"/>
          </w:tcPr>
          <w:p w14:paraId="3AE837E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污秽等级</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7F229596">
            <w:pPr>
              <w:topLinePunct/>
              <w:snapToGrid w:val="0"/>
              <w:spacing w:before="60" w:after="60"/>
              <w:jc w:val="center"/>
              <w:rPr>
                <w:rFonts w:hint="eastAsia" w:ascii="宋体" w:hAnsi="宋体" w:eastAsia="宋体" w:cs="宋体"/>
                <w:sz w:val="18"/>
                <w:szCs w:val="21"/>
              </w:rPr>
            </w:pPr>
          </w:p>
        </w:tc>
        <w:tc>
          <w:tcPr>
            <w:tcW w:w="1472" w:type="pct"/>
            <w:tcBorders>
              <w:top w:val="single" w:color="auto" w:sz="4" w:space="0"/>
              <w:left w:val="single" w:color="auto" w:sz="4" w:space="0"/>
              <w:bottom w:val="single" w:color="auto" w:sz="4" w:space="0"/>
              <w:right w:val="single" w:color="auto" w:sz="8" w:space="0"/>
            </w:tcBorders>
            <w:noWrap w:val="0"/>
            <w:vAlign w:val="center"/>
          </w:tcPr>
          <w:p w14:paraId="4C3FA78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Ⅲ</w:t>
            </w:r>
          </w:p>
        </w:tc>
      </w:tr>
      <w:tr w14:paraId="327777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4" w:space="0"/>
              <w:left w:val="single" w:color="auto" w:sz="8" w:space="0"/>
              <w:bottom w:val="single" w:color="auto" w:sz="4" w:space="0"/>
              <w:right w:val="single" w:color="auto" w:sz="4" w:space="0"/>
            </w:tcBorders>
            <w:noWrap w:val="0"/>
            <w:vAlign w:val="center"/>
          </w:tcPr>
          <w:p w14:paraId="4F45F69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2340" w:type="pct"/>
            <w:gridSpan w:val="2"/>
            <w:tcBorders>
              <w:top w:val="single" w:color="auto" w:sz="4" w:space="0"/>
              <w:left w:val="single" w:color="auto" w:sz="4" w:space="0"/>
              <w:bottom w:val="single" w:color="auto" w:sz="4" w:space="0"/>
              <w:right w:val="single" w:color="auto" w:sz="4" w:space="0"/>
            </w:tcBorders>
            <w:noWrap w:val="0"/>
            <w:vAlign w:val="center"/>
          </w:tcPr>
          <w:p w14:paraId="21C52CE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覆冰厚度</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488D068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mm</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6C365E6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w:t>
            </w:r>
          </w:p>
        </w:tc>
      </w:tr>
      <w:tr w14:paraId="556553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restart"/>
            <w:tcBorders>
              <w:top w:val="single" w:color="auto" w:sz="4" w:space="0"/>
              <w:left w:val="single" w:color="auto" w:sz="8" w:space="0"/>
              <w:bottom w:val="single" w:color="auto" w:sz="4" w:space="0"/>
              <w:right w:val="single" w:color="auto" w:sz="4" w:space="0"/>
            </w:tcBorders>
            <w:noWrap w:val="0"/>
            <w:vAlign w:val="center"/>
          </w:tcPr>
          <w:p w14:paraId="60F958C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w:t>
            </w:r>
          </w:p>
        </w:tc>
        <w:tc>
          <w:tcPr>
            <w:tcW w:w="1170" w:type="pct"/>
            <w:vMerge w:val="restart"/>
            <w:tcBorders>
              <w:top w:val="single" w:color="auto" w:sz="4" w:space="0"/>
              <w:left w:val="single" w:color="auto" w:sz="4" w:space="0"/>
              <w:bottom w:val="single" w:color="auto" w:sz="4" w:space="0"/>
              <w:right w:val="single" w:color="auto" w:sz="4" w:space="0"/>
            </w:tcBorders>
            <w:noWrap w:val="0"/>
            <w:vAlign w:val="center"/>
          </w:tcPr>
          <w:p w14:paraId="297EAB0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湿度</w:t>
            </w:r>
          </w:p>
        </w:tc>
        <w:tc>
          <w:tcPr>
            <w:tcW w:w="1170" w:type="pct"/>
            <w:tcBorders>
              <w:top w:val="single" w:color="auto" w:sz="4" w:space="0"/>
              <w:left w:val="single" w:color="auto" w:sz="4" w:space="0"/>
              <w:bottom w:val="single" w:color="auto" w:sz="4" w:space="0"/>
              <w:right w:val="single" w:color="auto" w:sz="4" w:space="0"/>
            </w:tcBorders>
            <w:noWrap w:val="0"/>
            <w:vAlign w:val="center"/>
          </w:tcPr>
          <w:p w14:paraId="7C0CFA1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日相对湿度平均值</w:t>
            </w:r>
          </w:p>
        </w:tc>
        <w:tc>
          <w:tcPr>
            <w:tcW w:w="653" w:type="pct"/>
            <w:vMerge w:val="restart"/>
            <w:tcBorders>
              <w:top w:val="single" w:color="auto" w:sz="4" w:space="0"/>
              <w:left w:val="single" w:color="auto" w:sz="4" w:space="0"/>
              <w:bottom w:val="single" w:color="auto" w:sz="4" w:space="0"/>
              <w:right w:val="single" w:color="auto" w:sz="4" w:space="0"/>
            </w:tcBorders>
            <w:noWrap w:val="0"/>
            <w:vAlign w:val="center"/>
          </w:tcPr>
          <w:p w14:paraId="63E21C7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323AFE0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≤95</w:t>
            </w:r>
          </w:p>
        </w:tc>
      </w:tr>
      <w:tr w14:paraId="0542DB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14:paraId="59DEFA03">
            <w:pPr>
              <w:widowControl/>
              <w:jc w:val="left"/>
              <w:rPr>
                <w:rFonts w:hint="eastAsia" w:ascii="宋体" w:hAnsi="宋体" w:eastAsia="宋体" w:cs="宋体"/>
                <w:sz w:val="18"/>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6D837832">
            <w:pPr>
              <w:widowControl/>
              <w:jc w:val="left"/>
              <w:rPr>
                <w:rFonts w:hint="eastAsia" w:ascii="宋体" w:hAnsi="宋体" w:eastAsia="宋体" w:cs="宋体"/>
                <w:sz w:val="18"/>
                <w:szCs w:val="21"/>
              </w:rPr>
            </w:pPr>
          </w:p>
        </w:tc>
        <w:tc>
          <w:tcPr>
            <w:tcW w:w="1170" w:type="pct"/>
            <w:tcBorders>
              <w:top w:val="single" w:color="auto" w:sz="4" w:space="0"/>
              <w:left w:val="single" w:color="auto" w:sz="4" w:space="0"/>
              <w:bottom w:val="single" w:color="auto" w:sz="4" w:space="0"/>
              <w:right w:val="single" w:color="auto" w:sz="4" w:space="0"/>
            </w:tcBorders>
            <w:noWrap w:val="0"/>
            <w:vAlign w:val="center"/>
          </w:tcPr>
          <w:p w14:paraId="7E751C5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月相对湿度平均值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131946BF">
            <w:pPr>
              <w:widowControl/>
              <w:jc w:val="left"/>
              <w:rPr>
                <w:rFonts w:hint="eastAsia" w:ascii="宋体" w:hAnsi="宋体" w:eastAsia="宋体" w:cs="宋体"/>
                <w:sz w:val="18"/>
                <w:szCs w:val="21"/>
              </w:rPr>
            </w:pPr>
          </w:p>
        </w:tc>
        <w:tc>
          <w:tcPr>
            <w:tcW w:w="1472" w:type="pct"/>
            <w:tcBorders>
              <w:top w:val="single" w:color="auto" w:sz="4" w:space="0"/>
              <w:left w:val="single" w:color="auto" w:sz="4" w:space="0"/>
              <w:bottom w:val="single" w:color="auto" w:sz="4" w:space="0"/>
              <w:right w:val="single" w:color="auto" w:sz="8" w:space="0"/>
            </w:tcBorders>
            <w:noWrap w:val="0"/>
            <w:vAlign w:val="center"/>
          </w:tcPr>
          <w:p w14:paraId="5D1B5C1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≤90</w:t>
            </w:r>
          </w:p>
        </w:tc>
      </w:tr>
      <w:tr w14:paraId="236A30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restart"/>
            <w:tcBorders>
              <w:top w:val="single" w:color="auto" w:sz="4" w:space="0"/>
              <w:left w:val="single" w:color="auto" w:sz="8" w:space="0"/>
              <w:bottom w:val="single" w:color="auto" w:sz="4" w:space="0"/>
              <w:right w:val="single" w:color="auto" w:sz="4" w:space="0"/>
            </w:tcBorders>
            <w:noWrap w:val="0"/>
            <w:vAlign w:val="center"/>
          </w:tcPr>
          <w:p w14:paraId="53E1C6F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w:t>
            </w:r>
          </w:p>
        </w:tc>
        <w:tc>
          <w:tcPr>
            <w:tcW w:w="1170" w:type="pct"/>
            <w:vMerge w:val="restart"/>
            <w:tcBorders>
              <w:top w:val="single" w:color="auto" w:sz="4" w:space="0"/>
              <w:left w:val="single" w:color="auto" w:sz="4" w:space="0"/>
              <w:bottom w:val="single" w:color="auto" w:sz="4" w:space="0"/>
              <w:right w:val="single" w:color="auto" w:sz="4" w:space="0"/>
            </w:tcBorders>
            <w:noWrap w:val="0"/>
            <w:vAlign w:val="center"/>
          </w:tcPr>
          <w:p w14:paraId="35ED413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耐受地震能力</w:t>
            </w:r>
          </w:p>
        </w:tc>
        <w:tc>
          <w:tcPr>
            <w:tcW w:w="1170" w:type="pct"/>
            <w:tcBorders>
              <w:top w:val="single" w:color="auto" w:sz="4" w:space="0"/>
              <w:left w:val="single" w:color="auto" w:sz="4" w:space="0"/>
              <w:bottom w:val="single" w:color="auto" w:sz="4" w:space="0"/>
              <w:right w:val="single" w:color="auto" w:sz="4" w:space="0"/>
            </w:tcBorders>
            <w:noWrap w:val="0"/>
            <w:vAlign w:val="center"/>
          </w:tcPr>
          <w:p w14:paraId="67306CC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水平加速度</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4EF89D0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m/s</w:t>
            </w:r>
            <w:r>
              <w:rPr>
                <w:rFonts w:hint="eastAsia" w:ascii="宋体" w:hAnsi="宋体" w:eastAsia="宋体" w:cs="宋体"/>
                <w:sz w:val="18"/>
                <w:szCs w:val="21"/>
                <w:vertAlign w:val="superscript"/>
              </w:rPr>
              <w:t>2</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402BA47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3.0</w:t>
            </w:r>
          </w:p>
        </w:tc>
      </w:tr>
      <w:tr w14:paraId="35ABD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14:paraId="6AECC873">
            <w:pPr>
              <w:widowControl/>
              <w:jc w:val="left"/>
              <w:rPr>
                <w:rFonts w:hint="eastAsia" w:ascii="宋体" w:hAnsi="宋体" w:eastAsia="宋体" w:cs="宋体"/>
                <w:sz w:val="18"/>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39620B4">
            <w:pPr>
              <w:widowControl/>
              <w:jc w:val="left"/>
              <w:rPr>
                <w:rFonts w:hint="eastAsia" w:ascii="宋体" w:hAnsi="宋体" w:eastAsia="宋体" w:cs="宋体"/>
                <w:sz w:val="18"/>
                <w:szCs w:val="21"/>
              </w:rPr>
            </w:pPr>
          </w:p>
        </w:tc>
        <w:tc>
          <w:tcPr>
            <w:tcW w:w="1170" w:type="pct"/>
            <w:tcBorders>
              <w:top w:val="single" w:color="auto" w:sz="4" w:space="0"/>
              <w:left w:val="single" w:color="auto" w:sz="4" w:space="0"/>
              <w:bottom w:val="single" w:color="auto" w:sz="4" w:space="0"/>
              <w:right w:val="single" w:color="auto" w:sz="4" w:space="0"/>
            </w:tcBorders>
            <w:noWrap w:val="0"/>
            <w:vAlign w:val="center"/>
          </w:tcPr>
          <w:p w14:paraId="1FCA58B2">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垂直加速度</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5CA6540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m/s</w:t>
            </w:r>
            <w:r>
              <w:rPr>
                <w:rFonts w:hint="eastAsia" w:ascii="宋体" w:hAnsi="宋体" w:eastAsia="宋体" w:cs="宋体"/>
                <w:sz w:val="18"/>
                <w:szCs w:val="21"/>
                <w:vertAlign w:val="superscript"/>
              </w:rPr>
              <w:t>2</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51AA214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1.5</w:t>
            </w:r>
          </w:p>
        </w:tc>
      </w:tr>
      <w:tr w14:paraId="137FCB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4" w:space="0"/>
              <w:left w:val="single" w:color="auto" w:sz="8" w:space="0"/>
              <w:bottom w:val="single" w:color="auto" w:sz="4" w:space="0"/>
              <w:right w:val="single" w:color="auto" w:sz="4" w:space="0"/>
            </w:tcBorders>
            <w:noWrap w:val="0"/>
            <w:vAlign w:val="center"/>
          </w:tcPr>
          <w:p w14:paraId="3AA3C07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8</w:t>
            </w:r>
          </w:p>
        </w:tc>
        <w:tc>
          <w:tcPr>
            <w:tcW w:w="2340" w:type="pct"/>
            <w:gridSpan w:val="2"/>
            <w:tcBorders>
              <w:top w:val="single" w:color="auto" w:sz="4" w:space="0"/>
              <w:left w:val="single" w:color="auto" w:sz="4" w:space="0"/>
              <w:bottom w:val="single" w:color="auto" w:sz="4" w:space="0"/>
              <w:right w:val="single" w:color="auto" w:sz="4" w:space="0"/>
            </w:tcBorders>
            <w:noWrap w:val="0"/>
            <w:vAlign w:val="center"/>
          </w:tcPr>
          <w:p w14:paraId="4EA595D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由于主回路中的开合操作在辅助和控制</w:t>
            </w:r>
            <w:r>
              <w:rPr>
                <w:rFonts w:hint="eastAsia" w:ascii="宋体" w:hAnsi="宋体" w:eastAsia="宋体" w:cs="宋体"/>
                <w:sz w:val="18"/>
                <w:szCs w:val="21"/>
              </w:rPr>
              <w:br w:type="textWrapping"/>
            </w:r>
            <w:r>
              <w:rPr>
                <w:rFonts w:hint="eastAsia" w:ascii="宋体" w:hAnsi="宋体" w:eastAsia="宋体" w:cs="宋体"/>
                <w:sz w:val="18"/>
                <w:szCs w:val="21"/>
              </w:rPr>
              <w:t>回路上所感应的共模电压的幅值</w:t>
            </w:r>
          </w:p>
        </w:tc>
        <w:tc>
          <w:tcPr>
            <w:tcW w:w="653" w:type="pct"/>
            <w:tcBorders>
              <w:top w:val="single" w:color="auto" w:sz="4" w:space="0"/>
              <w:left w:val="single" w:color="auto" w:sz="4" w:space="0"/>
              <w:bottom w:val="single" w:color="auto" w:sz="4" w:space="0"/>
              <w:right w:val="single" w:color="auto" w:sz="4" w:space="0"/>
            </w:tcBorders>
            <w:noWrap w:val="0"/>
            <w:vAlign w:val="center"/>
          </w:tcPr>
          <w:p w14:paraId="5002D57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1472" w:type="pct"/>
            <w:tcBorders>
              <w:top w:val="single" w:color="auto" w:sz="4" w:space="0"/>
              <w:left w:val="single" w:color="auto" w:sz="4" w:space="0"/>
              <w:bottom w:val="single" w:color="auto" w:sz="4" w:space="0"/>
              <w:right w:val="single" w:color="auto" w:sz="8" w:space="0"/>
            </w:tcBorders>
            <w:noWrap w:val="0"/>
            <w:vAlign w:val="center"/>
          </w:tcPr>
          <w:p w14:paraId="0866201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≤1.6</w:t>
            </w:r>
          </w:p>
        </w:tc>
      </w:tr>
      <w:tr w14:paraId="782A7C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8" w:space="0"/>
              <w:bottom w:val="single" w:color="auto" w:sz="8" w:space="0"/>
              <w:right w:val="single" w:color="auto" w:sz="8" w:space="0"/>
            </w:tcBorders>
            <w:noWrap w:val="0"/>
            <w:vAlign w:val="center"/>
          </w:tcPr>
          <w:p w14:paraId="59834895">
            <w:pPr>
              <w:topLinePunct/>
              <w:snapToGrid w:val="0"/>
              <w:spacing w:before="60" w:after="60"/>
              <w:ind w:left="510" w:hanging="340"/>
              <w:rPr>
                <w:rFonts w:hint="eastAsia" w:ascii="宋体" w:hAnsi="宋体" w:eastAsia="宋体" w:cs="宋体"/>
                <w:sz w:val="18"/>
                <w:szCs w:val="18"/>
              </w:rPr>
            </w:pPr>
            <w:r>
              <w:rPr>
                <w:rFonts w:hint="eastAsia" w:ascii="宋体" w:hAnsi="宋体" w:eastAsia="宋体" w:cs="宋体"/>
                <w:sz w:val="18"/>
                <w:szCs w:val="18"/>
              </w:rPr>
              <w:t>注：表中“项目需求值”为正常使用条件，超出此值时为特殊使用条件，项目单位可根据工程实际使用条件进行修改。</w:t>
            </w:r>
          </w:p>
        </w:tc>
      </w:tr>
    </w:tbl>
    <w:p w14:paraId="434E2FE8">
      <w:pPr>
        <w:jc w:val="center"/>
        <w:rPr>
          <w:rFonts w:hint="eastAsia" w:ascii="宋体" w:hAnsi="宋体" w:eastAsia="宋体" w:cs="宋体"/>
        </w:rPr>
      </w:pPr>
    </w:p>
    <w:p w14:paraId="6ADF0170">
      <w:pPr>
        <w:pStyle w:val="37"/>
        <w:keepNext w:val="0"/>
        <w:keepLines w:val="0"/>
        <w:topLinePunct w:val="0"/>
        <w:spacing w:line="240" w:lineRule="auto"/>
        <w:outlineLvl w:val="0"/>
        <w:rPr>
          <w:rFonts w:hint="eastAsia" w:ascii="宋体" w:hAnsi="宋体" w:eastAsia="宋体" w:cs="宋体"/>
        </w:rPr>
      </w:pPr>
      <w:bookmarkStart w:id="22" w:name="_Toc445922209"/>
      <w:r>
        <w:rPr>
          <w:rFonts w:hint="eastAsia" w:ascii="宋体" w:hAnsi="宋体" w:eastAsia="宋体" w:cs="宋体"/>
          <w:lang w:eastAsia="zh-CN"/>
        </w:rPr>
        <w:t>5</w:t>
      </w:r>
      <w:r>
        <w:rPr>
          <w:rFonts w:hint="eastAsia" w:ascii="宋体" w:hAnsi="宋体" w:eastAsia="宋体" w:cs="宋体"/>
        </w:rPr>
        <w:t>　试验</w:t>
      </w:r>
      <w:bookmarkEnd w:id="16"/>
      <w:bookmarkEnd w:id="19"/>
      <w:bookmarkEnd w:id="22"/>
    </w:p>
    <w:p w14:paraId="2B10FDDB">
      <w:pPr>
        <w:topLinePunct/>
        <w:rPr>
          <w:rFonts w:hint="eastAsia" w:ascii="宋体" w:hAnsi="宋体" w:eastAsia="宋体" w:cs="宋体"/>
        </w:rPr>
      </w:pPr>
      <w:r>
        <w:rPr>
          <w:rFonts w:hint="eastAsia" w:ascii="宋体" w:hAnsi="宋体" w:eastAsia="宋体" w:cs="宋体"/>
        </w:rPr>
        <w:t>5.1 试验内容及要求</w:t>
      </w:r>
    </w:p>
    <w:p w14:paraId="0642AAD0">
      <w:pPr>
        <w:topLinePunct/>
        <w:spacing w:line="320" w:lineRule="exact"/>
        <w:rPr>
          <w:rFonts w:hint="eastAsia" w:ascii="宋体" w:hAnsi="宋体" w:eastAsia="宋体" w:cs="宋体"/>
          <w:bCs/>
          <w:spacing w:val="3"/>
          <w:szCs w:val="21"/>
        </w:rPr>
      </w:pPr>
      <w:r>
        <w:rPr>
          <w:rFonts w:hint="eastAsia" w:ascii="宋体" w:hAnsi="宋体" w:eastAsia="宋体" w:cs="宋体"/>
          <w:szCs w:val="21"/>
        </w:rPr>
        <w:t xml:space="preserve">5.1.1  </w:t>
      </w:r>
      <w:bookmarkStart w:id="23" w:name="_Toc363243287"/>
      <w:bookmarkStart w:id="24" w:name="_Toc358552335"/>
      <w:bookmarkStart w:id="25" w:name="_Toc358552373"/>
      <w:bookmarkStart w:id="26" w:name="_Toc363381648"/>
      <w:r>
        <w:rPr>
          <w:rFonts w:hint="eastAsia" w:ascii="宋体" w:hAnsi="宋体" w:eastAsia="宋体" w:cs="宋体"/>
          <w:bCs/>
          <w:spacing w:val="3"/>
          <w:szCs w:val="21"/>
        </w:rPr>
        <w:t>根据国家标准（GB）和最新版的IEC标准进行试验。试验中，要遵循并执行下列附加要求和IEC的补充说明，并应提供供货范围内主要元件的型式试验和出厂试验报告。现场交接试验应符合标准的要求。</w:t>
      </w:r>
    </w:p>
    <w:p w14:paraId="22730D8E">
      <w:pPr>
        <w:topLinePunct/>
        <w:spacing w:line="320" w:lineRule="exact"/>
        <w:rPr>
          <w:rFonts w:hint="eastAsia" w:ascii="宋体" w:hAnsi="宋体" w:eastAsia="宋体" w:cs="宋体"/>
          <w:szCs w:val="21"/>
        </w:rPr>
      </w:pPr>
      <w:r>
        <w:rPr>
          <w:rFonts w:hint="eastAsia" w:ascii="宋体" w:hAnsi="宋体" w:eastAsia="宋体" w:cs="宋体"/>
          <w:szCs w:val="21"/>
        </w:rPr>
        <w:t xml:space="preserve">5.1.2 </w:t>
      </w:r>
      <w:bookmarkEnd w:id="23"/>
      <w:bookmarkEnd w:id="24"/>
      <w:bookmarkEnd w:id="25"/>
      <w:bookmarkEnd w:id="26"/>
      <w:r>
        <w:rPr>
          <w:rFonts w:hint="eastAsia" w:ascii="宋体" w:hAnsi="宋体" w:eastAsia="宋体" w:cs="宋体"/>
          <w:szCs w:val="21"/>
        </w:rPr>
        <w:t xml:space="preserve"> </w:t>
      </w:r>
      <w:r>
        <w:rPr>
          <w:rFonts w:hint="eastAsia" w:ascii="宋体" w:hAnsi="宋体" w:eastAsia="宋体" w:cs="宋体"/>
          <w:bCs/>
          <w:spacing w:val="3"/>
          <w:szCs w:val="21"/>
        </w:rPr>
        <w:t>低压开关柜进行随机抽样检验。</w:t>
      </w:r>
    </w:p>
    <w:p w14:paraId="01CA0F4A">
      <w:pPr>
        <w:pStyle w:val="33"/>
        <w:tabs>
          <w:tab w:val="center" w:pos="4201"/>
          <w:tab w:val="right" w:leader="dot" w:pos="9298"/>
        </w:tabs>
        <w:ind w:firstLine="0" w:firstLineChars="0"/>
        <w:rPr>
          <w:rFonts w:hint="eastAsia" w:ascii="宋体" w:hAnsi="宋体" w:eastAsia="宋体" w:cs="宋体"/>
        </w:rPr>
      </w:pPr>
      <w:r>
        <w:rPr>
          <w:rFonts w:hint="eastAsia" w:ascii="宋体" w:hAnsi="宋体" w:eastAsia="宋体" w:cs="宋体"/>
          <w:szCs w:val="21"/>
        </w:rPr>
        <w:t xml:space="preserve">5.1.3  </w:t>
      </w:r>
      <w:r>
        <w:rPr>
          <w:rFonts w:hint="eastAsia" w:ascii="宋体" w:hAnsi="宋体" w:eastAsia="宋体" w:cs="宋体"/>
          <w:bCs/>
          <w:spacing w:val="3"/>
          <w:szCs w:val="21"/>
        </w:rPr>
        <w:t>型式试验、抽检试验、出厂试验和现场交接试验的试验项目见表6：</w:t>
      </w:r>
    </w:p>
    <w:p w14:paraId="249A7E2C">
      <w:pPr>
        <w:pStyle w:val="39"/>
        <w:numPr>
          <w:ilvl w:val="0"/>
          <w:numId w:val="0"/>
        </w:numPr>
        <w:tabs>
          <w:tab w:val="left" w:pos="420"/>
          <w:tab w:val="clear" w:pos="720"/>
        </w:tabs>
        <w:spacing w:before="156"/>
        <w:ind w:left="720"/>
        <w:rPr>
          <w:rFonts w:hint="eastAsia" w:ascii="宋体" w:hAnsi="宋体" w:eastAsia="宋体" w:cs="宋体"/>
        </w:rPr>
      </w:pPr>
      <w:r>
        <w:rPr>
          <w:rFonts w:hint="eastAsia" w:ascii="宋体" w:hAnsi="宋体" w:eastAsia="宋体" w:cs="宋体"/>
        </w:rPr>
        <w:t>表6  型式试验、抽检试验、出厂试验和现场交接试验的试验项目</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6"/>
        <w:gridCol w:w="2738"/>
        <w:gridCol w:w="1514"/>
        <w:gridCol w:w="1513"/>
        <w:gridCol w:w="1513"/>
        <w:gridCol w:w="1344"/>
      </w:tblGrid>
      <w:tr w14:paraId="24CF49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08A1975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序号</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140DFB5A">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试验项目</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2DCB2BE1">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型式试验</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77D01CE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出厂试验</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7DA94BE8">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交接试验</w:t>
            </w: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2B9DE5E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抽检试验</w:t>
            </w:r>
          </w:p>
        </w:tc>
      </w:tr>
      <w:tr w14:paraId="44DB7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572E6D3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2655E02A">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一般检查</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4661261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12972E9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64D0A02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5D6996E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2C2C4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71A8604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2FAFAFEA">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绝缘电阻验证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7B96236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068F2ED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2390720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65B2AAC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00188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4A827EE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154B1B7C">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介电性能验证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742381C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4A6067E4">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727FFD2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2733880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4074D7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0D8B915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4</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2096FFED">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通电操作试验</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45547D6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7AEBB90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0311E89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650F165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66B74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42347ED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5</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6E3916AC">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接地连续性试验</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5AB8C8F4">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1E8E8427">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2EA4982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3BFF3B1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516EA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44D1990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6</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44E22506">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温升极限的验证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0AFA2028">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0E7D8B1A">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14043A78">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382D348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25D5FE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29D4727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7</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0C5E2E52">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短路耐受强度验证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6FEB90B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45060FA4">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5B74A6F4">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13C250E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4E6EC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19D512C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8</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702222FE">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保护电路有效性验证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5146B004">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2E5C8AF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0B53045F">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6ADC60C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3564D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22641B5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9</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2954DDE3">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电气间隙和爬电距离验证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04ED4C7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1AFDB4A2">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1AC3B99E">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26E9B37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43650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094931F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10</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27A3E1D7">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机械操作验证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547B3FE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69CA1CF1">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772A6FF1">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708C8CCA">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607AF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noWrap w:val="0"/>
            <w:vAlign w:val="top"/>
          </w:tcPr>
          <w:p w14:paraId="5927BEC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11</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14:paraId="0049AF88">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防护等级验证</w:t>
            </w:r>
          </w:p>
        </w:tc>
        <w:tc>
          <w:tcPr>
            <w:tcW w:w="1514" w:type="dxa"/>
            <w:tcBorders>
              <w:top w:val="single" w:color="000000" w:sz="4" w:space="0"/>
              <w:left w:val="single" w:color="000000" w:sz="4" w:space="0"/>
              <w:bottom w:val="single" w:color="000000" w:sz="4" w:space="0"/>
              <w:right w:val="single" w:color="000000" w:sz="4" w:space="0"/>
            </w:tcBorders>
            <w:noWrap w:val="0"/>
            <w:vAlign w:val="top"/>
          </w:tcPr>
          <w:p w14:paraId="462E81D1">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5723FB32">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tcBorders>
              <w:top w:val="single" w:color="000000" w:sz="4" w:space="0"/>
              <w:left w:val="single" w:color="000000" w:sz="4" w:space="0"/>
              <w:bottom w:val="single" w:color="000000" w:sz="4" w:space="0"/>
              <w:right w:val="single" w:color="000000" w:sz="4" w:space="0"/>
            </w:tcBorders>
            <w:noWrap w:val="0"/>
            <w:vAlign w:val="top"/>
          </w:tcPr>
          <w:p w14:paraId="65C067E1">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tcBorders>
              <w:top w:val="single" w:color="000000" w:sz="4" w:space="0"/>
              <w:left w:val="single" w:color="000000" w:sz="4" w:space="0"/>
              <w:bottom w:val="single" w:color="000000" w:sz="4" w:space="0"/>
              <w:right w:val="single" w:color="000000" w:sz="4" w:space="0"/>
            </w:tcBorders>
            <w:noWrap w:val="0"/>
            <w:vAlign w:val="top"/>
          </w:tcPr>
          <w:p w14:paraId="5A937A4A">
            <w:pPr>
              <w:pStyle w:val="33"/>
              <w:tabs>
                <w:tab w:val="center" w:pos="4201"/>
                <w:tab w:val="right" w:leader="dot" w:pos="9298"/>
              </w:tabs>
              <w:ind w:firstLine="0" w:firstLineChars="0"/>
              <w:jc w:val="center"/>
              <w:rPr>
                <w:rFonts w:hint="eastAsia" w:ascii="宋体" w:hAnsi="宋体" w:eastAsia="宋体" w:cs="宋体"/>
                <w:sz w:val="18"/>
                <w:szCs w:val="18"/>
              </w:rPr>
            </w:pPr>
          </w:p>
        </w:tc>
      </w:tr>
    </w:tbl>
    <w:p w14:paraId="15FD07A3">
      <w:pPr>
        <w:topLinePunct/>
        <w:rPr>
          <w:rFonts w:hint="eastAsia" w:ascii="宋体" w:hAnsi="宋体" w:eastAsia="宋体" w:cs="宋体"/>
        </w:rPr>
      </w:pPr>
      <w:bookmarkStart w:id="27" w:name="_Toc358552336"/>
      <w:bookmarkStart w:id="28" w:name="_Toc358205703"/>
      <w:bookmarkStart w:id="29" w:name="_Toc363243288"/>
      <w:bookmarkStart w:id="30" w:name="_Toc358205726"/>
      <w:bookmarkStart w:id="31" w:name="_Toc358552374"/>
      <w:bookmarkStart w:id="32" w:name="_Toc358207234"/>
      <w:bookmarkStart w:id="33" w:name="_Toc363381649"/>
      <w:bookmarkStart w:id="34" w:name="_Toc358205635"/>
      <w:r>
        <w:rPr>
          <w:rFonts w:hint="eastAsia" w:ascii="宋体" w:hAnsi="宋体" w:eastAsia="宋体" w:cs="宋体"/>
        </w:rPr>
        <w:t>5.2 型式试验、出厂试验、交接试验、抽检试验的试验方法及要求</w:t>
      </w:r>
      <w:bookmarkEnd w:id="27"/>
      <w:bookmarkEnd w:id="28"/>
      <w:bookmarkEnd w:id="29"/>
      <w:bookmarkEnd w:id="30"/>
      <w:bookmarkEnd w:id="31"/>
      <w:bookmarkEnd w:id="32"/>
      <w:bookmarkEnd w:id="33"/>
      <w:bookmarkEnd w:id="34"/>
    </w:p>
    <w:p w14:paraId="0DB1BF3E">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5.2.1  一般检查</w:t>
      </w:r>
    </w:p>
    <w:p w14:paraId="036A88D5">
      <w:pPr>
        <w:pStyle w:val="41"/>
        <w:numPr>
          <w:ilvl w:val="0"/>
          <w:numId w:val="0"/>
        </w:numPr>
        <w:ind w:left="840" w:leftChars="200" w:hanging="420" w:hangingChars="200"/>
        <w:rPr>
          <w:rFonts w:hint="eastAsia" w:ascii="宋体" w:hAnsi="宋体" w:eastAsia="宋体" w:cs="宋体"/>
        </w:rPr>
      </w:pPr>
      <w:r>
        <w:rPr>
          <w:rFonts w:hint="eastAsia" w:ascii="宋体" w:hAnsi="宋体" w:eastAsia="宋体" w:cs="宋体"/>
        </w:rPr>
        <w:t>a）</w:t>
      </w:r>
      <w:r>
        <w:rPr>
          <w:rFonts w:hint="eastAsia" w:ascii="宋体" w:hAnsi="宋体" w:eastAsia="宋体" w:cs="宋体"/>
        </w:rPr>
        <w:tab/>
      </w:r>
      <w:r>
        <w:rPr>
          <w:rFonts w:hint="eastAsia" w:ascii="宋体" w:hAnsi="宋体" w:eastAsia="宋体" w:cs="宋体"/>
        </w:rPr>
        <w:t>对开关的机械操作元器件，连锁，锁扣等部件的有效性进行检查，机械操作试验</w:t>
      </w:r>
    </w:p>
    <w:p w14:paraId="34844523">
      <w:pPr>
        <w:pStyle w:val="41"/>
        <w:numPr>
          <w:ilvl w:val="0"/>
          <w:numId w:val="0"/>
        </w:numPr>
        <w:ind w:left="840" w:leftChars="200" w:hanging="420" w:hangingChars="200"/>
        <w:rPr>
          <w:rFonts w:hint="eastAsia" w:ascii="宋体" w:hAnsi="宋体" w:eastAsia="宋体" w:cs="宋体"/>
        </w:rPr>
      </w:pPr>
      <w:r>
        <w:rPr>
          <w:rFonts w:hint="eastAsia" w:ascii="宋体" w:hAnsi="宋体" w:eastAsia="宋体" w:cs="宋体"/>
        </w:rPr>
        <w:t xml:space="preserve">    试验结果判定：正常分合，灵活可靠，无卡滞及操作力过大现象，装置手动操作的    部件5次，机构动作可靠。</w:t>
      </w:r>
    </w:p>
    <w:p w14:paraId="63420DC2">
      <w:pPr>
        <w:pStyle w:val="41"/>
        <w:numPr>
          <w:ilvl w:val="0"/>
          <w:numId w:val="0"/>
        </w:numPr>
        <w:ind w:firstLine="420" w:firstLineChars="200"/>
        <w:rPr>
          <w:rFonts w:hint="eastAsia" w:ascii="宋体" w:hAnsi="宋体" w:eastAsia="宋体" w:cs="宋体"/>
        </w:rPr>
      </w:pPr>
      <w:r>
        <w:rPr>
          <w:rFonts w:hint="eastAsia" w:ascii="宋体" w:hAnsi="宋体" w:eastAsia="宋体" w:cs="宋体"/>
        </w:rPr>
        <w:t>b）</w:t>
      </w:r>
      <w:r>
        <w:rPr>
          <w:rFonts w:hint="eastAsia" w:ascii="宋体" w:hAnsi="宋体" w:eastAsia="宋体" w:cs="宋体"/>
        </w:rPr>
        <w:tab/>
      </w:r>
      <w:r>
        <w:rPr>
          <w:rFonts w:hint="eastAsia" w:ascii="宋体" w:hAnsi="宋体" w:eastAsia="宋体" w:cs="宋体"/>
        </w:rPr>
        <w:t xml:space="preserve">检查导线、电缆布置是否符合要求试验结果判定：主辅电器接线与接线图和技术           </w:t>
      </w:r>
    </w:p>
    <w:p w14:paraId="0D618172">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 xml:space="preserve">    数据相符，导体截面、颜色、标志及相序应符合要求。</w:t>
      </w:r>
    </w:p>
    <w:p w14:paraId="6C1F092D">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c）</w:t>
      </w:r>
      <w:r>
        <w:rPr>
          <w:rFonts w:hint="eastAsia" w:ascii="宋体" w:hAnsi="宋体" w:eastAsia="宋体" w:cs="宋体"/>
        </w:rPr>
        <w:tab/>
      </w:r>
      <w:r>
        <w:rPr>
          <w:rFonts w:hint="eastAsia" w:ascii="宋体" w:hAnsi="宋体" w:eastAsia="宋体" w:cs="宋体"/>
          <w:bCs/>
          <w:spacing w:val="3"/>
        </w:rPr>
        <w:t>防护等级是否符合IP30</w:t>
      </w:r>
    </w:p>
    <w:p w14:paraId="7A02BBAA">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试验结果判定：用φ2.5mm直硬钢丝作试验，不能进入壳内。</w:t>
      </w:r>
    </w:p>
    <w:p w14:paraId="71FC7326">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d）</w:t>
      </w:r>
      <w:r>
        <w:rPr>
          <w:rFonts w:hint="eastAsia" w:ascii="宋体" w:hAnsi="宋体" w:eastAsia="宋体" w:cs="宋体"/>
        </w:rPr>
        <w:tab/>
      </w:r>
      <w:r>
        <w:rPr>
          <w:rFonts w:hint="eastAsia" w:ascii="宋体" w:hAnsi="宋体" w:eastAsia="宋体" w:cs="宋体"/>
          <w:bCs/>
          <w:spacing w:val="3"/>
        </w:rPr>
        <w:t>标志是否符合要求</w:t>
      </w:r>
    </w:p>
    <w:p w14:paraId="4B4BC336">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试验结果判定：是否有主接地点和接地标志。</w:t>
      </w:r>
    </w:p>
    <w:p w14:paraId="22F9E1D0">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e）</w:t>
      </w:r>
      <w:r>
        <w:rPr>
          <w:rFonts w:hint="eastAsia" w:ascii="宋体" w:hAnsi="宋体" w:eastAsia="宋体" w:cs="宋体"/>
        </w:rPr>
        <w:tab/>
      </w:r>
      <w:r>
        <w:rPr>
          <w:rFonts w:hint="eastAsia" w:ascii="宋体" w:hAnsi="宋体" w:eastAsia="宋体" w:cs="宋体"/>
          <w:bCs/>
          <w:spacing w:val="3"/>
        </w:rPr>
        <w:t>铭牌检查</w:t>
      </w:r>
    </w:p>
    <w:p w14:paraId="550411F1">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试验结果判定：铭牌应清晰、牢固、壳体外表面涂层应协调。</w:t>
      </w:r>
    </w:p>
    <w:p w14:paraId="2A3D0E55">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f）</w:t>
      </w:r>
      <w:r>
        <w:rPr>
          <w:rFonts w:hint="eastAsia" w:ascii="宋体" w:hAnsi="宋体" w:eastAsia="宋体" w:cs="宋体"/>
        </w:rPr>
        <w:tab/>
      </w:r>
      <w:r>
        <w:rPr>
          <w:rFonts w:hint="eastAsia" w:ascii="宋体" w:hAnsi="宋体" w:eastAsia="宋体" w:cs="宋体"/>
          <w:bCs/>
          <w:spacing w:val="3"/>
        </w:rPr>
        <w:t>母线检查</w:t>
      </w:r>
    </w:p>
    <w:p w14:paraId="6B10DBAC">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试验结果判定：母线应平整光滑、无毛刺、锤痕。</w:t>
      </w:r>
    </w:p>
    <w:p w14:paraId="6B6B4829">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g）</w:t>
      </w:r>
      <w:r>
        <w:rPr>
          <w:rFonts w:hint="eastAsia" w:ascii="宋体" w:hAnsi="宋体" w:eastAsia="宋体" w:cs="宋体"/>
        </w:rPr>
        <w:tab/>
      </w:r>
      <w:r>
        <w:rPr>
          <w:rFonts w:hint="eastAsia" w:ascii="宋体" w:hAnsi="宋体" w:eastAsia="宋体" w:cs="宋体"/>
          <w:bCs/>
          <w:spacing w:val="3"/>
        </w:rPr>
        <w:t>是否安装了保护性设施</w:t>
      </w:r>
    </w:p>
    <w:p w14:paraId="779AC052">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试验结果判定：是否安装避雷器。</w:t>
      </w:r>
    </w:p>
    <w:p w14:paraId="7E288BDF">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h）</w:t>
      </w:r>
      <w:r>
        <w:rPr>
          <w:rFonts w:hint="eastAsia" w:ascii="宋体" w:hAnsi="宋体" w:eastAsia="宋体" w:cs="宋体"/>
        </w:rPr>
        <w:tab/>
      </w:r>
      <w:r>
        <w:rPr>
          <w:rFonts w:hint="eastAsia" w:ascii="宋体" w:hAnsi="宋体" w:eastAsia="宋体" w:cs="宋体"/>
          <w:bCs/>
          <w:spacing w:val="3"/>
        </w:rPr>
        <w:t>电气间隙测量</w:t>
      </w:r>
    </w:p>
    <w:p w14:paraId="4DB3E6C7">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试验结果判定：大于等于14.0mm。</w:t>
      </w:r>
    </w:p>
    <w:p w14:paraId="2C5EFDF2">
      <w:pPr>
        <w:pStyle w:val="41"/>
        <w:numPr>
          <w:ilvl w:val="0"/>
          <w:numId w:val="0"/>
        </w:numPr>
        <w:ind w:firstLine="420" w:firstLineChars="200"/>
        <w:rPr>
          <w:rFonts w:hint="eastAsia" w:ascii="宋体" w:hAnsi="宋体" w:eastAsia="宋体" w:cs="宋体"/>
          <w:bCs/>
          <w:spacing w:val="3"/>
        </w:rPr>
      </w:pPr>
      <w:r>
        <w:rPr>
          <w:rFonts w:hint="eastAsia" w:ascii="宋体" w:hAnsi="宋体" w:eastAsia="宋体" w:cs="宋体"/>
        </w:rPr>
        <w:t>i）</w:t>
      </w:r>
      <w:r>
        <w:rPr>
          <w:rFonts w:hint="eastAsia" w:ascii="宋体" w:hAnsi="宋体" w:eastAsia="宋体" w:cs="宋体"/>
        </w:rPr>
        <w:tab/>
      </w:r>
      <w:r>
        <w:rPr>
          <w:rFonts w:hint="eastAsia" w:ascii="宋体" w:hAnsi="宋体" w:eastAsia="宋体" w:cs="宋体"/>
          <w:bCs/>
          <w:spacing w:val="3"/>
        </w:rPr>
        <w:t>爬电距离测量</w:t>
      </w:r>
    </w:p>
    <w:p w14:paraId="6EA23227">
      <w:pPr>
        <w:pStyle w:val="33"/>
        <w:tabs>
          <w:tab w:val="center" w:pos="4201"/>
          <w:tab w:val="right" w:leader="dot" w:pos="9298"/>
        </w:tabs>
        <w:ind w:firstLine="864" w:firstLineChars="400"/>
        <w:rPr>
          <w:rFonts w:hint="eastAsia" w:ascii="宋体" w:hAnsi="宋体" w:eastAsia="宋体" w:cs="宋体"/>
          <w:bCs/>
          <w:spacing w:val="3"/>
          <w:szCs w:val="21"/>
        </w:rPr>
      </w:pPr>
      <w:r>
        <w:rPr>
          <w:rFonts w:hint="eastAsia" w:ascii="宋体" w:hAnsi="宋体" w:eastAsia="宋体" w:cs="宋体"/>
          <w:bCs/>
          <w:spacing w:val="3"/>
          <w:szCs w:val="21"/>
        </w:rPr>
        <w:t>试验结果判定：大于等于16.0mm。</w:t>
      </w:r>
    </w:p>
    <w:p w14:paraId="295E0EEE">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5.2.2  绝缘电阻验证</w:t>
      </w:r>
    </w:p>
    <w:p w14:paraId="2A373F58">
      <w:pPr>
        <w:pStyle w:val="33"/>
        <w:tabs>
          <w:tab w:val="center" w:pos="4201"/>
          <w:tab w:val="right" w:leader="dot" w:pos="9298"/>
        </w:tabs>
        <w:rPr>
          <w:rFonts w:hint="eastAsia" w:ascii="宋体" w:hAnsi="宋体" w:eastAsia="宋体" w:cs="宋体"/>
          <w:bCs/>
          <w:szCs w:val="21"/>
        </w:rPr>
      </w:pPr>
      <w:r>
        <w:rPr>
          <w:rFonts w:hint="eastAsia" w:ascii="宋体" w:hAnsi="宋体" w:eastAsia="宋体" w:cs="宋体"/>
          <w:bCs/>
          <w:szCs w:val="21"/>
        </w:rPr>
        <w:t xml:space="preserve">    </w:t>
      </w:r>
      <w:r>
        <w:rPr>
          <w:rFonts w:hint="eastAsia" w:ascii="宋体" w:hAnsi="宋体" w:eastAsia="宋体" w:cs="宋体"/>
          <w:szCs w:val="21"/>
        </w:rPr>
        <w:t>应用电压至少为500V的绝缘测量仪器，对带电体之间、带电体与裸露导电部件之间、带电体对地的绝缘电阻进行测量。试验结果判定：带电体之间、带电体与裸露导电部件之间、带电体对地的绝缘电阻不小于1000Ω/V（标称电压），则此项试验通过。</w:t>
      </w:r>
    </w:p>
    <w:p w14:paraId="3CCE2F5B">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5.2.3  工频耐压试验</w:t>
      </w:r>
    </w:p>
    <w:p w14:paraId="70004F2C">
      <w:pPr>
        <w:pStyle w:val="42"/>
        <w:numPr>
          <w:ilvl w:val="0"/>
          <w:numId w:val="0"/>
        </w:numPr>
        <w:tabs>
          <w:tab w:val="clear" w:pos="2880"/>
        </w:tabs>
        <w:spacing w:before="50" w:after="156"/>
        <w:ind w:left="419" w:hanging="419" w:hangingChars="194"/>
        <w:rPr>
          <w:rFonts w:hint="eastAsia" w:ascii="宋体" w:hAnsi="宋体" w:eastAsia="宋体" w:cs="宋体"/>
          <w:bCs/>
          <w:spacing w:val="3"/>
        </w:rPr>
      </w:pPr>
      <w:r>
        <w:rPr>
          <w:rFonts w:hint="eastAsia" w:ascii="宋体" w:hAnsi="宋体" w:eastAsia="宋体" w:cs="宋体"/>
          <w:bCs/>
          <w:spacing w:val="3"/>
        </w:rPr>
        <w:t>1)主回路与主回路直接相连的辅助电路应能耐受表7规定的工频耐压试验电压。</w:t>
      </w:r>
    </w:p>
    <w:p w14:paraId="7F5FA825">
      <w:pPr>
        <w:pStyle w:val="39"/>
        <w:numPr>
          <w:ilvl w:val="0"/>
          <w:numId w:val="0"/>
        </w:numPr>
        <w:tabs>
          <w:tab w:val="left" w:pos="420"/>
          <w:tab w:val="clear" w:pos="720"/>
        </w:tabs>
        <w:spacing w:before="156"/>
        <w:ind w:left="2520" w:leftChars="1200" w:firstLine="756" w:firstLineChars="350"/>
        <w:jc w:val="both"/>
        <w:rPr>
          <w:rFonts w:hint="eastAsia" w:ascii="宋体" w:hAnsi="宋体" w:eastAsia="宋体" w:cs="宋体"/>
          <w:bCs/>
          <w:spacing w:val="3"/>
          <w:kern w:val="2"/>
          <w:szCs w:val="21"/>
        </w:rPr>
      </w:pPr>
      <w:r>
        <w:rPr>
          <w:rFonts w:hint="eastAsia" w:ascii="宋体" w:hAnsi="宋体" w:eastAsia="宋体" w:cs="宋体"/>
          <w:bCs/>
          <w:spacing w:val="3"/>
          <w:kern w:val="2"/>
          <w:szCs w:val="21"/>
        </w:rPr>
        <w:t>表7  试验电压值</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47"/>
        <w:gridCol w:w="4641"/>
      </w:tblGrid>
      <w:tr w14:paraId="4DE1D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647" w:type="dxa"/>
            <w:tcBorders>
              <w:top w:val="single" w:color="000000" w:sz="4" w:space="0"/>
              <w:left w:val="single" w:color="000000" w:sz="4" w:space="0"/>
              <w:bottom w:val="single" w:color="000000" w:sz="4" w:space="0"/>
              <w:right w:val="single" w:color="000000" w:sz="4" w:space="0"/>
            </w:tcBorders>
            <w:noWrap w:val="0"/>
            <w:vAlign w:val="top"/>
          </w:tcPr>
          <w:p w14:paraId="723F001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额定绝缘电压Ui/V</w:t>
            </w:r>
          </w:p>
        </w:tc>
        <w:tc>
          <w:tcPr>
            <w:tcW w:w="4641" w:type="dxa"/>
            <w:tcBorders>
              <w:top w:val="single" w:color="000000" w:sz="4" w:space="0"/>
              <w:left w:val="single" w:color="000000" w:sz="4" w:space="0"/>
              <w:bottom w:val="single" w:color="000000" w:sz="4" w:space="0"/>
              <w:right w:val="single" w:color="000000" w:sz="4" w:space="0"/>
            </w:tcBorders>
            <w:noWrap w:val="0"/>
            <w:vAlign w:val="top"/>
          </w:tcPr>
          <w:p w14:paraId="03E8CE1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试验电压（交流方均根值）/V</w:t>
            </w:r>
          </w:p>
        </w:tc>
      </w:tr>
      <w:tr w14:paraId="6545D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tcBorders>
              <w:top w:val="single" w:color="000000" w:sz="4" w:space="0"/>
              <w:left w:val="single" w:color="000000" w:sz="4" w:space="0"/>
              <w:bottom w:val="single" w:color="000000" w:sz="4" w:space="0"/>
              <w:right w:val="single" w:color="000000" w:sz="4" w:space="0"/>
            </w:tcBorders>
            <w:noWrap w:val="0"/>
            <w:vAlign w:val="top"/>
          </w:tcPr>
          <w:p w14:paraId="21B1511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Ui≤60</w:t>
            </w:r>
          </w:p>
        </w:tc>
        <w:tc>
          <w:tcPr>
            <w:tcW w:w="4641" w:type="dxa"/>
            <w:tcBorders>
              <w:top w:val="single" w:color="000000" w:sz="4" w:space="0"/>
              <w:left w:val="single" w:color="000000" w:sz="4" w:space="0"/>
              <w:bottom w:val="single" w:color="000000" w:sz="4" w:space="0"/>
              <w:right w:val="single" w:color="000000" w:sz="4" w:space="0"/>
            </w:tcBorders>
            <w:noWrap w:val="0"/>
            <w:vAlign w:val="top"/>
          </w:tcPr>
          <w:p w14:paraId="3DFCD2F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1000</w:t>
            </w:r>
          </w:p>
        </w:tc>
      </w:tr>
      <w:tr w14:paraId="70D0B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tcBorders>
              <w:top w:val="single" w:color="000000" w:sz="4" w:space="0"/>
              <w:left w:val="single" w:color="000000" w:sz="4" w:space="0"/>
              <w:bottom w:val="single" w:color="000000" w:sz="4" w:space="0"/>
              <w:right w:val="single" w:color="000000" w:sz="4" w:space="0"/>
            </w:tcBorders>
            <w:noWrap w:val="0"/>
            <w:vAlign w:val="top"/>
          </w:tcPr>
          <w:p w14:paraId="55C2692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60＜Ui≤300</w:t>
            </w:r>
          </w:p>
        </w:tc>
        <w:tc>
          <w:tcPr>
            <w:tcW w:w="4641" w:type="dxa"/>
            <w:tcBorders>
              <w:top w:val="single" w:color="000000" w:sz="4" w:space="0"/>
              <w:left w:val="single" w:color="000000" w:sz="4" w:space="0"/>
              <w:bottom w:val="single" w:color="000000" w:sz="4" w:space="0"/>
              <w:right w:val="single" w:color="000000" w:sz="4" w:space="0"/>
            </w:tcBorders>
            <w:noWrap w:val="0"/>
            <w:vAlign w:val="top"/>
          </w:tcPr>
          <w:p w14:paraId="01DAECAA">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2000</w:t>
            </w:r>
          </w:p>
        </w:tc>
      </w:tr>
      <w:tr w14:paraId="68BB8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tcBorders>
              <w:top w:val="single" w:color="000000" w:sz="4" w:space="0"/>
              <w:left w:val="single" w:color="000000" w:sz="4" w:space="0"/>
              <w:bottom w:val="single" w:color="000000" w:sz="4" w:space="0"/>
              <w:right w:val="single" w:color="000000" w:sz="4" w:space="0"/>
            </w:tcBorders>
            <w:noWrap w:val="0"/>
            <w:vAlign w:val="top"/>
          </w:tcPr>
          <w:p w14:paraId="23ADEE0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300＜Ui≤690</w:t>
            </w:r>
          </w:p>
        </w:tc>
        <w:tc>
          <w:tcPr>
            <w:tcW w:w="4641" w:type="dxa"/>
            <w:tcBorders>
              <w:top w:val="single" w:color="000000" w:sz="4" w:space="0"/>
              <w:left w:val="single" w:color="000000" w:sz="4" w:space="0"/>
              <w:bottom w:val="single" w:color="000000" w:sz="4" w:space="0"/>
              <w:right w:val="single" w:color="000000" w:sz="4" w:space="0"/>
            </w:tcBorders>
            <w:noWrap w:val="0"/>
            <w:vAlign w:val="top"/>
          </w:tcPr>
          <w:p w14:paraId="3B6EA09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2500</w:t>
            </w:r>
          </w:p>
        </w:tc>
      </w:tr>
      <w:tr w14:paraId="5D15F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tcBorders>
              <w:top w:val="single" w:color="000000" w:sz="4" w:space="0"/>
              <w:left w:val="single" w:color="000000" w:sz="4" w:space="0"/>
              <w:bottom w:val="single" w:color="000000" w:sz="4" w:space="0"/>
              <w:right w:val="single" w:color="000000" w:sz="4" w:space="0"/>
            </w:tcBorders>
            <w:noWrap w:val="0"/>
            <w:vAlign w:val="top"/>
          </w:tcPr>
          <w:p w14:paraId="5301DDE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690＜Ui≤800</w:t>
            </w:r>
          </w:p>
        </w:tc>
        <w:tc>
          <w:tcPr>
            <w:tcW w:w="4641" w:type="dxa"/>
            <w:tcBorders>
              <w:top w:val="single" w:color="000000" w:sz="4" w:space="0"/>
              <w:left w:val="single" w:color="000000" w:sz="4" w:space="0"/>
              <w:bottom w:val="single" w:color="000000" w:sz="4" w:space="0"/>
              <w:right w:val="single" w:color="000000" w:sz="4" w:space="0"/>
            </w:tcBorders>
            <w:noWrap w:val="0"/>
            <w:vAlign w:val="top"/>
          </w:tcPr>
          <w:p w14:paraId="5E6E9A7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3000</w:t>
            </w:r>
          </w:p>
        </w:tc>
      </w:tr>
      <w:tr w14:paraId="75A20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tcBorders>
              <w:top w:val="single" w:color="000000" w:sz="4" w:space="0"/>
              <w:left w:val="single" w:color="000000" w:sz="4" w:space="0"/>
              <w:bottom w:val="single" w:color="000000" w:sz="4" w:space="0"/>
              <w:right w:val="single" w:color="000000" w:sz="4" w:space="0"/>
            </w:tcBorders>
            <w:noWrap w:val="0"/>
            <w:vAlign w:val="top"/>
          </w:tcPr>
          <w:p w14:paraId="229F138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800＜Ui≤1000（或1140）</w:t>
            </w:r>
          </w:p>
        </w:tc>
        <w:tc>
          <w:tcPr>
            <w:tcW w:w="4641" w:type="dxa"/>
            <w:tcBorders>
              <w:top w:val="single" w:color="000000" w:sz="4" w:space="0"/>
              <w:left w:val="single" w:color="000000" w:sz="4" w:space="0"/>
              <w:bottom w:val="single" w:color="000000" w:sz="4" w:space="0"/>
              <w:right w:val="single" w:color="000000" w:sz="4" w:space="0"/>
            </w:tcBorders>
            <w:noWrap w:val="0"/>
            <w:vAlign w:val="top"/>
          </w:tcPr>
          <w:p w14:paraId="5056107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3500</w:t>
            </w:r>
          </w:p>
        </w:tc>
      </w:tr>
    </w:tbl>
    <w:p w14:paraId="2D867129">
      <w:pPr>
        <w:pStyle w:val="42"/>
        <w:numPr>
          <w:ilvl w:val="0"/>
          <w:numId w:val="0"/>
        </w:numPr>
        <w:tabs>
          <w:tab w:val="clear" w:pos="2880"/>
        </w:tabs>
        <w:spacing w:before="156" w:after="156"/>
        <w:rPr>
          <w:rFonts w:hint="eastAsia" w:ascii="宋体" w:hAnsi="宋体" w:eastAsia="宋体" w:cs="宋体"/>
          <w:bCs/>
          <w:spacing w:val="3"/>
        </w:rPr>
      </w:pPr>
      <w:r>
        <w:rPr>
          <w:rFonts w:hint="eastAsia" w:ascii="宋体" w:hAnsi="宋体" w:eastAsia="宋体" w:cs="宋体"/>
          <w:bCs/>
          <w:spacing w:val="3"/>
        </w:rPr>
        <w:t>2)不与主回路直接相连的辅助电路应能耐受表8规定的工频耐压试验电压</w:t>
      </w:r>
    </w:p>
    <w:p w14:paraId="17DC77C9">
      <w:pPr>
        <w:pStyle w:val="39"/>
        <w:numPr>
          <w:ilvl w:val="0"/>
          <w:numId w:val="0"/>
        </w:numPr>
        <w:tabs>
          <w:tab w:val="left" w:pos="420"/>
          <w:tab w:val="clear" w:pos="720"/>
        </w:tabs>
        <w:spacing w:before="156"/>
        <w:ind w:left="720"/>
        <w:rPr>
          <w:rFonts w:hint="eastAsia" w:ascii="宋体" w:hAnsi="宋体" w:eastAsia="宋体" w:cs="宋体"/>
          <w:bCs/>
          <w:spacing w:val="3"/>
          <w:kern w:val="2"/>
          <w:szCs w:val="21"/>
        </w:rPr>
      </w:pPr>
      <w:r>
        <w:rPr>
          <w:rFonts w:hint="eastAsia" w:ascii="宋体" w:hAnsi="宋体" w:eastAsia="宋体" w:cs="宋体"/>
          <w:bCs/>
          <w:spacing w:val="3"/>
          <w:kern w:val="2"/>
          <w:szCs w:val="21"/>
        </w:rPr>
        <w:t xml:space="preserve">    表8  不由主回路直接供电的辅助电路试验电压值</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32"/>
        <w:gridCol w:w="4656"/>
      </w:tblGrid>
      <w:tr w14:paraId="14E3E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tcBorders>
              <w:top w:val="single" w:color="000000" w:sz="4" w:space="0"/>
              <w:left w:val="single" w:color="000000" w:sz="4" w:space="0"/>
              <w:bottom w:val="single" w:color="000000" w:sz="4" w:space="0"/>
              <w:right w:val="single" w:color="000000" w:sz="4" w:space="0"/>
            </w:tcBorders>
            <w:noWrap w:val="0"/>
            <w:vAlign w:val="top"/>
          </w:tcPr>
          <w:p w14:paraId="46D325A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额定绝缘电压Ui/V</w:t>
            </w:r>
          </w:p>
        </w:tc>
        <w:tc>
          <w:tcPr>
            <w:tcW w:w="4656" w:type="dxa"/>
            <w:tcBorders>
              <w:top w:val="single" w:color="000000" w:sz="4" w:space="0"/>
              <w:left w:val="single" w:color="000000" w:sz="4" w:space="0"/>
              <w:bottom w:val="single" w:color="000000" w:sz="4" w:space="0"/>
              <w:right w:val="single" w:color="000000" w:sz="4" w:space="0"/>
            </w:tcBorders>
            <w:noWrap w:val="0"/>
            <w:vAlign w:val="top"/>
          </w:tcPr>
          <w:p w14:paraId="37768EF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试验电压（交流方均根值）/V</w:t>
            </w:r>
          </w:p>
        </w:tc>
      </w:tr>
      <w:tr w14:paraId="63349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tcBorders>
              <w:top w:val="single" w:color="000000" w:sz="4" w:space="0"/>
              <w:left w:val="single" w:color="000000" w:sz="4" w:space="0"/>
              <w:bottom w:val="single" w:color="000000" w:sz="4" w:space="0"/>
              <w:right w:val="single" w:color="000000" w:sz="4" w:space="0"/>
            </w:tcBorders>
            <w:noWrap w:val="0"/>
            <w:vAlign w:val="top"/>
          </w:tcPr>
          <w:p w14:paraId="75805EB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Ui≤12</w:t>
            </w:r>
          </w:p>
        </w:tc>
        <w:tc>
          <w:tcPr>
            <w:tcW w:w="4656" w:type="dxa"/>
            <w:tcBorders>
              <w:top w:val="single" w:color="000000" w:sz="4" w:space="0"/>
              <w:left w:val="single" w:color="000000" w:sz="4" w:space="0"/>
              <w:bottom w:val="single" w:color="000000" w:sz="4" w:space="0"/>
              <w:right w:val="single" w:color="000000" w:sz="4" w:space="0"/>
            </w:tcBorders>
            <w:noWrap w:val="0"/>
            <w:vAlign w:val="top"/>
          </w:tcPr>
          <w:p w14:paraId="5657803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250</w:t>
            </w:r>
          </w:p>
        </w:tc>
      </w:tr>
      <w:tr w14:paraId="67922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tcBorders>
              <w:top w:val="single" w:color="000000" w:sz="4" w:space="0"/>
              <w:left w:val="single" w:color="000000" w:sz="4" w:space="0"/>
              <w:bottom w:val="single" w:color="000000" w:sz="4" w:space="0"/>
              <w:right w:val="single" w:color="000000" w:sz="4" w:space="0"/>
            </w:tcBorders>
            <w:noWrap w:val="0"/>
            <w:vAlign w:val="top"/>
          </w:tcPr>
          <w:p w14:paraId="70FAB84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12＜Ui≤60</w:t>
            </w:r>
          </w:p>
        </w:tc>
        <w:tc>
          <w:tcPr>
            <w:tcW w:w="4656" w:type="dxa"/>
            <w:tcBorders>
              <w:top w:val="single" w:color="000000" w:sz="4" w:space="0"/>
              <w:left w:val="single" w:color="000000" w:sz="4" w:space="0"/>
              <w:bottom w:val="single" w:color="000000" w:sz="4" w:space="0"/>
              <w:right w:val="single" w:color="000000" w:sz="4" w:space="0"/>
            </w:tcBorders>
            <w:noWrap w:val="0"/>
            <w:vAlign w:val="top"/>
          </w:tcPr>
          <w:p w14:paraId="6EDB187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500</w:t>
            </w:r>
          </w:p>
        </w:tc>
      </w:tr>
      <w:tr w14:paraId="47F66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tcBorders>
              <w:top w:val="single" w:color="000000" w:sz="4" w:space="0"/>
              <w:left w:val="single" w:color="000000" w:sz="4" w:space="0"/>
              <w:bottom w:val="single" w:color="000000" w:sz="4" w:space="0"/>
              <w:right w:val="single" w:color="000000" w:sz="4" w:space="0"/>
            </w:tcBorders>
            <w:noWrap w:val="0"/>
            <w:vAlign w:val="top"/>
          </w:tcPr>
          <w:p w14:paraId="380E568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Ui＞60</w:t>
            </w:r>
          </w:p>
        </w:tc>
        <w:tc>
          <w:tcPr>
            <w:tcW w:w="4656" w:type="dxa"/>
            <w:tcBorders>
              <w:top w:val="single" w:color="000000" w:sz="4" w:space="0"/>
              <w:left w:val="single" w:color="000000" w:sz="4" w:space="0"/>
              <w:bottom w:val="single" w:color="000000" w:sz="4" w:space="0"/>
              <w:right w:val="single" w:color="000000" w:sz="4" w:space="0"/>
            </w:tcBorders>
            <w:noWrap w:val="0"/>
            <w:vAlign w:val="top"/>
          </w:tcPr>
          <w:p w14:paraId="3C1EC56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2Ui+1000，但不小于1500</w:t>
            </w:r>
          </w:p>
        </w:tc>
      </w:tr>
    </w:tbl>
    <w:p w14:paraId="72C4EB00">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5.2.4  通电操作试验</w:t>
      </w:r>
    </w:p>
    <w:p w14:paraId="0B31743A">
      <w:pPr>
        <w:pStyle w:val="33"/>
        <w:tabs>
          <w:tab w:val="center" w:pos="4201"/>
          <w:tab w:val="right" w:leader="dot" w:pos="9298"/>
        </w:tabs>
        <w:rPr>
          <w:rFonts w:hint="eastAsia" w:ascii="宋体" w:hAnsi="宋体" w:eastAsia="宋体" w:cs="宋体"/>
          <w:bCs/>
          <w:szCs w:val="21"/>
        </w:rPr>
      </w:pPr>
      <w:r>
        <w:rPr>
          <w:rFonts w:hint="eastAsia" w:ascii="宋体" w:hAnsi="宋体" w:eastAsia="宋体" w:cs="宋体"/>
          <w:bCs/>
          <w:szCs w:val="21"/>
        </w:rPr>
        <w:t xml:space="preserve">    </w:t>
      </w:r>
      <w:r>
        <w:rPr>
          <w:rFonts w:hint="eastAsia" w:ascii="宋体" w:hAnsi="宋体" w:eastAsia="宋体" w:cs="宋体"/>
          <w:szCs w:val="21"/>
        </w:rPr>
        <w:t>检查装置的内部接线正确无误后，在辅助电路分别通以额定电压的85%和110%，各操作5次。试验结果判定：电器元器件的动作显示均应符合相应要求，且各操作器件动作灵活。</w:t>
      </w:r>
    </w:p>
    <w:p w14:paraId="043641B3">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5.2.5  温升极限的验证</w:t>
      </w:r>
    </w:p>
    <w:p w14:paraId="01C56401">
      <w:pPr>
        <w:pStyle w:val="33"/>
        <w:tabs>
          <w:tab w:val="center" w:pos="4201"/>
          <w:tab w:val="right" w:leader="dot" w:pos="9298"/>
        </w:tabs>
        <w:rPr>
          <w:rFonts w:hint="eastAsia" w:ascii="宋体" w:hAnsi="宋体" w:eastAsia="宋体" w:cs="宋体"/>
          <w:szCs w:val="21"/>
        </w:rPr>
      </w:pPr>
      <w:r>
        <w:rPr>
          <w:rFonts w:hint="eastAsia" w:ascii="宋体" w:hAnsi="宋体" w:eastAsia="宋体" w:cs="宋体"/>
          <w:szCs w:val="21"/>
        </w:rPr>
        <w:t xml:space="preserve"> 按GB 7251.1-2005中8.2.1的规定。试验结果判定：测试结果应符合GB 7251.1-2005中8.2.1.7的规定。</w:t>
      </w:r>
    </w:p>
    <w:p w14:paraId="39E1C63C">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5.2.6  短路耐受强度验证</w:t>
      </w:r>
    </w:p>
    <w:p w14:paraId="36DBC412">
      <w:pPr>
        <w:pStyle w:val="33"/>
        <w:tabs>
          <w:tab w:val="center" w:pos="4201"/>
          <w:tab w:val="right" w:leader="dot" w:pos="9298"/>
        </w:tabs>
        <w:rPr>
          <w:rFonts w:hint="eastAsia" w:ascii="宋体" w:hAnsi="宋体" w:eastAsia="宋体" w:cs="宋体"/>
          <w:szCs w:val="21"/>
        </w:rPr>
      </w:pPr>
      <w:r>
        <w:rPr>
          <w:rFonts w:hint="eastAsia" w:ascii="宋体" w:hAnsi="宋体" w:eastAsia="宋体" w:cs="宋体"/>
          <w:szCs w:val="21"/>
        </w:rPr>
        <w:t xml:space="preserve"> 按GB 7251.1-2005中8.2.3的规定。试验结果判定：测试结果应符合GB 7251.1-2005中8.2.3.2.5的规定。</w:t>
      </w:r>
    </w:p>
    <w:p w14:paraId="77D20343">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5.2.7  保护电路有效性验证</w:t>
      </w:r>
    </w:p>
    <w:p w14:paraId="095C7DCC">
      <w:pPr>
        <w:pStyle w:val="33"/>
        <w:tabs>
          <w:tab w:val="center" w:pos="4201"/>
          <w:tab w:val="right" w:leader="dot" w:pos="9298"/>
        </w:tabs>
        <w:rPr>
          <w:rFonts w:hint="eastAsia" w:ascii="宋体" w:hAnsi="宋体" w:eastAsia="宋体" w:cs="宋体"/>
          <w:szCs w:val="21"/>
        </w:rPr>
      </w:pPr>
      <w:r>
        <w:rPr>
          <w:rFonts w:hint="eastAsia" w:ascii="宋体" w:hAnsi="宋体" w:eastAsia="宋体" w:cs="宋体"/>
          <w:szCs w:val="21"/>
        </w:rPr>
        <w:t xml:space="preserve">  按GB 7251.1-2005中8.2.4的规定。试验结果判定：测试结果应符合GB 7251.1-2005中8.2.4.3的规定。</w:t>
      </w:r>
    </w:p>
    <w:p w14:paraId="07D695E9">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5.2.8  电气间隙和爬电距离验证</w:t>
      </w:r>
    </w:p>
    <w:p w14:paraId="095259F6">
      <w:pPr>
        <w:pStyle w:val="33"/>
        <w:tabs>
          <w:tab w:val="center" w:pos="4201"/>
          <w:tab w:val="right" w:leader="dot" w:pos="9298"/>
        </w:tabs>
        <w:rPr>
          <w:rFonts w:hint="eastAsia" w:ascii="宋体" w:hAnsi="宋体" w:eastAsia="宋体" w:cs="宋体"/>
          <w:szCs w:val="21"/>
        </w:rPr>
      </w:pPr>
      <w:r>
        <w:rPr>
          <w:rFonts w:hint="eastAsia" w:ascii="宋体" w:hAnsi="宋体" w:eastAsia="宋体" w:cs="宋体"/>
          <w:szCs w:val="21"/>
        </w:rPr>
        <w:t xml:space="preserve">  按GB 7251.1-2005中8.2.5的规定。试验结果判定：测试结果应符合GB 7251.1-2005中7.1.2.1的规定。</w:t>
      </w:r>
    </w:p>
    <w:p w14:paraId="7243B039">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5.2.9  机械操作验证</w:t>
      </w:r>
    </w:p>
    <w:p w14:paraId="5F2E7EE9">
      <w:pPr>
        <w:pStyle w:val="33"/>
        <w:tabs>
          <w:tab w:val="center" w:pos="4201"/>
          <w:tab w:val="right" w:leader="dot" w:pos="9298"/>
        </w:tabs>
        <w:rPr>
          <w:rFonts w:hint="eastAsia" w:ascii="宋体" w:hAnsi="宋体" w:eastAsia="宋体" w:cs="宋体"/>
          <w:bCs/>
          <w:szCs w:val="21"/>
        </w:rPr>
      </w:pPr>
      <w:r>
        <w:rPr>
          <w:rFonts w:hint="eastAsia" w:ascii="宋体" w:hAnsi="宋体" w:eastAsia="宋体" w:cs="宋体"/>
          <w:szCs w:val="21"/>
        </w:rPr>
        <w:t xml:space="preserve">  按GB 7251.1-2005中8.2.6的规定。试验结果判定：如果器件、联锁机构等的工作条件未受影响，而且所要求的操作力与试验前一样，则认为通过了此项试验。</w:t>
      </w:r>
    </w:p>
    <w:p w14:paraId="17EF8559">
      <w:pPr>
        <w:pStyle w:val="40"/>
        <w:numPr>
          <w:ilvl w:val="0"/>
          <w:numId w:val="0"/>
        </w:numPr>
        <w:tabs>
          <w:tab w:val="clear" w:pos="1440"/>
        </w:tabs>
        <w:spacing w:before="156"/>
        <w:rPr>
          <w:rFonts w:hint="eastAsia" w:ascii="宋体" w:hAnsi="宋体" w:eastAsia="宋体" w:cs="宋体"/>
        </w:rPr>
      </w:pPr>
      <w:r>
        <w:rPr>
          <w:rFonts w:hint="eastAsia" w:ascii="宋体" w:hAnsi="宋体" w:eastAsia="宋体" w:cs="宋体"/>
        </w:rPr>
        <w:t>5.2.10  防护等级验证</w:t>
      </w:r>
    </w:p>
    <w:p w14:paraId="60A6A999">
      <w:pPr>
        <w:pStyle w:val="33"/>
        <w:tabs>
          <w:tab w:val="center" w:pos="4201"/>
          <w:tab w:val="right" w:leader="dot" w:pos="9298"/>
        </w:tabs>
        <w:rPr>
          <w:rFonts w:hint="eastAsia" w:ascii="宋体" w:hAnsi="宋体" w:eastAsia="宋体" w:cs="宋体"/>
          <w:szCs w:val="21"/>
        </w:rPr>
      </w:pPr>
      <w:r>
        <w:rPr>
          <w:rFonts w:hint="eastAsia" w:ascii="宋体" w:hAnsi="宋体" w:eastAsia="宋体" w:cs="宋体"/>
          <w:szCs w:val="21"/>
        </w:rPr>
        <w:t xml:space="preserve">  按GB 7251.1-2005中8.2.7的规定。试验结果判定：测试结果应符合GB 7251.1-2005中7.2.1和7.7的规定。</w:t>
      </w:r>
      <w:bookmarkStart w:id="35" w:name="_Toc355884474"/>
    </w:p>
    <w:bookmarkEnd w:id="35"/>
    <w:p w14:paraId="1F46E635">
      <w:pPr>
        <w:pStyle w:val="14"/>
        <w:jc w:val="both"/>
        <w:rPr>
          <w:rFonts w:hint="eastAsia" w:ascii="宋体" w:hAnsi="宋体" w:eastAsia="宋体" w:cs="宋体"/>
        </w:rPr>
      </w:pPr>
      <w:bookmarkStart w:id="36" w:name="_Toc355884479"/>
      <w:r>
        <w:rPr>
          <w:rFonts w:hint="eastAsia" w:ascii="宋体" w:hAnsi="宋体" w:eastAsia="宋体" w:cs="宋体"/>
        </w:rPr>
        <w:t xml:space="preserve"> </w:t>
      </w:r>
      <w:bookmarkEnd w:id="36"/>
    </w:p>
    <w:p w14:paraId="4446166E">
      <w:pPr>
        <w:rPr>
          <w:rFonts w:hint="eastAsia" w:ascii="宋体" w:hAnsi="宋体" w:eastAsia="宋体" w:cs="宋体"/>
        </w:rPr>
      </w:pPr>
    </w:p>
    <w:p w14:paraId="237162C9">
      <w:pPr>
        <w:rPr>
          <w:rFonts w:hint="eastAsia" w:ascii="宋体" w:hAnsi="宋体" w:eastAsia="宋体" w:cs="宋体"/>
        </w:rPr>
      </w:pPr>
    </w:p>
    <w:p w14:paraId="7738728B">
      <w:pPr>
        <w:rPr>
          <w:rFonts w:hint="eastAsia" w:ascii="宋体" w:hAnsi="宋体" w:eastAsia="宋体" w:cs="宋体"/>
        </w:rPr>
      </w:pPr>
    </w:p>
    <w:p w14:paraId="3DB62451">
      <w:pPr>
        <w:rPr>
          <w:rFonts w:hint="eastAsia" w:ascii="宋体" w:hAnsi="宋体" w:eastAsia="宋体" w:cs="宋体"/>
        </w:rPr>
      </w:pPr>
    </w:p>
    <w:p w14:paraId="1FE4F150">
      <w:pPr>
        <w:rPr>
          <w:rFonts w:hint="eastAsia" w:ascii="宋体" w:hAnsi="宋体" w:eastAsia="宋体" w:cs="宋体"/>
        </w:rPr>
      </w:pPr>
    </w:p>
    <w:p w14:paraId="6ED78F0A">
      <w:pPr>
        <w:rPr>
          <w:rFonts w:hint="eastAsia" w:ascii="宋体" w:hAnsi="宋体" w:eastAsia="宋体" w:cs="宋体"/>
        </w:rPr>
      </w:pPr>
    </w:p>
    <w:p w14:paraId="60667F80">
      <w:pPr>
        <w:rPr>
          <w:rFonts w:hint="eastAsia" w:ascii="宋体" w:hAnsi="宋体" w:eastAsia="宋体" w:cs="宋体"/>
        </w:rPr>
      </w:pPr>
    </w:p>
    <w:p w14:paraId="52D61479">
      <w:pPr>
        <w:rPr>
          <w:rFonts w:hint="eastAsia" w:ascii="宋体" w:hAnsi="宋体" w:eastAsia="宋体" w:cs="宋体"/>
        </w:rPr>
      </w:pPr>
    </w:p>
    <w:p w14:paraId="257CE275">
      <w:pPr>
        <w:rPr>
          <w:rFonts w:hint="eastAsia" w:ascii="宋体" w:hAnsi="宋体" w:eastAsia="宋体" w:cs="宋体"/>
        </w:rPr>
      </w:pPr>
    </w:p>
    <w:p w14:paraId="28F11446">
      <w:pPr>
        <w:rPr>
          <w:rFonts w:hint="eastAsia" w:ascii="宋体" w:hAnsi="宋体" w:eastAsia="宋体" w:cs="宋体"/>
        </w:rPr>
      </w:pPr>
    </w:p>
    <w:p w14:paraId="1E621892">
      <w:pPr>
        <w:rPr>
          <w:rFonts w:hint="eastAsia" w:ascii="宋体" w:hAnsi="宋体" w:eastAsia="宋体" w:cs="宋体"/>
        </w:rPr>
      </w:pPr>
    </w:p>
    <w:p w14:paraId="506CB2E0">
      <w:pPr>
        <w:rPr>
          <w:rFonts w:hint="eastAsia" w:ascii="宋体" w:hAnsi="宋体" w:eastAsia="宋体" w:cs="宋体"/>
        </w:rPr>
      </w:pPr>
    </w:p>
    <w:p w14:paraId="11033B0B">
      <w:pPr>
        <w:rPr>
          <w:rFonts w:hint="eastAsia" w:ascii="宋体" w:hAnsi="宋体" w:eastAsia="宋体" w:cs="宋体"/>
        </w:rPr>
      </w:pPr>
    </w:p>
    <w:p w14:paraId="38AD2A1B">
      <w:pPr>
        <w:rPr>
          <w:rFonts w:hint="eastAsia" w:ascii="宋体" w:hAnsi="宋体" w:eastAsia="宋体" w:cs="宋体"/>
        </w:rPr>
      </w:pPr>
    </w:p>
    <w:p w14:paraId="40A85191">
      <w:pPr>
        <w:rPr>
          <w:rFonts w:hint="eastAsia" w:ascii="宋体" w:hAnsi="宋体" w:eastAsia="宋体" w:cs="宋体"/>
        </w:rPr>
      </w:pPr>
    </w:p>
    <w:p w14:paraId="22C0496B">
      <w:pPr>
        <w:rPr>
          <w:rFonts w:hint="eastAsia" w:ascii="宋体" w:hAnsi="宋体" w:eastAsia="宋体" w:cs="宋体"/>
        </w:rPr>
      </w:pPr>
    </w:p>
    <w:p w14:paraId="481EA690">
      <w:pPr>
        <w:rPr>
          <w:rFonts w:hint="eastAsia" w:ascii="宋体" w:hAnsi="宋体" w:eastAsia="宋体" w:cs="宋体"/>
        </w:rPr>
      </w:pPr>
    </w:p>
    <w:p w14:paraId="57439447">
      <w:pPr>
        <w:keepNext/>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52"/>
          <w:szCs w:val="52"/>
        </w:rPr>
      </w:pPr>
      <w:r>
        <w:rPr>
          <w:rFonts w:hint="eastAsia" w:ascii="宋体" w:hAnsi="宋体" w:eastAsia="宋体" w:cs="宋体"/>
          <w:sz w:val="52"/>
          <w:szCs w:val="52"/>
        </w:rPr>
        <w:t>低压电容器柜技术规范</w:t>
      </w:r>
    </w:p>
    <w:p w14:paraId="6FB5728E">
      <w:pPr>
        <w:keepNext/>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6"/>
          <w:szCs w:val="36"/>
        </w:rPr>
      </w:pPr>
    </w:p>
    <w:p w14:paraId="600F344A">
      <w:pPr>
        <w:keepNext/>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目 录</w:t>
      </w:r>
    </w:p>
    <w:p w14:paraId="76D30198">
      <w:pPr>
        <w:pStyle w:val="35"/>
        <w:rPr>
          <w:rFonts w:hint="eastAsia" w:ascii="宋体" w:hAnsi="宋体" w:eastAsia="宋体" w:cs="宋体"/>
        </w:rPr>
      </w:pPr>
    </w:p>
    <w:p w14:paraId="34530ACF">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TOC \o "1-1" \h \z \u </w:instrText>
      </w:r>
      <w:r>
        <w:rPr>
          <w:rFonts w:hint="eastAsia" w:ascii="宋体" w:hAnsi="宋体" w:eastAsia="宋体" w:cs="宋体"/>
        </w:rPr>
        <w:fldChar w:fldCharType="separate"/>
      </w: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"_Toc446981689"</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1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_Toc446981689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Style w:val="18"/>
          <w:rFonts w:hint="eastAsia" w:ascii="宋体" w:hAnsi="宋体" w:eastAsia="宋体" w:cs="宋体"/>
        </w:rPr>
        <w:fldChar w:fldCharType="end"/>
      </w:r>
    </w:p>
    <w:p w14:paraId="47768397">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"_Toc446981690"</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2　技术参数和性能要求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_Toc446981690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Style w:val="18"/>
          <w:rFonts w:hint="eastAsia" w:ascii="宋体" w:hAnsi="宋体" w:eastAsia="宋体" w:cs="宋体"/>
        </w:rPr>
        <w:fldChar w:fldCharType="end"/>
      </w:r>
    </w:p>
    <w:p w14:paraId="06B43C51">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"_Toc446981691"</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3　标准技术参数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_Toc446981691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Style w:val="18"/>
          <w:rFonts w:hint="eastAsia" w:ascii="宋体" w:hAnsi="宋体" w:eastAsia="宋体" w:cs="宋体"/>
        </w:rPr>
        <w:fldChar w:fldCharType="end"/>
      </w:r>
    </w:p>
    <w:p w14:paraId="013C8F2F">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"_Toc446981692"</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4　使用环境条件表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_Toc446981692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Style w:val="18"/>
          <w:rFonts w:hint="eastAsia" w:ascii="宋体" w:hAnsi="宋体" w:eastAsia="宋体" w:cs="宋体"/>
        </w:rPr>
        <w:fldChar w:fldCharType="end"/>
      </w:r>
    </w:p>
    <w:p w14:paraId="2E06D59E">
      <w:pPr>
        <w:pStyle w:val="12"/>
        <w:tabs>
          <w:tab w:val="right" w:leader="dot" w:pos="8296"/>
        </w:tabs>
        <w:rPr>
          <w:rFonts w:hint="eastAsia" w:ascii="宋体" w:hAnsi="宋体" w:eastAsia="宋体" w:cs="宋体"/>
          <w:szCs w:val="22"/>
        </w:rPr>
      </w:pPr>
      <w:r>
        <w:rPr>
          <w:rStyle w:val="18"/>
          <w:rFonts w:hint="eastAsia" w:ascii="宋体" w:hAnsi="宋体" w:eastAsia="宋体" w:cs="宋体"/>
        </w:rPr>
        <w:fldChar w:fldCharType="begin"/>
      </w:r>
      <w:r>
        <w:rPr>
          <w:rStyle w:val="18"/>
          <w:rFonts w:hint="eastAsia" w:ascii="宋体" w:hAnsi="宋体" w:eastAsia="宋体" w:cs="宋体"/>
        </w:rPr>
        <w:instrText xml:space="preserve"> </w:instrText>
      </w:r>
      <w:r>
        <w:rPr>
          <w:rFonts w:hint="eastAsia" w:ascii="宋体" w:hAnsi="宋体" w:eastAsia="宋体" w:cs="宋体"/>
        </w:rPr>
        <w:instrText xml:space="preserve">HYPERLINK \l "_Toc446981693"</w:instrText>
      </w:r>
      <w:r>
        <w:rPr>
          <w:rStyle w:val="18"/>
          <w:rFonts w:hint="eastAsia" w:ascii="宋体" w:hAnsi="宋体" w:eastAsia="宋体" w:cs="宋体"/>
        </w:rPr>
        <w:instrText xml:space="preserve"> </w:instrText>
      </w:r>
      <w:r>
        <w:rPr>
          <w:rStyle w:val="18"/>
          <w:rFonts w:hint="eastAsia" w:ascii="宋体" w:hAnsi="宋体" w:eastAsia="宋体" w:cs="宋体"/>
        </w:rPr>
        <w:fldChar w:fldCharType="separate"/>
      </w:r>
      <w:r>
        <w:rPr>
          <w:rStyle w:val="18"/>
          <w:rFonts w:hint="eastAsia" w:ascii="宋体" w:hAnsi="宋体" w:eastAsia="宋体" w:cs="宋体"/>
        </w:rPr>
        <w:t>5　试验</w:t>
      </w:r>
      <w:r>
        <w:rPr>
          <w:rFonts w:hint="eastAsia" w:ascii="宋体" w:hAnsi="宋体" w:eastAsia="宋体" w:cs="宋体"/>
        </w:rPr>
        <w:tab/>
      </w:r>
      <w:bookmarkStart w:id="37" w:name="_Hlt446997320"/>
      <w:bookmarkStart w:id="38" w:name="_Hlt446997321"/>
      <w:r>
        <w:rPr>
          <w:rFonts w:hint="eastAsia" w:ascii="宋体" w:hAnsi="宋体" w:eastAsia="宋体" w:cs="宋体"/>
        </w:rPr>
        <w:fldChar w:fldCharType="begin"/>
      </w:r>
      <w:r>
        <w:rPr>
          <w:rFonts w:hint="eastAsia" w:ascii="宋体" w:hAnsi="宋体" w:eastAsia="宋体" w:cs="宋体"/>
        </w:rPr>
        <w:instrText xml:space="preserve"> PAGEREF _Toc446981693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bookmarkEnd w:id="37"/>
      <w:bookmarkEnd w:id="38"/>
      <w:r>
        <w:rPr>
          <w:rStyle w:val="18"/>
          <w:rFonts w:hint="eastAsia" w:ascii="宋体" w:hAnsi="宋体" w:eastAsia="宋体" w:cs="宋体"/>
        </w:rPr>
        <w:fldChar w:fldCharType="end"/>
      </w:r>
    </w:p>
    <w:p w14:paraId="7D9388A5">
      <w:pPr>
        <w:pStyle w:val="36"/>
        <w:jc w:val="both"/>
        <w:rPr>
          <w:rFonts w:hint="eastAsia" w:ascii="宋体" w:hAnsi="宋体" w:eastAsia="宋体" w:cs="宋体"/>
        </w:rPr>
        <w:sectPr>
          <w:footerReference r:id="rId6"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rPr>
        <w:fldChar w:fldCharType="end"/>
      </w:r>
    </w:p>
    <w:p w14:paraId="4F7CF35A">
      <w:pPr>
        <w:spacing w:before="640" w:after="560" w:line="460" w:lineRule="exact"/>
        <w:jc w:val="center"/>
        <w:rPr>
          <w:rFonts w:hint="eastAsia" w:ascii="宋体" w:hAnsi="宋体" w:eastAsia="宋体" w:cs="宋体"/>
          <w:sz w:val="32"/>
          <w:szCs w:val="32"/>
        </w:rPr>
      </w:pPr>
      <w:r>
        <w:rPr>
          <w:rFonts w:hint="eastAsia" w:ascii="宋体" w:hAnsi="宋体" w:eastAsia="宋体" w:cs="宋体"/>
          <w:sz w:val="32"/>
          <w:szCs w:val="32"/>
        </w:rPr>
        <w:t>低压电容器柜技术规范</w:t>
      </w:r>
    </w:p>
    <w:p w14:paraId="2A2A7A7A">
      <w:pPr>
        <w:pStyle w:val="37"/>
        <w:keepNext w:val="0"/>
        <w:keepLines w:val="0"/>
        <w:topLinePunct w:val="0"/>
        <w:outlineLvl w:val="0"/>
        <w:rPr>
          <w:rFonts w:hint="eastAsia" w:ascii="宋体" w:hAnsi="宋体" w:eastAsia="宋体" w:cs="宋体"/>
        </w:rPr>
      </w:pPr>
      <w:bookmarkStart w:id="39" w:name="_Toc446981689"/>
      <w:r>
        <w:rPr>
          <w:rFonts w:hint="eastAsia" w:ascii="宋体" w:hAnsi="宋体" w:eastAsia="宋体" w:cs="宋体"/>
          <w:lang w:eastAsia="zh-CN"/>
        </w:rPr>
        <w:t>1</w:t>
      </w:r>
      <w:r>
        <w:rPr>
          <w:rFonts w:hint="eastAsia" w:ascii="宋体" w:hAnsi="宋体" w:eastAsia="宋体" w:cs="宋体"/>
        </w:rPr>
        <w:t>　规范性引用文件</w:t>
      </w:r>
      <w:bookmarkEnd w:id="39"/>
    </w:p>
    <w:p w14:paraId="61B291B1">
      <w:pPr>
        <w:tabs>
          <w:tab w:val="left" w:pos="1920"/>
        </w:tabs>
        <w:topLinePunct/>
        <w:spacing w:line="302" w:lineRule="exact"/>
        <w:ind w:left="210" w:leftChars="100"/>
        <w:rPr>
          <w:rFonts w:hint="eastAsia" w:ascii="宋体" w:hAnsi="宋体" w:eastAsia="宋体" w:cs="宋体"/>
          <w:szCs w:val="21"/>
        </w:rPr>
      </w:pPr>
      <w:r>
        <w:rPr>
          <w:rFonts w:hint="eastAsia" w:ascii="宋体" w:hAnsi="宋体" w:eastAsia="宋体" w:cs="宋体"/>
          <w:szCs w:val="21"/>
        </w:rPr>
        <w:t>下列文件对于本文件的应用是必不可少的。凡是注日期的引用文件，仅注日期的版本适用于本文件。凡是不注日期的引用文件，其最新版本（包括所有的修改单）适用于本文件。</w:t>
      </w:r>
    </w:p>
    <w:p w14:paraId="157F2C7D">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7251.1　   低压成套开关设备和控制设备　第一部分：型式试验和部分型式试验成套设备</w:t>
      </w:r>
    </w:p>
    <w:p w14:paraId="6244D46F">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14048.1　  低压开关设备和控制设备　第1部分：总则</w:t>
      </w:r>
    </w:p>
    <w:p w14:paraId="69389384">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14048.2　  低压开关设备和控制设备　第2部分：断路器</w:t>
      </w:r>
    </w:p>
    <w:p w14:paraId="4318A526">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4208       外壳防护等级（IP代码）</w:t>
      </w:r>
    </w:p>
    <w:p w14:paraId="17D5FCFA">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 50150　    电气装置安装工程　电气设备交接试验标准</w:t>
      </w:r>
    </w:p>
    <w:p w14:paraId="7DFB99BF">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GB5585.2      电工用铜、铝及其母线 第二部分：铜母线</w:t>
      </w:r>
    </w:p>
    <w:p w14:paraId="5B20E523">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16935.1  低压系统内设备的绝缘配合</w:t>
      </w:r>
    </w:p>
    <w:p w14:paraId="290DA933">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15576　  低压成套无功功率补偿装置</w:t>
      </w:r>
    </w:p>
    <w:p w14:paraId="67BA8032">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20641　  低压成套开关设备和控制设备空壳体的一般要求</w:t>
      </w:r>
    </w:p>
    <w:p w14:paraId="475073B3">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GB/T2681      电工成套装置中的导线颜色</w:t>
      </w:r>
    </w:p>
    <w:p w14:paraId="28EA594A">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15291    半导体器件  第6部分 晶闸管</w:t>
      </w:r>
    </w:p>
    <w:p w14:paraId="7B6CB2EE">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3859.1   半导体变流器基本要求的规定</w:t>
      </w:r>
    </w:p>
    <w:p w14:paraId="5FA0FB10">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3859.2   半导体变流器应用导则</w:t>
      </w:r>
    </w:p>
    <w:p w14:paraId="0C0561AC">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3859.4   半导体变流器 包括直接直流变流器的半导体•自换相变流器</w:t>
      </w:r>
    </w:p>
    <w:p w14:paraId="1633174F">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GB/T 13422    半导体电力变流器电气试验方法</w:t>
      </w:r>
    </w:p>
    <w:p w14:paraId="179A4EA1">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 xml:space="preserve">GB/T 17626.2  静电放电抗扰度试验 </w:t>
      </w:r>
    </w:p>
    <w:p w14:paraId="0067B426">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 xml:space="preserve">GB/T 17626.3  射频电磁场辐射抗扰度试验 </w:t>
      </w:r>
    </w:p>
    <w:p w14:paraId="40B935BB">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 xml:space="preserve">GB/T 17626.4  电快速瞬变脉冲群抗扰度试验 </w:t>
      </w:r>
    </w:p>
    <w:p w14:paraId="688B0F43">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 xml:space="preserve">GB/T 17626.5  浪涌（冲击）抗扰度试验 </w:t>
      </w:r>
    </w:p>
    <w:p w14:paraId="050565A8">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napToGrid w:val="0"/>
          <w:szCs w:val="21"/>
        </w:rPr>
        <w:t>GB/Z 18859　  封闭式低压成套开关设备和控制设备在内部故障引起电弧情况下的试验导则</w:t>
      </w:r>
    </w:p>
    <w:p w14:paraId="33EC619A">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 xml:space="preserve">DL/T 781      电力用高频开关整流模块 </w:t>
      </w:r>
    </w:p>
    <w:p w14:paraId="703F1EFC">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DL/T1053      电能质量技术监督规程</w:t>
      </w:r>
    </w:p>
    <w:p w14:paraId="367BEECE">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DL/T 597　    低压无功补偿控制器订货技术条件</w:t>
      </w:r>
    </w:p>
    <w:p w14:paraId="2B206227">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DL/T 842　    低压并联电容器装置使用技术条件</w:t>
      </w:r>
    </w:p>
    <w:p w14:paraId="304DCFE6">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JB5877        低压固定封闭式成套开关设备</w:t>
      </w:r>
    </w:p>
    <w:p w14:paraId="44271676">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JB7113        低压并联电容器装置</w:t>
      </w:r>
    </w:p>
    <w:p w14:paraId="16709CD8">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IEC 61641　  封闭式低压成套开关设备和控制设备在内部故障引起电弧情况下的试验导则</w:t>
      </w:r>
    </w:p>
    <w:p w14:paraId="23863A21">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国家电网生(2009)133号《国家电网公司电力系统电压质量和无功电力管理规定》</w:t>
      </w:r>
    </w:p>
    <w:p w14:paraId="573EF2BD">
      <w:pPr>
        <w:tabs>
          <w:tab w:val="left" w:pos="1920"/>
        </w:tabs>
        <w:topLinePunct/>
        <w:spacing w:line="302" w:lineRule="exact"/>
        <w:ind w:firstLine="420"/>
        <w:rPr>
          <w:rFonts w:hint="eastAsia" w:ascii="宋体" w:hAnsi="宋体" w:eastAsia="宋体" w:cs="宋体"/>
          <w:szCs w:val="21"/>
        </w:rPr>
      </w:pPr>
      <w:r>
        <w:rPr>
          <w:rFonts w:hint="eastAsia" w:ascii="宋体" w:hAnsi="宋体" w:eastAsia="宋体" w:cs="宋体"/>
          <w:szCs w:val="21"/>
        </w:rPr>
        <w:t>国家电网科(2008)1282号《国家电网公司电力系统无功补偿配置技术原则》</w:t>
      </w:r>
    </w:p>
    <w:p w14:paraId="3F17FDA9">
      <w:pPr>
        <w:pStyle w:val="37"/>
        <w:keepNext w:val="0"/>
        <w:keepLines w:val="0"/>
        <w:topLinePunct w:val="0"/>
        <w:outlineLvl w:val="0"/>
        <w:rPr>
          <w:rFonts w:hint="eastAsia" w:ascii="宋体" w:hAnsi="宋体" w:eastAsia="宋体" w:cs="宋体"/>
        </w:rPr>
      </w:pPr>
      <w:bookmarkStart w:id="40" w:name="_Toc335383577"/>
      <w:bookmarkEnd w:id="40"/>
      <w:bookmarkStart w:id="41" w:name="_Toc338251400"/>
      <w:bookmarkEnd w:id="41"/>
      <w:bookmarkStart w:id="42" w:name="_Toc338251397"/>
      <w:bookmarkEnd w:id="42"/>
      <w:bookmarkStart w:id="43" w:name="_Toc335383512"/>
      <w:bookmarkEnd w:id="43"/>
      <w:bookmarkStart w:id="44" w:name="_Toc335383574"/>
      <w:bookmarkEnd w:id="44"/>
      <w:bookmarkStart w:id="45" w:name="_Toc319932338"/>
      <w:bookmarkEnd w:id="45"/>
      <w:bookmarkStart w:id="46" w:name="_Toc344384438"/>
      <w:bookmarkEnd w:id="46"/>
      <w:bookmarkStart w:id="47" w:name="_Toc319932336"/>
      <w:bookmarkEnd w:id="47"/>
      <w:bookmarkStart w:id="48" w:name="_Toc344384435"/>
      <w:bookmarkEnd w:id="48"/>
      <w:bookmarkStart w:id="49" w:name="_Toc344384432"/>
      <w:bookmarkEnd w:id="49"/>
      <w:bookmarkStart w:id="50" w:name="_Toc335383509"/>
      <w:bookmarkEnd w:id="50"/>
      <w:bookmarkStart w:id="51" w:name="_Toc319932333"/>
      <w:bookmarkEnd w:id="51"/>
      <w:bookmarkStart w:id="52" w:name="_Toc446981690"/>
      <w:bookmarkStart w:id="53" w:name="_Toc407308615"/>
      <w:bookmarkStart w:id="54" w:name="_Toc355884499"/>
      <w:r>
        <w:rPr>
          <w:rFonts w:hint="eastAsia" w:ascii="宋体" w:hAnsi="宋体" w:eastAsia="宋体" w:cs="宋体"/>
          <w:lang w:eastAsia="zh-CN"/>
        </w:rPr>
        <w:t>2</w:t>
      </w:r>
      <w:r>
        <w:rPr>
          <w:rFonts w:hint="eastAsia" w:ascii="宋体" w:hAnsi="宋体" w:eastAsia="宋体" w:cs="宋体"/>
        </w:rPr>
        <w:t>　技术参数和性能要求</w:t>
      </w:r>
      <w:bookmarkEnd w:id="52"/>
      <w:bookmarkEnd w:id="53"/>
      <w:bookmarkEnd w:id="54"/>
    </w:p>
    <w:p w14:paraId="3D3B05A8">
      <w:pPr>
        <w:rPr>
          <w:rFonts w:hint="eastAsia" w:ascii="宋体" w:hAnsi="宋体" w:eastAsia="宋体" w:cs="宋体"/>
        </w:rPr>
      </w:pPr>
      <w:r>
        <w:rPr>
          <w:rFonts w:hint="eastAsia" w:ascii="宋体" w:hAnsi="宋体" w:eastAsia="宋体" w:cs="宋体"/>
        </w:rPr>
        <w:t>2.1　低压电容器柜技术参数</w:t>
      </w:r>
    </w:p>
    <w:p w14:paraId="74E11C0F">
      <w:pPr>
        <w:topLinePunct/>
        <w:spacing w:line="312" w:lineRule="atLeast"/>
        <w:rPr>
          <w:rFonts w:hint="eastAsia" w:ascii="宋体" w:hAnsi="宋体" w:eastAsia="宋体" w:cs="宋体"/>
        </w:rPr>
      </w:pPr>
      <w:r>
        <w:rPr>
          <w:rFonts w:hint="eastAsia" w:ascii="宋体" w:hAnsi="宋体" w:eastAsia="宋体" w:cs="宋体"/>
        </w:rPr>
        <w:t xml:space="preserve">2.1.1 </w:t>
      </w:r>
      <w:r>
        <w:rPr>
          <w:rFonts w:hint="eastAsia" w:ascii="宋体" w:hAnsi="宋体" w:eastAsia="宋体" w:cs="宋体"/>
          <w:snapToGrid w:val="0"/>
        </w:rPr>
        <w:t xml:space="preserve"> 低压电容器柜</w:t>
      </w:r>
      <w:r>
        <w:rPr>
          <w:rFonts w:hint="eastAsia" w:ascii="宋体" w:hAnsi="宋体" w:eastAsia="宋体" w:cs="宋体"/>
          <w:bCs/>
        </w:rPr>
        <w:t>技术参数见技术规范专用部分的技术参数特性表</w:t>
      </w:r>
      <w:r>
        <w:rPr>
          <w:rFonts w:hint="eastAsia" w:ascii="宋体" w:hAnsi="宋体" w:eastAsia="宋体" w:cs="宋体"/>
        </w:rPr>
        <w:t>。</w:t>
      </w:r>
    </w:p>
    <w:p w14:paraId="26C9C2F5">
      <w:pPr>
        <w:rPr>
          <w:rFonts w:hint="eastAsia" w:ascii="宋体" w:hAnsi="宋体" w:eastAsia="宋体" w:cs="宋体"/>
        </w:rPr>
      </w:pPr>
      <w:r>
        <w:rPr>
          <w:rFonts w:hint="eastAsia" w:ascii="宋体" w:hAnsi="宋体" w:eastAsia="宋体" w:cs="宋体"/>
        </w:rPr>
        <w:t>2.2　性能要求</w:t>
      </w:r>
    </w:p>
    <w:p w14:paraId="0FCF104B">
      <w:pPr>
        <w:topLinePunct/>
        <w:spacing w:line="312" w:lineRule="atLeast"/>
        <w:rPr>
          <w:rFonts w:hint="eastAsia" w:ascii="宋体" w:hAnsi="宋体" w:eastAsia="宋体" w:cs="宋体"/>
          <w:bCs/>
          <w:szCs w:val="21"/>
          <w:lang w:eastAsia="zh-CN"/>
        </w:rPr>
      </w:pPr>
      <w:r>
        <w:rPr>
          <w:rFonts w:hint="eastAsia" w:ascii="宋体" w:hAnsi="宋体" w:eastAsia="宋体" w:cs="宋体"/>
          <w:szCs w:val="21"/>
        </w:rPr>
        <w:t>2.2.1</w:t>
      </w:r>
      <w:r>
        <w:rPr>
          <w:rFonts w:hint="eastAsia" w:ascii="宋体" w:hAnsi="宋体" w:eastAsia="宋体" w:cs="宋体"/>
          <w:bCs/>
          <w:szCs w:val="21"/>
        </w:rPr>
        <w:t>　设备外壳平整、严密、美观、要求30年不变形、腐蚀</w:t>
      </w:r>
      <w:r>
        <w:rPr>
          <w:rFonts w:hint="eastAsia" w:ascii="宋体" w:hAnsi="宋体" w:eastAsia="宋体" w:cs="宋体"/>
          <w:bCs/>
          <w:szCs w:val="21"/>
          <w:lang w:eastAsia="zh-CN"/>
        </w:rPr>
        <w:t>。</w:t>
      </w:r>
    </w:p>
    <w:p w14:paraId="3C1CB3E2">
      <w:pPr>
        <w:topLinePunct/>
        <w:spacing w:line="312" w:lineRule="atLeast"/>
        <w:rPr>
          <w:rFonts w:hint="eastAsia" w:ascii="宋体" w:hAnsi="宋体" w:eastAsia="宋体" w:cs="宋体"/>
          <w:bCs/>
          <w:szCs w:val="21"/>
        </w:rPr>
      </w:pPr>
      <w:r>
        <w:rPr>
          <w:rFonts w:hint="eastAsia" w:ascii="宋体" w:hAnsi="宋体" w:eastAsia="宋体" w:cs="宋体"/>
          <w:szCs w:val="21"/>
        </w:rPr>
        <w:t>2.2.2</w:t>
      </w:r>
      <w:r>
        <w:rPr>
          <w:rFonts w:hint="eastAsia" w:ascii="宋体" w:hAnsi="宋体" w:eastAsia="宋体" w:cs="宋体"/>
          <w:bCs/>
          <w:szCs w:val="21"/>
        </w:rPr>
        <w:t>　主构架采用2mm的覆铝锌钢板，内部安装灵活方便，主构架装配形式设计为全组装式结构。柜体构架及金属结构件，均应有足够钢性及承载能力，能满足电气元件的安装要求及操作和短路时所产生的机械应力和热应力电动力，同时不因成套设备的吊装、运输等情况而损坏或影响开关柜及所安装元件的性能。</w:t>
      </w:r>
    </w:p>
    <w:p w14:paraId="6F5B4E67">
      <w:pPr>
        <w:topLinePunct/>
        <w:spacing w:line="312" w:lineRule="exact"/>
        <w:rPr>
          <w:rFonts w:hint="eastAsia" w:ascii="宋体" w:hAnsi="宋体" w:eastAsia="宋体" w:cs="宋体"/>
          <w:bCs/>
          <w:szCs w:val="21"/>
        </w:rPr>
      </w:pPr>
      <w:r>
        <w:rPr>
          <w:rFonts w:hint="eastAsia" w:ascii="宋体" w:hAnsi="宋体" w:eastAsia="宋体" w:cs="宋体"/>
          <w:snapToGrid w:val="0"/>
          <w:szCs w:val="21"/>
        </w:rPr>
        <w:t>2.2.3</w:t>
      </w:r>
      <w:r>
        <w:rPr>
          <w:rFonts w:hint="eastAsia" w:ascii="宋体" w:hAnsi="宋体" w:eastAsia="宋体" w:cs="宋体"/>
          <w:bCs/>
          <w:szCs w:val="21"/>
        </w:rPr>
        <w:t>　柜内安装粱采用2mm强度抗腐蚀敷铝锌钢板，采用双重折边工艺。</w:t>
      </w:r>
    </w:p>
    <w:p w14:paraId="7C63DA41">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 xml:space="preserve">2.2.4  </w:t>
      </w:r>
      <w:r>
        <w:rPr>
          <w:rFonts w:hint="eastAsia" w:ascii="宋体" w:hAnsi="宋体" w:eastAsia="宋体" w:cs="宋体"/>
          <w:bCs/>
          <w:szCs w:val="21"/>
        </w:rPr>
        <w:t>柜体材料采用厚度不小于2mm的覆铝锌钢板、镀锌板或冷轧钢板并喷塑,颜色采用RAL7035,柜体防护等级不小于IP30。地板和墙壁均不能作为壳体的一部分，柜底用敷铝锌板封闭。</w:t>
      </w:r>
    </w:p>
    <w:p w14:paraId="34AAC916">
      <w:pPr>
        <w:topLinePunct/>
        <w:spacing w:line="312" w:lineRule="exact"/>
        <w:rPr>
          <w:rFonts w:hint="eastAsia" w:ascii="宋体" w:hAnsi="宋体" w:eastAsia="宋体" w:cs="宋体"/>
          <w:bCs/>
          <w:szCs w:val="21"/>
        </w:rPr>
      </w:pPr>
      <w:r>
        <w:rPr>
          <w:rFonts w:hint="eastAsia" w:ascii="宋体" w:hAnsi="宋体" w:eastAsia="宋体" w:cs="宋体"/>
          <w:snapToGrid w:val="0"/>
          <w:szCs w:val="21"/>
        </w:rPr>
        <w:t>2.2.5</w:t>
      </w:r>
      <w:r>
        <w:rPr>
          <w:rFonts w:hint="eastAsia" w:ascii="宋体" w:hAnsi="宋体" w:eastAsia="宋体" w:cs="宋体"/>
          <w:bCs/>
          <w:szCs w:val="21"/>
        </w:rPr>
        <w:t>　柜内的母线和分支接线须用T2铜材，并应满足以下要求：</w:t>
      </w:r>
    </w:p>
    <w:p w14:paraId="6C6FD0DC">
      <w:pPr>
        <w:rPr>
          <w:rFonts w:hint="eastAsia" w:ascii="宋体" w:hAnsi="宋体" w:eastAsia="宋体" w:cs="宋体"/>
          <w:bCs/>
          <w:szCs w:val="21"/>
        </w:rPr>
      </w:pPr>
      <w:r>
        <w:rPr>
          <w:rFonts w:hint="eastAsia" w:ascii="宋体" w:hAnsi="宋体" w:eastAsia="宋体" w:cs="宋体"/>
          <w:bCs/>
          <w:szCs w:val="21"/>
        </w:rPr>
        <w:t>1）母线连接采用高强度专用螺栓连接，接触面应镀锡，应有足够和持久接触压力。</w:t>
      </w:r>
    </w:p>
    <w:p w14:paraId="71F1C4B0">
      <w:pPr>
        <w:rPr>
          <w:rFonts w:hint="eastAsia" w:ascii="宋体" w:hAnsi="宋体" w:eastAsia="宋体" w:cs="宋体"/>
          <w:bCs/>
          <w:szCs w:val="21"/>
        </w:rPr>
      </w:pPr>
      <w:r>
        <w:rPr>
          <w:rFonts w:hint="eastAsia" w:ascii="宋体" w:hAnsi="宋体" w:eastAsia="宋体" w:cs="宋体"/>
          <w:bCs/>
          <w:szCs w:val="21"/>
        </w:rPr>
        <w:t>2）母线的震动和温度变化在母线上产生的膨胀和收缩不致影响母线连接部位的接触特性。</w:t>
      </w:r>
    </w:p>
    <w:p w14:paraId="48FF7841">
      <w:pPr>
        <w:rPr>
          <w:rFonts w:hint="eastAsia" w:ascii="宋体" w:hAnsi="宋体" w:eastAsia="宋体" w:cs="宋体"/>
          <w:bCs/>
          <w:szCs w:val="21"/>
        </w:rPr>
      </w:pPr>
      <w:r>
        <w:rPr>
          <w:rFonts w:hint="eastAsia" w:ascii="宋体" w:hAnsi="宋体" w:eastAsia="宋体" w:cs="宋体"/>
          <w:bCs/>
          <w:szCs w:val="21"/>
        </w:rPr>
        <w:t>3）母线固定应选用不饱合增强树脂（SMC）为材质制做的专用绝缘支撑件，以保证母线之间和母线与其它部件之间的安全距离和绝缘强度。</w:t>
      </w:r>
    </w:p>
    <w:p w14:paraId="1B70316D">
      <w:pPr>
        <w:rPr>
          <w:rFonts w:hint="eastAsia" w:ascii="宋体" w:hAnsi="宋体" w:eastAsia="宋体" w:cs="宋体"/>
          <w:bCs/>
          <w:szCs w:val="21"/>
        </w:rPr>
      </w:pPr>
      <w:r>
        <w:rPr>
          <w:rFonts w:hint="eastAsia" w:ascii="宋体" w:hAnsi="宋体" w:eastAsia="宋体" w:cs="宋体"/>
          <w:bCs/>
          <w:szCs w:val="21"/>
        </w:rPr>
        <w:t>4）母线的布置和连接及绝缘支撑件应能承受装置额定短时耐受电流和额定峰值耐受电流所产生的热应力和电动力的冲击。</w:t>
      </w:r>
    </w:p>
    <w:p w14:paraId="74903B31">
      <w:pPr>
        <w:rPr>
          <w:rFonts w:hint="eastAsia" w:ascii="宋体" w:hAnsi="宋体" w:eastAsia="宋体" w:cs="宋体"/>
          <w:bCs/>
          <w:szCs w:val="21"/>
        </w:rPr>
      </w:pPr>
      <w:r>
        <w:rPr>
          <w:rFonts w:hint="eastAsia" w:ascii="宋体" w:hAnsi="宋体" w:eastAsia="宋体" w:cs="宋体"/>
          <w:bCs/>
          <w:szCs w:val="21"/>
        </w:rPr>
        <w:t>5）母线穿过金属隔板之外，应设计绝缘强度、机械强度符合要求、且安装简单而又牢固、可靠的绝缘套管和其它绝缘件。</w:t>
      </w:r>
    </w:p>
    <w:p w14:paraId="537FF6BF">
      <w:pPr>
        <w:rPr>
          <w:rFonts w:hint="eastAsia" w:ascii="宋体" w:hAnsi="宋体" w:eastAsia="宋体" w:cs="宋体"/>
        </w:rPr>
      </w:pPr>
      <w:r>
        <w:rPr>
          <w:rFonts w:hint="eastAsia" w:ascii="宋体" w:hAnsi="宋体" w:eastAsia="宋体" w:cs="宋体"/>
          <w:bCs/>
          <w:szCs w:val="21"/>
        </w:rPr>
        <w:t xml:space="preserve">6） </w:t>
      </w:r>
      <w:r>
        <w:rPr>
          <w:rFonts w:hint="eastAsia" w:ascii="宋体" w:hAnsi="宋体" w:eastAsia="宋体" w:cs="宋体"/>
        </w:rPr>
        <w:t>铜排其折弯应无砸痕、裂口、毛刺，符合DL/T 499的规定，其最小允许弯曲半径见DL/T 375表7。</w:t>
      </w:r>
    </w:p>
    <w:p w14:paraId="0A3B1519">
      <w:pPr>
        <w:rPr>
          <w:rFonts w:hint="eastAsia" w:ascii="宋体" w:hAnsi="宋体" w:eastAsia="宋体" w:cs="宋体"/>
          <w:bCs/>
          <w:szCs w:val="21"/>
        </w:rPr>
      </w:pPr>
      <w:r>
        <w:rPr>
          <w:rFonts w:hint="eastAsia" w:ascii="宋体" w:hAnsi="宋体" w:eastAsia="宋体" w:cs="宋体"/>
          <w:bCs/>
          <w:szCs w:val="21"/>
        </w:rPr>
        <w:t>7）导体、主母线及支线均采用矩形母线，并采用不同相色热缩套管做绝缘处理。热缩套管不得开裂和起皱，母线接头处用热缩绝缘盒封闭。绝缘热缩护套材料应具备阻燃、防腐、抗老化的要求，老化寿命不小于30年，具体试验方法和要求参照GB/T 2951.14中规定执行。8）导体须满足额定短时和峰值耐受电流的要求。N相（L0）母线与三相母线规格相同,PE排截面不低于相排截面的1/2。</w:t>
      </w:r>
    </w:p>
    <w:p w14:paraId="34ED3062">
      <w:pPr>
        <w:topLinePunct/>
        <w:adjustRightInd w:val="0"/>
        <w:snapToGrid w:val="0"/>
        <w:rPr>
          <w:rFonts w:hint="eastAsia" w:ascii="宋体" w:hAnsi="宋体" w:eastAsia="宋体" w:cs="宋体"/>
          <w:snapToGrid w:val="0"/>
          <w:sz w:val="18"/>
          <w:szCs w:val="18"/>
        </w:rPr>
      </w:pPr>
      <w:r>
        <w:rPr>
          <w:rFonts w:hint="eastAsia" w:ascii="宋体" w:hAnsi="宋体" w:eastAsia="宋体" w:cs="宋体"/>
          <w:bCs/>
          <w:szCs w:val="21"/>
          <w:lang w:val="en-US" w:eastAsia="zh-CN"/>
        </w:rPr>
        <w:t>9</w:t>
      </w:r>
      <w:r>
        <w:rPr>
          <w:rFonts w:hint="eastAsia" w:ascii="宋体" w:hAnsi="宋体" w:eastAsia="宋体" w:cs="宋体"/>
          <w:bCs/>
          <w:szCs w:val="21"/>
        </w:rPr>
        <w:t>）相序的排列参见表2。</w:t>
      </w:r>
    </w:p>
    <w:p w14:paraId="1D83923F">
      <w:pPr>
        <w:topLinePunct/>
        <w:spacing w:line="312" w:lineRule="exact"/>
        <w:ind w:left="554" w:hanging="210"/>
        <w:jc w:val="center"/>
        <w:rPr>
          <w:rFonts w:hint="eastAsia" w:ascii="宋体" w:hAnsi="宋体" w:eastAsia="宋体" w:cs="宋体"/>
          <w:szCs w:val="24"/>
        </w:rPr>
      </w:pPr>
      <w:r>
        <w:rPr>
          <w:rFonts w:hint="eastAsia" w:ascii="宋体" w:hAnsi="宋体" w:eastAsia="宋体" w:cs="宋体"/>
        </w:rPr>
        <w:t>表2　母线相序排列表</w:t>
      </w:r>
    </w:p>
    <w:tbl>
      <w:tblPr>
        <w:tblStyle w:val="16"/>
        <w:tblW w:w="94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620"/>
        <w:gridCol w:w="2492"/>
        <w:gridCol w:w="2381"/>
        <w:gridCol w:w="1918"/>
      </w:tblGrid>
      <w:tr w14:paraId="531143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noWrap w:val="0"/>
            <w:vAlign w:val="center"/>
          </w:tcPr>
          <w:p w14:paraId="5F08F36A">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类别</w:t>
            </w:r>
          </w:p>
        </w:tc>
        <w:tc>
          <w:tcPr>
            <w:tcW w:w="2492" w:type="dxa"/>
            <w:noWrap w:val="0"/>
            <w:vAlign w:val="center"/>
          </w:tcPr>
          <w:p w14:paraId="67A757C7">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上下排列</w:t>
            </w:r>
          </w:p>
        </w:tc>
        <w:tc>
          <w:tcPr>
            <w:tcW w:w="2381" w:type="dxa"/>
            <w:noWrap w:val="0"/>
            <w:vAlign w:val="center"/>
          </w:tcPr>
          <w:p w14:paraId="09B6E06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左右排列</w:t>
            </w:r>
          </w:p>
        </w:tc>
        <w:tc>
          <w:tcPr>
            <w:tcW w:w="1918" w:type="dxa"/>
            <w:noWrap w:val="0"/>
            <w:vAlign w:val="center"/>
          </w:tcPr>
          <w:p w14:paraId="2B459814">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前后排列</w:t>
            </w:r>
          </w:p>
        </w:tc>
      </w:tr>
      <w:tr w14:paraId="67DB82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noWrap w:val="0"/>
            <w:vAlign w:val="center"/>
          </w:tcPr>
          <w:p w14:paraId="06BD738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A相</w:t>
            </w:r>
          </w:p>
        </w:tc>
        <w:tc>
          <w:tcPr>
            <w:tcW w:w="2492" w:type="dxa"/>
            <w:noWrap w:val="0"/>
            <w:vAlign w:val="center"/>
          </w:tcPr>
          <w:p w14:paraId="3253E5F9">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上</w:t>
            </w:r>
          </w:p>
        </w:tc>
        <w:tc>
          <w:tcPr>
            <w:tcW w:w="2381" w:type="dxa"/>
            <w:noWrap w:val="0"/>
            <w:vAlign w:val="center"/>
          </w:tcPr>
          <w:p w14:paraId="3338C262">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左</w:t>
            </w:r>
          </w:p>
        </w:tc>
        <w:tc>
          <w:tcPr>
            <w:tcW w:w="1918" w:type="dxa"/>
            <w:noWrap w:val="0"/>
            <w:vAlign w:val="center"/>
          </w:tcPr>
          <w:p w14:paraId="35051812">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远</w:t>
            </w:r>
          </w:p>
        </w:tc>
      </w:tr>
      <w:tr w14:paraId="2C4F8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noWrap w:val="0"/>
            <w:vAlign w:val="center"/>
          </w:tcPr>
          <w:p w14:paraId="001BECC7">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B相</w:t>
            </w:r>
          </w:p>
        </w:tc>
        <w:tc>
          <w:tcPr>
            <w:tcW w:w="2492" w:type="dxa"/>
            <w:noWrap w:val="0"/>
            <w:vAlign w:val="center"/>
          </w:tcPr>
          <w:p w14:paraId="45E82819">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w:t>
            </w:r>
          </w:p>
        </w:tc>
        <w:tc>
          <w:tcPr>
            <w:tcW w:w="2381" w:type="dxa"/>
            <w:noWrap w:val="0"/>
            <w:vAlign w:val="center"/>
          </w:tcPr>
          <w:p w14:paraId="77322292">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w:t>
            </w:r>
          </w:p>
        </w:tc>
        <w:tc>
          <w:tcPr>
            <w:tcW w:w="1918" w:type="dxa"/>
            <w:noWrap w:val="0"/>
            <w:vAlign w:val="center"/>
          </w:tcPr>
          <w:p w14:paraId="240CA2C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w:t>
            </w:r>
          </w:p>
        </w:tc>
      </w:tr>
      <w:tr w14:paraId="51FB14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noWrap w:val="0"/>
            <w:vAlign w:val="center"/>
          </w:tcPr>
          <w:p w14:paraId="446873B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C相</w:t>
            </w:r>
          </w:p>
        </w:tc>
        <w:tc>
          <w:tcPr>
            <w:tcW w:w="2492" w:type="dxa"/>
            <w:noWrap w:val="0"/>
            <w:vAlign w:val="center"/>
          </w:tcPr>
          <w:p w14:paraId="7A3F9ACE">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下</w:t>
            </w:r>
          </w:p>
        </w:tc>
        <w:tc>
          <w:tcPr>
            <w:tcW w:w="2381" w:type="dxa"/>
            <w:noWrap w:val="0"/>
            <w:vAlign w:val="center"/>
          </w:tcPr>
          <w:p w14:paraId="649A18D2">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右</w:t>
            </w:r>
          </w:p>
        </w:tc>
        <w:tc>
          <w:tcPr>
            <w:tcW w:w="1918" w:type="dxa"/>
            <w:noWrap w:val="0"/>
            <w:vAlign w:val="center"/>
          </w:tcPr>
          <w:p w14:paraId="211AE19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近</w:t>
            </w:r>
          </w:p>
        </w:tc>
      </w:tr>
      <w:tr w14:paraId="67AD01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20" w:type="dxa"/>
            <w:noWrap w:val="0"/>
            <w:vAlign w:val="center"/>
          </w:tcPr>
          <w:p w14:paraId="603244C9">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中性线、中性保护线</w:t>
            </w:r>
          </w:p>
        </w:tc>
        <w:tc>
          <w:tcPr>
            <w:tcW w:w="2492" w:type="dxa"/>
            <w:noWrap w:val="0"/>
            <w:vAlign w:val="center"/>
          </w:tcPr>
          <w:p w14:paraId="3E9569D8">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最下</w:t>
            </w:r>
          </w:p>
        </w:tc>
        <w:tc>
          <w:tcPr>
            <w:tcW w:w="2381" w:type="dxa"/>
            <w:noWrap w:val="0"/>
            <w:vAlign w:val="center"/>
          </w:tcPr>
          <w:p w14:paraId="0F7B03EC">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最右</w:t>
            </w:r>
          </w:p>
        </w:tc>
        <w:tc>
          <w:tcPr>
            <w:tcW w:w="1918" w:type="dxa"/>
            <w:noWrap w:val="0"/>
            <w:vAlign w:val="center"/>
          </w:tcPr>
          <w:p w14:paraId="73B3572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最近</w:t>
            </w:r>
          </w:p>
        </w:tc>
      </w:tr>
    </w:tbl>
    <w:p w14:paraId="799481EA">
      <w:pPr>
        <w:topLinePunct/>
        <w:adjustRightInd w:val="0"/>
        <w:snapToGrid w:val="0"/>
        <w:ind w:left="554" w:hanging="210"/>
        <w:rPr>
          <w:rFonts w:hint="eastAsia" w:ascii="宋体" w:hAnsi="宋体" w:eastAsia="宋体" w:cs="宋体"/>
          <w:bCs/>
          <w:szCs w:val="21"/>
        </w:rPr>
      </w:pPr>
    </w:p>
    <w:p w14:paraId="64016600">
      <w:pPr>
        <w:topLinePunct/>
        <w:adjustRightInd w:val="0"/>
        <w:snapToGrid w:val="0"/>
        <w:rPr>
          <w:rFonts w:hint="eastAsia" w:ascii="宋体" w:hAnsi="宋体" w:eastAsia="宋体" w:cs="宋体"/>
          <w:bCs/>
          <w:szCs w:val="21"/>
        </w:rPr>
      </w:pPr>
      <w:r>
        <w:rPr>
          <w:rFonts w:hint="eastAsia" w:ascii="宋体" w:hAnsi="宋体" w:eastAsia="宋体" w:cs="宋体"/>
          <w:bCs/>
          <w:szCs w:val="21"/>
        </w:rPr>
        <w:t>1</w:t>
      </w:r>
      <w:r>
        <w:rPr>
          <w:rFonts w:hint="eastAsia" w:ascii="宋体" w:hAnsi="宋体" w:eastAsia="宋体" w:cs="宋体"/>
          <w:bCs/>
          <w:szCs w:val="21"/>
          <w:lang w:val="en-US" w:eastAsia="zh-CN"/>
        </w:rPr>
        <w:t>0</w:t>
      </w:r>
      <w:r>
        <w:rPr>
          <w:rFonts w:hint="eastAsia" w:ascii="宋体" w:hAnsi="宋体" w:eastAsia="宋体" w:cs="宋体"/>
          <w:bCs/>
          <w:szCs w:val="21"/>
        </w:rPr>
        <w:t>）母线相色参见表3。</w:t>
      </w:r>
    </w:p>
    <w:p w14:paraId="32A3A317">
      <w:pPr>
        <w:topLinePunct/>
        <w:spacing w:line="312" w:lineRule="exact"/>
        <w:jc w:val="center"/>
        <w:rPr>
          <w:rFonts w:hint="eastAsia" w:ascii="宋体" w:hAnsi="宋体" w:eastAsia="宋体" w:cs="宋体"/>
          <w:bCs/>
          <w:szCs w:val="21"/>
        </w:rPr>
      </w:pPr>
      <w:r>
        <w:rPr>
          <w:rFonts w:hint="eastAsia" w:ascii="宋体" w:hAnsi="宋体" w:eastAsia="宋体" w:cs="宋体"/>
          <w:bCs/>
          <w:szCs w:val="21"/>
        </w:rPr>
        <w:t>表3　电工成套装置中的导线颜色</w:t>
      </w:r>
    </w:p>
    <w:tbl>
      <w:tblPr>
        <w:tblStyle w:val="16"/>
        <w:tblW w:w="94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05"/>
        <w:gridCol w:w="4706"/>
      </w:tblGrid>
      <w:tr w14:paraId="2E912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705" w:type="dxa"/>
            <w:noWrap w:val="0"/>
            <w:vAlign w:val="center"/>
          </w:tcPr>
          <w:p w14:paraId="5E97E5E3">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颜　　色</w:t>
            </w:r>
          </w:p>
        </w:tc>
        <w:tc>
          <w:tcPr>
            <w:tcW w:w="4706" w:type="dxa"/>
            <w:noWrap w:val="0"/>
            <w:vAlign w:val="center"/>
          </w:tcPr>
          <w:p w14:paraId="5762D5D4">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用　　途</w:t>
            </w:r>
          </w:p>
        </w:tc>
      </w:tr>
      <w:tr w14:paraId="6C709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1F7CCA39">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黄</w:t>
            </w:r>
          </w:p>
        </w:tc>
        <w:tc>
          <w:tcPr>
            <w:tcW w:w="4706" w:type="dxa"/>
            <w:noWrap w:val="0"/>
            <w:vAlign w:val="center"/>
          </w:tcPr>
          <w:p w14:paraId="7E04EA4E">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交流A相线</w:t>
            </w:r>
          </w:p>
        </w:tc>
      </w:tr>
      <w:tr w14:paraId="17C870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0886E857">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绿</w:t>
            </w:r>
          </w:p>
        </w:tc>
        <w:tc>
          <w:tcPr>
            <w:tcW w:w="4706" w:type="dxa"/>
            <w:noWrap w:val="0"/>
            <w:vAlign w:val="center"/>
          </w:tcPr>
          <w:p w14:paraId="2C042705">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交流B相线</w:t>
            </w:r>
          </w:p>
        </w:tc>
      </w:tr>
      <w:tr w14:paraId="13A87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11192FCE">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红</w:t>
            </w:r>
          </w:p>
        </w:tc>
        <w:tc>
          <w:tcPr>
            <w:tcW w:w="4706" w:type="dxa"/>
            <w:noWrap w:val="0"/>
            <w:vAlign w:val="center"/>
          </w:tcPr>
          <w:p w14:paraId="1F8275CC">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交流C相线</w:t>
            </w:r>
          </w:p>
        </w:tc>
      </w:tr>
      <w:tr w14:paraId="00E87D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0346DD78">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黄绿间隔（绿/黄）</w:t>
            </w:r>
          </w:p>
        </w:tc>
        <w:tc>
          <w:tcPr>
            <w:tcW w:w="4706" w:type="dxa"/>
            <w:noWrap w:val="0"/>
            <w:vAlign w:val="center"/>
          </w:tcPr>
          <w:p w14:paraId="43C6B9F2">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PE或PEN线</w:t>
            </w:r>
          </w:p>
        </w:tc>
      </w:tr>
      <w:tr w14:paraId="423945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567388E2">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黑色</w:t>
            </w:r>
          </w:p>
        </w:tc>
        <w:tc>
          <w:tcPr>
            <w:tcW w:w="4706" w:type="dxa"/>
            <w:noWrap w:val="0"/>
            <w:vAlign w:val="center"/>
          </w:tcPr>
          <w:p w14:paraId="78812419">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装置和设备内的布线</w:t>
            </w:r>
          </w:p>
        </w:tc>
      </w:tr>
      <w:tr w14:paraId="78762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0C3E4EA7">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淡蓝色</w:t>
            </w:r>
          </w:p>
        </w:tc>
        <w:tc>
          <w:tcPr>
            <w:tcW w:w="4706" w:type="dxa"/>
            <w:noWrap w:val="0"/>
            <w:vAlign w:val="center"/>
          </w:tcPr>
          <w:p w14:paraId="482C727A">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交流N相</w:t>
            </w:r>
          </w:p>
        </w:tc>
      </w:tr>
      <w:tr w14:paraId="1E2EB1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3C5FA26A">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三芯电缆颜色由下列颜色构成：绿/黄+淡蓝+</w:t>
            </w:r>
            <w:r>
              <w:rPr>
                <w:rFonts w:hint="eastAsia" w:ascii="宋体" w:hAnsi="宋体" w:eastAsia="宋体" w:cs="宋体"/>
                <w:sz w:val="18"/>
                <w:szCs w:val="21"/>
              </w:rPr>
              <w:br w:type="textWrapping"/>
            </w:r>
            <w:r>
              <w:rPr>
                <w:rFonts w:hint="eastAsia" w:ascii="宋体" w:hAnsi="宋体" w:eastAsia="宋体" w:cs="宋体"/>
                <w:sz w:val="18"/>
                <w:szCs w:val="21"/>
              </w:rPr>
              <w:t>棕色或者黑+淡蓝+棕色</w:t>
            </w:r>
          </w:p>
        </w:tc>
        <w:tc>
          <w:tcPr>
            <w:tcW w:w="4706" w:type="dxa"/>
            <w:noWrap w:val="0"/>
            <w:vAlign w:val="center"/>
          </w:tcPr>
          <w:p w14:paraId="7E866D15">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连接三相交流电路</w:t>
            </w:r>
          </w:p>
        </w:tc>
      </w:tr>
      <w:tr w14:paraId="24BD4E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05" w:type="dxa"/>
            <w:noWrap w:val="0"/>
            <w:vAlign w:val="center"/>
          </w:tcPr>
          <w:p w14:paraId="1C717948">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四芯颜色构成：绿/黄+淡蓝+黑+棕色</w:t>
            </w:r>
          </w:p>
        </w:tc>
        <w:tc>
          <w:tcPr>
            <w:tcW w:w="4706" w:type="dxa"/>
            <w:noWrap w:val="0"/>
            <w:vAlign w:val="center"/>
          </w:tcPr>
          <w:p w14:paraId="2B03ED28">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连接三相交流电路</w:t>
            </w:r>
          </w:p>
        </w:tc>
      </w:tr>
      <w:tr w14:paraId="1EE6C6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411" w:type="dxa"/>
            <w:gridSpan w:val="2"/>
            <w:noWrap w:val="0"/>
            <w:vAlign w:val="center"/>
          </w:tcPr>
          <w:p w14:paraId="1062C817">
            <w:pPr>
              <w:topLinePunct/>
              <w:snapToGrid w:val="0"/>
              <w:spacing w:before="56" w:after="56"/>
              <w:jc w:val="center"/>
              <w:rPr>
                <w:rFonts w:hint="eastAsia" w:ascii="宋体" w:hAnsi="宋体" w:eastAsia="宋体" w:cs="宋体"/>
                <w:sz w:val="18"/>
                <w:szCs w:val="21"/>
              </w:rPr>
            </w:pPr>
            <w:r>
              <w:rPr>
                <w:rFonts w:hint="eastAsia" w:ascii="宋体" w:hAnsi="宋体" w:eastAsia="宋体" w:cs="宋体"/>
                <w:sz w:val="18"/>
                <w:szCs w:val="21"/>
              </w:rPr>
              <w:t>二次交流系统选择：A、B、C全部选择单一黑色，PE或PEN线为黄绿间隔条形线</w:t>
            </w:r>
          </w:p>
        </w:tc>
      </w:tr>
    </w:tbl>
    <w:p w14:paraId="5F2A4A29">
      <w:pPr>
        <w:topLinePunct/>
        <w:spacing w:line="312" w:lineRule="exact"/>
        <w:rPr>
          <w:rFonts w:hint="eastAsia" w:ascii="宋体" w:hAnsi="宋体" w:eastAsia="宋体" w:cs="宋体"/>
          <w:bCs/>
          <w:szCs w:val="21"/>
        </w:rPr>
      </w:pPr>
      <w:r>
        <w:rPr>
          <w:rFonts w:hint="eastAsia" w:ascii="宋体" w:hAnsi="宋体" w:eastAsia="宋体" w:cs="宋体"/>
          <w:szCs w:val="21"/>
        </w:rPr>
        <w:t>2.2.6</w:t>
      </w:r>
      <w:r>
        <w:rPr>
          <w:rFonts w:hint="eastAsia" w:ascii="宋体" w:hAnsi="宋体" w:eastAsia="宋体" w:cs="宋体"/>
          <w:bCs/>
          <w:szCs w:val="21"/>
        </w:rPr>
        <w:t>　电气间隙：相间及相对地之间不小于10mm，爬电距离不小于14mm。</w:t>
      </w:r>
    </w:p>
    <w:p w14:paraId="7B4D535C">
      <w:pPr>
        <w:topLinePunct/>
        <w:spacing w:line="320" w:lineRule="exact"/>
        <w:rPr>
          <w:rFonts w:hint="eastAsia" w:ascii="宋体" w:hAnsi="宋体" w:eastAsia="宋体" w:cs="宋体"/>
          <w:bCs/>
          <w:szCs w:val="21"/>
        </w:rPr>
      </w:pPr>
      <w:r>
        <w:rPr>
          <w:rFonts w:hint="eastAsia" w:ascii="宋体" w:hAnsi="宋体" w:eastAsia="宋体" w:cs="宋体"/>
          <w:snapToGrid w:val="0"/>
          <w:szCs w:val="21"/>
        </w:rPr>
        <w:t>2.2.7</w:t>
      </w:r>
      <w:r>
        <w:rPr>
          <w:rFonts w:hint="eastAsia" w:ascii="宋体" w:hAnsi="宋体" w:eastAsia="宋体" w:cs="宋体"/>
          <w:bCs/>
          <w:szCs w:val="21"/>
        </w:rPr>
        <w:t>　低压电容器柜金属壳体和隔板等元件应可靠固定，低压电容器柜金属壳体设置接地螺栓及标志。</w:t>
      </w:r>
    </w:p>
    <w:p w14:paraId="170A39ED">
      <w:pPr>
        <w:topLinePunct/>
        <w:spacing w:line="312" w:lineRule="exact"/>
        <w:rPr>
          <w:rFonts w:hint="eastAsia" w:ascii="宋体" w:hAnsi="宋体" w:eastAsia="宋体" w:cs="宋体"/>
          <w:bCs/>
          <w:szCs w:val="21"/>
        </w:rPr>
      </w:pPr>
      <w:r>
        <w:rPr>
          <w:rFonts w:hint="eastAsia" w:ascii="宋体" w:hAnsi="宋体" w:eastAsia="宋体" w:cs="宋体"/>
          <w:szCs w:val="21"/>
        </w:rPr>
        <w:t>2.2.8</w:t>
      </w:r>
      <w:r>
        <w:rPr>
          <w:rFonts w:hint="eastAsia" w:ascii="宋体" w:hAnsi="宋体" w:eastAsia="宋体" w:cs="宋体"/>
          <w:bCs/>
          <w:szCs w:val="21"/>
        </w:rPr>
        <w:t>　柜内二次引线采用铜芯电缆，其中电流回路引线截面不小于2.5mm</w:t>
      </w:r>
      <w:r>
        <w:rPr>
          <w:rFonts w:hint="eastAsia" w:ascii="宋体" w:hAnsi="宋体" w:eastAsia="宋体" w:cs="宋体"/>
          <w:bCs/>
          <w:szCs w:val="21"/>
          <w:vertAlign w:val="superscript"/>
        </w:rPr>
        <w:t>2</w:t>
      </w:r>
      <w:r>
        <w:rPr>
          <w:rFonts w:hint="eastAsia" w:ascii="宋体" w:hAnsi="宋体" w:eastAsia="宋体" w:cs="宋体"/>
          <w:bCs/>
          <w:szCs w:val="21"/>
        </w:rPr>
        <w:t>/根、电压回路引线截面不小于1.5 mm</w:t>
      </w:r>
      <w:r>
        <w:rPr>
          <w:rFonts w:hint="eastAsia" w:ascii="宋体" w:hAnsi="宋体" w:eastAsia="宋体" w:cs="宋体"/>
          <w:bCs/>
          <w:szCs w:val="21"/>
          <w:vertAlign w:val="superscript"/>
        </w:rPr>
        <w:t>2</w:t>
      </w:r>
      <w:r>
        <w:rPr>
          <w:rFonts w:hint="eastAsia" w:ascii="宋体" w:hAnsi="宋体" w:eastAsia="宋体" w:cs="宋体"/>
          <w:bCs/>
          <w:szCs w:val="21"/>
        </w:rPr>
        <w:t>/根。</w:t>
      </w:r>
    </w:p>
    <w:p w14:paraId="1B182B40">
      <w:pPr>
        <w:topLinePunct/>
        <w:spacing w:line="312" w:lineRule="exact"/>
        <w:rPr>
          <w:rFonts w:hint="eastAsia" w:ascii="宋体" w:hAnsi="宋体" w:eastAsia="宋体" w:cs="宋体"/>
          <w:bCs/>
          <w:szCs w:val="21"/>
        </w:rPr>
      </w:pPr>
      <w:r>
        <w:rPr>
          <w:rFonts w:hint="eastAsia" w:ascii="宋体" w:hAnsi="宋体" w:eastAsia="宋体" w:cs="宋体"/>
          <w:szCs w:val="21"/>
        </w:rPr>
        <w:t>2.2.9</w:t>
      </w:r>
      <w:r>
        <w:rPr>
          <w:rFonts w:hint="eastAsia" w:ascii="宋体" w:hAnsi="宋体" w:eastAsia="宋体" w:cs="宋体"/>
          <w:bCs/>
          <w:szCs w:val="21"/>
        </w:rPr>
        <w:t>　</w:t>
      </w:r>
      <w:r>
        <w:rPr>
          <w:rFonts w:hint="eastAsia" w:ascii="宋体" w:hAnsi="宋体" w:eastAsia="宋体" w:cs="宋体"/>
          <w:szCs w:val="21"/>
        </w:rPr>
        <w:t>每个低压电容器柜的外壳应通</w:t>
      </w:r>
      <w:r>
        <w:rPr>
          <w:rFonts w:hint="eastAsia" w:ascii="宋体" w:hAnsi="宋体" w:eastAsia="宋体" w:cs="宋体"/>
          <w:bCs/>
          <w:szCs w:val="21"/>
        </w:rPr>
        <w:t>过专门的接</w:t>
      </w:r>
      <w:r>
        <w:rPr>
          <w:rFonts w:hint="eastAsia" w:ascii="宋体" w:hAnsi="宋体" w:eastAsia="宋体" w:cs="宋体"/>
          <w:szCs w:val="21"/>
        </w:rPr>
        <w:t>地点可靠接地，接地回路应满足短路耐受能力的要求。凡不属主回路或辅助回路的预定要接地的所有金属部分都应接地。外壳、框架等的相互电气连接宜用紧固连接，以保证电气上连通，接地点应标以接地符号。接地点的接触面和接地连线的截面积应能安全地通过故障接地电流。紧固接地螺栓的直径不得小于12mm。接地点应标有接地符号。主回路应有可靠的接地措施，以保证维修工作的安全。</w:t>
      </w:r>
    </w:p>
    <w:p w14:paraId="16F78CC5">
      <w:pPr>
        <w:rPr>
          <w:rFonts w:hint="eastAsia" w:ascii="宋体" w:hAnsi="宋体" w:eastAsia="宋体" w:cs="宋体"/>
        </w:rPr>
      </w:pPr>
      <w:r>
        <w:rPr>
          <w:rFonts w:hint="eastAsia" w:ascii="宋体" w:hAnsi="宋体" w:eastAsia="宋体" w:cs="宋体"/>
        </w:rPr>
        <w:t>2.3</w:t>
      </w:r>
      <w:r>
        <w:rPr>
          <w:rFonts w:hint="eastAsia" w:ascii="宋体" w:hAnsi="宋体" w:eastAsia="宋体" w:cs="宋体"/>
          <w:szCs w:val="24"/>
        </w:rPr>
        <w:t xml:space="preserve"> 断路器</w:t>
      </w:r>
    </w:p>
    <w:p w14:paraId="5B95C57C">
      <w:pPr>
        <w:topLinePunct/>
        <w:spacing w:line="320" w:lineRule="exact"/>
        <w:rPr>
          <w:rFonts w:hint="eastAsia" w:ascii="宋体" w:hAnsi="宋体" w:eastAsia="宋体" w:cs="宋体"/>
          <w:szCs w:val="21"/>
        </w:rPr>
      </w:pPr>
      <w:r>
        <w:rPr>
          <w:rFonts w:hint="eastAsia" w:ascii="宋体" w:hAnsi="宋体" w:eastAsia="宋体" w:cs="宋体"/>
          <w:snapToGrid w:val="0"/>
          <w:szCs w:val="21"/>
        </w:rPr>
        <w:t xml:space="preserve">2.3.1  </w:t>
      </w:r>
      <w:r>
        <w:rPr>
          <w:rFonts w:hint="eastAsia" w:ascii="宋体" w:hAnsi="宋体" w:eastAsia="宋体" w:cs="宋体"/>
          <w:bCs/>
          <w:szCs w:val="21"/>
        </w:rPr>
        <w:t>塑壳断路器采用手动操作</w:t>
      </w:r>
      <w:r>
        <w:rPr>
          <w:rFonts w:hint="eastAsia" w:ascii="宋体" w:hAnsi="宋体" w:eastAsia="宋体" w:cs="宋体"/>
          <w:szCs w:val="21"/>
        </w:rPr>
        <w:t>，配电子脱扣器，应具备瞬时脱扣、短延时脱扣、长延时脱扣三段保护。</w:t>
      </w:r>
    </w:p>
    <w:p w14:paraId="640A5C7B">
      <w:pPr>
        <w:topLinePunct/>
        <w:spacing w:line="320" w:lineRule="exact"/>
        <w:rPr>
          <w:rFonts w:hint="eastAsia" w:ascii="宋体" w:hAnsi="宋体" w:eastAsia="宋体" w:cs="宋体"/>
          <w:szCs w:val="21"/>
        </w:rPr>
      </w:pPr>
      <w:r>
        <w:rPr>
          <w:rFonts w:hint="eastAsia" w:ascii="宋体" w:hAnsi="宋体" w:eastAsia="宋体" w:cs="宋体"/>
          <w:szCs w:val="21"/>
        </w:rPr>
        <w:t xml:space="preserve">2.3.2  </w:t>
      </w:r>
      <w:r>
        <w:rPr>
          <w:rFonts w:hint="eastAsia" w:ascii="宋体" w:hAnsi="宋体" w:eastAsia="宋体" w:cs="宋体"/>
          <w:bCs/>
          <w:szCs w:val="21"/>
        </w:rPr>
        <w:t>抽出式断路器应有三个明显的位置：运行位置、试验位置、分离位置。本体（动触头）插入断路器底座（静触头）后，在断路器处于分闸状态时，断路器可视为试验位置；本体（动触头）拨出断路器底座（静触头）后，为分离位置，并形成明显断开点。</w:t>
      </w:r>
    </w:p>
    <w:p w14:paraId="629F58E0">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2.3.3  </w:t>
      </w:r>
      <w:r>
        <w:rPr>
          <w:rFonts w:hint="eastAsia" w:ascii="宋体" w:hAnsi="宋体" w:eastAsia="宋体" w:cs="宋体"/>
          <w:bCs/>
          <w:szCs w:val="21"/>
        </w:rPr>
        <w:t>断路器的位置应与面板有可靠闭锁，在断路器处于合闸位置时，严禁打开面板进行工作。</w:t>
      </w:r>
    </w:p>
    <w:p w14:paraId="6648DEA1">
      <w:pPr>
        <w:topLinePunct/>
        <w:spacing w:line="320" w:lineRule="exact"/>
        <w:rPr>
          <w:rFonts w:hint="eastAsia" w:ascii="宋体" w:hAnsi="宋体" w:eastAsia="宋体" w:cs="宋体"/>
          <w:szCs w:val="21"/>
        </w:rPr>
      </w:pPr>
      <w:r>
        <w:rPr>
          <w:rFonts w:hint="eastAsia" w:ascii="宋体" w:hAnsi="宋体" w:eastAsia="宋体" w:cs="宋体"/>
          <w:szCs w:val="21"/>
        </w:rPr>
        <w:t xml:space="preserve">2.3.4  </w:t>
      </w:r>
      <w:r>
        <w:rPr>
          <w:rFonts w:hint="eastAsia" w:ascii="宋体" w:hAnsi="宋体" w:eastAsia="宋体" w:cs="宋体"/>
          <w:bCs/>
          <w:szCs w:val="21"/>
        </w:rPr>
        <w:t>断路器位置指示可采用双色位置指示灯，也可借助于操作手柄的位置变化加以识别。</w:t>
      </w:r>
    </w:p>
    <w:p w14:paraId="681A3542">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2.3.5  </w:t>
      </w:r>
      <w:r>
        <w:rPr>
          <w:rFonts w:hint="eastAsia" w:ascii="宋体" w:hAnsi="宋体" w:eastAsia="宋体" w:cs="宋体"/>
          <w:bCs/>
          <w:szCs w:val="21"/>
        </w:rPr>
        <w:t>断路器的辅助电路的插接件应跟随断路器的动作自动地接通和分离。</w:t>
      </w:r>
    </w:p>
    <w:p w14:paraId="225DADEC">
      <w:pPr>
        <w:topLinePunct/>
        <w:spacing w:line="320" w:lineRule="exact"/>
        <w:rPr>
          <w:rFonts w:hint="eastAsia" w:ascii="宋体" w:hAnsi="宋体" w:eastAsia="宋体" w:cs="宋体"/>
          <w:szCs w:val="21"/>
        </w:rPr>
      </w:pPr>
      <w:r>
        <w:rPr>
          <w:rFonts w:hint="eastAsia" w:ascii="宋体" w:hAnsi="宋体" w:eastAsia="宋体" w:cs="宋体"/>
          <w:szCs w:val="21"/>
        </w:rPr>
        <w:t xml:space="preserve">2.3.6  </w:t>
      </w:r>
      <w:r>
        <w:rPr>
          <w:rFonts w:hint="eastAsia" w:ascii="宋体" w:hAnsi="宋体" w:eastAsia="宋体" w:cs="宋体"/>
          <w:bCs/>
          <w:szCs w:val="21"/>
        </w:rPr>
        <w:t>抽出式塑壳断路器，在分闸后，即使断路器上口带电，也能直接或借助于工具安全地将断路器本体从断路器固定装置上移除。</w:t>
      </w:r>
      <w:r>
        <w:rPr>
          <w:rFonts w:hint="eastAsia" w:ascii="宋体" w:hAnsi="宋体" w:eastAsia="宋体" w:cs="宋体"/>
          <w:szCs w:val="21"/>
        </w:rPr>
        <w:t xml:space="preserve">  </w:t>
      </w:r>
    </w:p>
    <w:p w14:paraId="65815CF4">
      <w:pPr>
        <w:rPr>
          <w:rFonts w:hint="eastAsia" w:ascii="宋体" w:hAnsi="宋体" w:eastAsia="宋体" w:cs="宋体"/>
        </w:rPr>
      </w:pPr>
      <w:r>
        <w:rPr>
          <w:rFonts w:hint="eastAsia" w:ascii="宋体" w:hAnsi="宋体" w:eastAsia="宋体" w:cs="宋体"/>
        </w:rPr>
        <w:t>2.4　电流互感器</w:t>
      </w:r>
    </w:p>
    <w:p w14:paraId="49BF7D22">
      <w:pPr>
        <w:topLinePunct/>
        <w:spacing w:line="320" w:lineRule="exact"/>
        <w:rPr>
          <w:rFonts w:hint="eastAsia" w:ascii="宋体" w:hAnsi="宋体" w:eastAsia="宋体" w:cs="宋体"/>
          <w:bCs/>
          <w:szCs w:val="21"/>
        </w:rPr>
      </w:pPr>
      <w:r>
        <w:rPr>
          <w:rFonts w:hint="eastAsia" w:ascii="宋体" w:hAnsi="宋体" w:eastAsia="宋体" w:cs="宋体"/>
          <w:szCs w:val="21"/>
        </w:rPr>
        <w:t xml:space="preserve">    采用环氧树脂浇铸或塑壳式（塑壳式材质应具有阻燃性能），所有端子及紧固件应有足够的机械强度和良好的导电接触，有可靠的防腐镀层。</w:t>
      </w:r>
    </w:p>
    <w:p w14:paraId="40845AE6">
      <w:pPr>
        <w:rPr>
          <w:rFonts w:hint="eastAsia" w:ascii="宋体" w:hAnsi="宋体" w:eastAsia="宋体" w:cs="宋体"/>
          <w:szCs w:val="24"/>
        </w:rPr>
      </w:pPr>
      <w:r>
        <w:rPr>
          <w:rFonts w:hint="eastAsia" w:ascii="宋体" w:hAnsi="宋体" w:eastAsia="宋体" w:cs="宋体"/>
        </w:rPr>
        <w:t>2.5</w:t>
      </w:r>
      <w:r>
        <w:rPr>
          <w:rFonts w:hint="eastAsia" w:ascii="宋体" w:hAnsi="宋体" w:eastAsia="宋体" w:cs="宋体"/>
          <w:szCs w:val="24"/>
        </w:rPr>
        <w:t xml:space="preserve"> 电路</w:t>
      </w:r>
    </w:p>
    <w:p w14:paraId="2E50BC76">
      <w:pPr>
        <w:topLinePunct/>
        <w:spacing w:line="320" w:lineRule="exact"/>
        <w:rPr>
          <w:rFonts w:hint="eastAsia" w:ascii="宋体" w:hAnsi="宋体" w:eastAsia="宋体" w:cs="宋体"/>
          <w:szCs w:val="21"/>
        </w:rPr>
      </w:pPr>
      <w:r>
        <w:rPr>
          <w:rFonts w:hint="eastAsia" w:ascii="宋体" w:hAnsi="宋体" w:eastAsia="宋体" w:cs="宋体"/>
          <w:szCs w:val="21"/>
        </w:rPr>
        <w:t>2.2.1 主电路</w:t>
      </w:r>
    </w:p>
    <w:p w14:paraId="1D2C9192">
      <w:pPr>
        <w:topLinePunct/>
        <w:spacing w:line="320" w:lineRule="exact"/>
        <w:rPr>
          <w:rFonts w:hint="eastAsia" w:ascii="宋体" w:hAnsi="宋体" w:eastAsia="宋体" w:cs="宋体"/>
          <w:bCs/>
          <w:szCs w:val="21"/>
        </w:rPr>
      </w:pPr>
      <w:r>
        <w:rPr>
          <w:rFonts w:hint="eastAsia" w:ascii="宋体" w:hAnsi="宋体" w:eastAsia="宋体" w:cs="宋体"/>
          <w:bCs/>
          <w:szCs w:val="21"/>
        </w:rPr>
        <w:t>1）各断路器主电路的导体和串联元件，应充分考虑各元件的参数配合。各元件的额定电流、额定短时耐受电流、额定峰值耐受电流应满足本技术条件的要求。</w:t>
      </w:r>
    </w:p>
    <w:p w14:paraId="1DD1B8CF">
      <w:pPr>
        <w:topLinePunct/>
        <w:spacing w:line="320" w:lineRule="exact"/>
        <w:rPr>
          <w:rFonts w:hint="eastAsia" w:ascii="宋体" w:hAnsi="宋体" w:eastAsia="宋体" w:cs="宋体"/>
          <w:bCs/>
          <w:szCs w:val="21"/>
        </w:rPr>
      </w:pPr>
      <w:r>
        <w:rPr>
          <w:rFonts w:hint="eastAsia" w:ascii="宋体" w:hAnsi="宋体" w:eastAsia="宋体" w:cs="宋体"/>
          <w:bCs/>
          <w:szCs w:val="21"/>
        </w:rPr>
        <w:t>2）短路保护元件在额定的参数范围内，应能可靠地分断短路电流。</w:t>
      </w:r>
    </w:p>
    <w:p w14:paraId="194853D5">
      <w:pPr>
        <w:topLinePunct/>
        <w:spacing w:line="320" w:lineRule="exact"/>
        <w:rPr>
          <w:rFonts w:hint="eastAsia" w:ascii="宋体" w:hAnsi="宋体" w:eastAsia="宋体" w:cs="宋体"/>
          <w:bCs/>
          <w:szCs w:val="21"/>
        </w:rPr>
      </w:pPr>
      <w:r>
        <w:rPr>
          <w:rFonts w:hint="eastAsia" w:ascii="宋体" w:hAnsi="宋体" w:eastAsia="宋体" w:cs="宋体"/>
          <w:bCs/>
          <w:szCs w:val="21"/>
        </w:rPr>
        <w:t>3）装置内短路保护元件的动作值应具有选择性。</w:t>
      </w:r>
    </w:p>
    <w:p w14:paraId="73E1CF5A">
      <w:pPr>
        <w:topLinePunct/>
        <w:spacing w:line="320" w:lineRule="exact"/>
        <w:rPr>
          <w:rFonts w:hint="eastAsia" w:ascii="宋体" w:hAnsi="宋体" w:eastAsia="宋体" w:cs="宋体"/>
          <w:bCs/>
          <w:szCs w:val="21"/>
        </w:rPr>
      </w:pPr>
      <w:r>
        <w:rPr>
          <w:rFonts w:hint="eastAsia" w:ascii="宋体" w:hAnsi="宋体" w:eastAsia="宋体" w:cs="宋体"/>
          <w:bCs/>
          <w:szCs w:val="21"/>
        </w:rPr>
        <w:t xml:space="preserve">4) </w:t>
      </w:r>
      <w:r>
        <w:rPr>
          <w:rFonts w:hint="eastAsia" w:ascii="宋体" w:hAnsi="宋体" w:eastAsia="宋体" w:cs="宋体"/>
        </w:rPr>
        <w:t>电容器回路的过流或速断保护器件额定电流按电容器额定电流的1.5倍选取，动作定值按计算数值整定。</w:t>
      </w:r>
    </w:p>
    <w:p w14:paraId="1845BBDE">
      <w:pPr>
        <w:topLinePunct/>
        <w:spacing w:line="320" w:lineRule="exact"/>
        <w:rPr>
          <w:rFonts w:hint="eastAsia" w:ascii="宋体" w:hAnsi="宋体" w:eastAsia="宋体" w:cs="宋体"/>
          <w:szCs w:val="21"/>
        </w:rPr>
      </w:pPr>
      <w:r>
        <w:rPr>
          <w:rFonts w:hint="eastAsia" w:ascii="宋体" w:hAnsi="宋体" w:eastAsia="宋体" w:cs="宋体"/>
          <w:szCs w:val="21"/>
        </w:rPr>
        <w:t>2.2.2 辅助电路</w:t>
      </w:r>
    </w:p>
    <w:p w14:paraId="7A10EF23">
      <w:pPr>
        <w:topLinePunct/>
        <w:spacing w:line="320" w:lineRule="exact"/>
        <w:rPr>
          <w:rFonts w:hint="eastAsia" w:ascii="宋体" w:hAnsi="宋体" w:eastAsia="宋体" w:cs="宋体"/>
          <w:bCs/>
          <w:szCs w:val="21"/>
        </w:rPr>
      </w:pPr>
      <w:r>
        <w:rPr>
          <w:rFonts w:hint="eastAsia" w:ascii="宋体" w:hAnsi="宋体" w:eastAsia="宋体" w:cs="宋体"/>
          <w:bCs/>
          <w:szCs w:val="21"/>
        </w:rPr>
        <w:t>1）用于控制、测量、信号、调节、数据处理等辅助电路的设计应采用电源接地系统，并保证接地故障或带电部件和裸露导电部件之间的故障不会引起误动作。</w:t>
      </w:r>
    </w:p>
    <w:p w14:paraId="1D23517F">
      <w:pPr>
        <w:topLinePunct/>
        <w:spacing w:line="320" w:lineRule="exact"/>
        <w:rPr>
          <w:rFonts w:hint="eastAsia" w:ascii="宋体" w:hAnsi="宋体" w:eastAsia="宋体" w:cs="宋体"/>
          <w:bCs/>
          <w:szCs w:val="21"/>
        </w:rPr>
      </w:pPr>
      <w:r>
        <w:rPr>
          <w:rFonts w:hint="eastAsia" w:ascii="宋体" w:hAnsi="宋体" w:eastAsia="宋体" w:cs="宋体"/>
          <w:bCs/>
          <w:szCs w:val="21"/>
        </w:rPr>
        <w:t>2）辅助电路应装设保护元件，如果与主电路连接，则保护元件的短路分断能力应与主电路保护元件相同；</w:t>
      </w:r>
    </w:p>
    <w:p w14:paraId="2D020ABA">
      <w:pPr>
        <w:topLinePunct/>
        <w:spacing w:line="320" w:lineRule="exact"/>
        <w:rPr>
          <w:rFonts w:hint="eastAsia" w:ascii="宋体" w:hAnsi="宋体" w:eastAsia="宋体" w:cs="宋体"/>
          <w:bCs/>
          <w:szCs w:val="21"/>
        </w:rPr>
      </w:pPr>
      <w:r>
        <w:rPr>
          <w:rFonts w:hint="eastAsia" w:ascii="宋体" w:hAnsi="宋体" w:eastAsia="宋体" w:cs="宋体"/>
          <w:bCs/>
          <w:szCs w:val="21"/>
        </w:rPr>
        <w:t>3）辅助设备（仪表、继电器等）应能承受开关分、合闸产生的振动，而不会发生误动作；</w:t>
      </w:r>
    </w:p>
    <w:p w14:paraId="4EC7F937">
      <w:pPr>
        <w:rPr>
          <w:rFonts w:hint="eastAsia" w:ascii="宋体" w:hAnsi="宋体" w:eastAsia="宋体" w:cs="宋体"/>
          <w:bCs/>
          <w:szCs w:val="21"/>
        </w:rPr>
      </w:pPr>
      <w:r>
        <w:rPr>
          <w:rFonts w:hint="eastAsia" w:ascii="宋体" w:hAnsi="宋体" w:eastAsia="宋体" w:cs="宋体"/>
          <w:bCs/>
          <w:szCs w:val="21"/>
        </w:rPr>
        <w:t>4）辅助电路、辅助设备的接线应有适当的保护，以防来自主电路意外燃弧的损坏。</w:t>
      </w:r>
    </w:p>
    <w:p w14:paraId="3D6C9ABA">
      <w:pPr>
        <w:rPr>
          <w:rFonts w:hint="eastAsia" w:ascii="宋体" w:hAnsi="宋体" w:eastAsia="宋体" w:cs="宋体"/>
          <w:szCs w:val="24"/>
        </w:rPr>
      </w:pPr>
      <w:r>
        <w:rPr>
          <w:rFonts w:hint="eastAsia" w:ascii="宋体" w:hAnsi="宋体" w:eastAsia="宋体" w:cs="宋体"/>
        </w:rPr>
        <w:t xml:space="preserve">2.6 </w:t>
      </w:r>
      <w:r>
        <w:rPr>
          <w:rFonts w:hint="eastAsia" w:ascii="宋体" w:hAnsi="宋体" w:eastAsia="宋体" w:cs="宋体"/>
          <w:szCs w:val="24"/>
        </w:rPr>
        <w:t>电气间隙、爬电距离和间隔距离</w:t>
      </w:r>
    </w:p>
    <w:p w14:paraId="53746C3A">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2.6.1 </w:t>
      </w:r>
      <w:r>
        <w:rPr>
          <w:rFonts w:hint="eastAsia" w:ascii="宋体" w:hAnsi="宋体" w:eastAsia="宋体" w:cs="宋体"/>
          <w:bCs/>
          <w:szCs w:val="21"/>
        </w:rPr>
        <w:t>主母线、配电母线、分支母线和主电路插接件带电部分之间以及带电部分与接地金属构件之间的电气间隙应满足相关标准要求。</w:t>
      </w:r>
    </w:p>
    <w:p w14:paraId="5DC6B665">
      <w:pPr>
        <w:topLinePunct/>
        <w:spacing w:line="320" w:lineRule="exact"/>
        <w:rPr>
          <w:rFonts w:hint="eastAsia" w:ascii="宋体" w:hAnsi="宋体" w:eastAsia="宋体" w:cs="宋体"/>
          <w:bCs/>
          <w:szCs w:val="21"/>
        </w:rPr>
      </w:pPr>
      <w:r>
        <w:rPr>
          <w:rFonts w:hint="eastAsia" w:ascii="宋体" w:hAnsi="宋体" w:eastAsia="宋体" w:cs="宋体"/>
          <w:szCs w:val="21"/>
        </w:rPr>
        <w:t xml:space="preserve">2.6.2 </w:t>
      </w:r>
      <w:r>
        <w:rPr>
          <w:rFonts w:hint="eastAsia" w:ascii="宋体" w:hAnsi="宋体" w:eastAsia="宋体" w:cs="宋体"/>
          <w:bCs/>
          <w:szCs w:val="21"/>
        </w:rPr>
        <w:t>断路器处于分离位置时，断路器本体的插接件与配电母线（或静触头）的间隔距离应不小于25mm。即使机械寿命到期后亦应保持此距离。</w:t>
      </w:r>
    </w:p>
    <w:p w14:paraId="20030069">
      <w:pPr>
        <w:rPr>
          <w:rFonts w:hint="eastAsia" w:ascii="宋体" w:hAnsi="宋体" w:eastAsia="宋体" w:cs="宋体"/>
        </w:rPr>
      </w:pPr>
      <w:r>
        <w:rPr>
          <w:rFonts w:hint="eastAsia" w:ascii="宋体" w:hAnsi="宋体" w:eastAsia="宋体" w:cs="宋体"/>
          <w:szCs w:val="21"/>
        </w:rPr>
        <w:t>2.7.</w:t>
      </w:r>
      <w:r>
        <w:rPr>
          <w:rFonts w:hint="eastAsia" w:ascii="宋体" w:hAnsi="宋体" w:eastAsia="宋体" w:cs="宋体"/>
        </w:rPr>
        <w:t>无功补偿技术要求</w:t>
      </w:r>
    </w:p>
    <w:p w14:paraId="45CF25B2">
      <w:pPr>
        <w:topLinePunct/>
        <w:spacing w:line="312" w:lineRule="exact"/>
        <w:rPr>
          <w:rFonts w:hint="eastAsia" w:ascii="宋体" w:hAnsi="宋体" w:eastAsia="宋体" w:cs="宋体"/>
          <w:bCs/>
          <w:szCs w:val="21"/>
        </w:rPr>
      </w:pPr>
      <w:r>
        <w:rPr>
          <w:rFonts w:hint="eastAsia" w:ascii="宋体" w:hAnsi="宋体" w:eastAsia="宋体" w:cs="宋体"/>
          <w:szCs w:val="21"/>
        </w:rPr>
        <w:t>2.7.1</w:t>
      </w:r>
      <w:r>
        <w:rPr>
          <w:rFonts w:hint="eastAsia" w:ascii="宋体" w:hAnsi="宋体" w:eastAsia="宋体" w:cs="宋体"/>
          <w:bCs/>
          <w:szCs w:val="21"/>
        </w:rPr>
        <w:t>　</w:t>
      </w:r>
      <w:r>
        <w:rPr>
          <w:rFonts w:hint="eastAsia" w:ascii="宋体" w:hAnsi="宋体" w:eastAsia="宋体" w:cs="宋体"/>
          <w:szCs w:val="21"/>
        </w:rPr>
        <w:t>并联电容器装置技术条件应满足DL/T 842的要求。电容器应选用自愈电容器，装置的电容与额定电容之差应在装置额定电容的0～＋10%范围内，装置任何两进线端之间的电容最大值与最小值之比不应大于1.08。</w:t>
      </w:r>
    </w:p>
    <w:p w14:paraId="4BE60184">
      <w:pPr>
        <w:topLinePunct/>
        <w:spacing w:line="312" w:lineRule="exact"/>
        <w:rPr>
          <w:rFonts w:hint="eastAsia" w:ascii="宋体" w:hAnsi="宋体" w:eastAsia="宋体" w:cs="宋体"/>
          <w:szCs w:val="21"/>
        </w:rPr>
      </w:pPr>
      <w:r>
        <w:rPr>
          <w:rFonts w:hint="eastAsia" w:ascii="宋体" w:hAnsi="宋体" w:eastAsia="宋体" w:cs="宋体"/>
          <w:szCs w:val="21"/>
        </w:rPr>
        <w:t>2.7.2</w:t>
      </w:r>
      <w:r>
        <w:rPr>
          <w:rFonts w:hint="eastAsia" w:ascii="宋体" w:hAnsi="宋体" w:eastAsia="宋体" w:cs="宋体"/>
          <w:bCs/>
          <w:szCs w:val="21"/>
        </w:rPr>
        <w:t>　</w:t>
      </w:r>
      <w:r>
        <w:rPr>
          <w:rFonts w:hint="eastAsia" w:ascii="宋体" w:hAnsi="宋体" w:eastAsia="宋体" w:cs="宋体"/>
          <w:szCs w:val="21"/>
        </w:rPr>
        <w:t>并联电容器装置采用自动分步补偿电容的方式，其中三相共补用于补偿三相平衡的无功缺额，分相分补用于补偿三相不平衡部分的无功缺额。三相共补与分相分补的配置应该灵活方便，电容器投切遵循“合适优先、三相优先、先投先切、均衡使用”的原则。</w:t>
      </w:r>
    </w:p>
    <w:p w14:paraId="3D2CC3BB">
      <w:pPr>
        <w:topLinePunct/>
        <w:spacing w:line="312" w:lineRule="exact"/>
        <w:rPr>
          <w:rFonts w:hint="eastAsia" w:ascii="宋体" w:hAnsi="宋体" w:eastAsia="宋体" w:cs="宋体"/>
          <w:szCs w:val="21"/>
        </w:rPr>
      </w:pPr>
      <w:r>
        <w:rPr>
          <w:rFonts w:hint="eastAsia" w:ascii="宋体" w:hAnsi="宋体" w:eastAsia="宋体" w:cs="宋体"/>
          <w:szCs w:val="21"/>
        </w:rPr>
        <w:t>2.7.3　无功补偿控制器</w:t>
      </w:r>
    </w:p>
    <w:p w14:paraId="22E3FC21">
      <w:pPr>
        <w:topLinePunct/>
        <w:spacing w:line="312" w:lineRule="exact"/>
        <w:ind w:firstLine="420" w:firstLineChars="200"/>
        <w:rPr>
          <w:rFonts w:hint="eastAsia" w:ascii="宋体" w:hAnsi="宋体" w:eastAsia="宋体" w:cs="宋体"/>
          <w:szCs w:val="21"/>
        </w:rPr>
      </w:pPr>
      <w:r>
        <w:rPr>
          <w:rFonts w:hint="eastAsia" w:ascii="宋体" w:hAnsi="宋体" w:eastAsia="宋体" w:cs="宋体"/>
          <w:szCs w:val="21"/>
        </w:rPr>
        <w:t>控制器的技术条件应满足DL/T 597的要求。所有的电子元件应按照有关标准进行100%的老化筛选，控制器平均无故障工作时间≥10000h；控制物理量为功率因数的控制器，动作误差应在2%～＋2%之间；控制物理量为无功功率或无功电流的控制器，动作误差应在20%～＋20%之间。无功补偿控制器提供有效合格的CQC证书、EMC证书。控制器的输出路数满足项目单位的应用需求。</w:t>
      </w:r>
    </w:p>
    <w:p w14:paraId="19BDE6C2">
      <w:pPr>
        <w:topLinePunct/>
        <w:spacing w:line="312" w:lineRule="exact"/>
        <w:rPr>
          <w:rFonts w:hint="eastAsia" w:ascii="宋体" w:hAnsi="宋体" w:eastAsia="宋体" w:cs="宋体"/>
          <w:szCs w:val="21"/>
        </w:rPr>
      </w:pPr>
      <w:r>
        <w:rPr>
          <w:rFonts w:hint="eastAsia" w:ascii="宋体" w:hAnsi="宋体" w:eastAsia="宋体" w:cs="宋体"/>
          <w:szCs w:val="21"/>
        </w:rPr>
        <w:t>1）数据存储功能</w:t>
      </w:r>
    </w:p>
    <w:p w14:paraId="3DB03397">
      <w:pPr>
        <w:ind w:firstLine="420" w:firstLineChars="200"/>
        <w:rPr>
          <w:rFonts w:hint="eastAsia" w:ascii="宋体" w:hAnsi="宋体" w:eastAsia="宋体" w:cs="宋体"/>
          <w:szCs w:val="21"/>
        </w:rPr>
      </w:pPr>
      <w:r>
        <w:rPr>
          <w:rFonts w:hint="eastAsia" w:ascii="宋体" w:hAnsi="宋体" w:eastAsia="宋体" w:cs="宋体"/>
          <w:szCs w:val="21"/>
        </w:rPr>
        <w:t>a) 要求装置具备对最近半年相关运行数据进行存储的功能，存储的数据类型和方式如下：补偿后系统A\B\C单相功率因数（每天记录一次最大值、最小值和平均值）、负载A\B\C单相功率因数（每天记录一次最大值、最小值和平均值）、补偿后系统A\B\C单相无功功率（每天记录一次最大值、最小值和平均值）、系统A\B\C单相有功功率（每天记录一次最大值、最小值和平均值）、u（一天累计数记录一次）、装置运行事件（含故障事件记录，至少记录最近100条）。</w:t>
      </w:r>
    </w:p>
    <w:p w14:paraId="78BBA0B0">
      <w:pPr>
        <w:ind w:firstLine="420" w:firstLineChars="200"/>
        <w:rPr>
          <w:rFonts w:hint="eastAsia" w:ascii="宋体" w:hAnsi="宋体" w:eastAsia="宋体" w:cs="宋体"/>
          <w:szCs w:val="21"/>
        </w:rPr>
      </w:pPr>
      <w:r>
        <w:rPr>
          <w:rFonts w:hint="eastAsia" w:ascii="宋体" w:hAnsi="宋体" w:eastAsia="宋体" w:cs="宋体"/>
          <w:szCs w:val="21"/>
        </w:rPr>
        <w:t>b)要求装置具备现场通过人机界面查看，查看方式应可以采用数据列表和曲线图形。</w:t>
      </w:r>
    </w:p>
    <w:p w14:paraId="31953FFC">
      <w:pPr>
        <w:topLinePunct/>
        <w:ind w:firstLine="420" w:firstLineChars="200"/>
        <w:rPr>
          <w:rFonts w:hint="eastAsia" w:ascii="宋体" w:hAnsi="宋体" w:eastAsia="宋体" w:cs="宋体"/>
          <w:szCs w:val="21"/>
        </w:rPr>
      </w:pPr>
      <w:r>
        <w:rPr>
          <w:rFonts w:hint="eastAsia" w:ascii="宋体" w:hAnsi="宋体" w:eastAsia="宋体" w:cs="宋体"/>
          <w:szCs w:val="21"/>
        </w:rPr>
        <w:t>c)要求装置具备现场通过U盘下载，下载后数据应可以在PC机上进行查看和使用。</w:t>
      </w:r>
    </w:p>
    <w:p w14:paraId="0D1D3F2D">
      <w:pPr>
        <w:topLinePunct/>
        <w:rPr>
          <w:rFonts w:hint="eastAsia" w:ascii="宋体" w:hAnsi="宋体" w:eastAsia="宋体" w:cs="宋体"/>
          <w:szCs w:val="21"/>
        </w:rPr>
      </w:pPr>
      <w:r>
        <w:rPr>
          <w:rFonts w:hint="eastAsia" w:ascii="宋体" w:hAnsi="宋体" w:eastAsia="宋体" w:cs="宋体"/>
          <w:szCs w:val="21"/>
        </w:rPr>
        <w:t>2）通信功能</w:t>
      </w:r>
    </w:p>
    <w:p w14:paraId="50086CAB">
      <w:pPr>
        <w:ind w:firstLine="420" w:firstLineChars="200"/>
        <w:rPr>
          <w:rFonts w:hint="eastAsia" w:ascii="宋体" w:hAnsi="宋体" w:eastAsia="宋体" w:cs="宋体"/>
          <w:szCs w:val="21"/>
        </w:rPr>
      </w:pPr>
      <w:r>
        <w:rPr>
          <w:rFonts w:hint="eastAsia" w:ascii="宋体" w:hAnsi="宋体" w:eastAsia="宋体" w:cs="宋体"/>
          <w:szCs w:val="21"/>
        </w:rPr>
        <w:t>d)装置配置USB及RS-485总线式通信接口，可以实现就地抄录，实现与其他单元设备进行信息交换；</w:t>
      </w:r>
    </w:p>
    <w:p w14:paraId="32C9E2B7">
      <w:pPr>
        <w:ind w:firstLine="420" w:firstLineChars="200"/>
        <w:rPr>
          <w:rFonts w:hint="eastAsia" w:ascii="宋体" w:hAnsi="宋体" w:eastAsia="宋体" w:cs="宋体"/>
          <w:szCs w:val="21"/>
        </w:rPr>
      </w:pPr>
      <w:r>
        <w:rPr>
          <w:rFonts w:hint="eastAsia" w:ascii="宋体" w:hAnsi="宋体" w:eastAsia="宋体" w:cs="宋体"/>
          <w:szCs w:val="21"/>
        </w:rPr>
        <w:t>e)低压电容器投退信息、自诊断发现故障时信息、运行告警等信号能够通过通信装置传送给运行值班人员；</w:t>
      </w:r>
    </w:p>
    <w:p w14:paraId="5FA18802">
      <w:pPr>
        <w:topLinePunct/>
        <w:ind w:firstLine="420" w:firstLineChars="200"/>
        <w:rPr>
          <w:rFonts w:hint="eastAsia" w:ascii="宋体" w:hAnsi="宋体" w:eastAsia="宋体" w:cs="宋体"/>
          <w:szCs w:val="21"/>
        </w:rPr>
      </w:pPr>
      <w:r>
        <w:rPr>
          <w:rFonts w:hint="eastAsia" w:ascii="宋体" w:hAnsi="宋体" w:eastAsia="宋体" w:cs="宋体"/>
          <w:szCs w:val="21"/>
        </w:rPr>
        <w:t>f)电容器装置的使用条件、外观结构、安全要求和元器件要求参照DL/T842-2003 低压并联电容器装置使用技术条件。在设计运行条件下，无功补偿装置用的电容器的使用寿命应不小于10万小时。</w:t>
      </w:r>
    </w:p>
    <w:p w14:paraId="492D1F1A">
      <w:pPr>
        <w:topLinePunct/>
        <w:spacing w:line="312" w:lineRule="exact"/>
        <w:rPr>
          <w:rFonts w:hint="eastAsia" w:ascii="宋体" w:hAnsi="宋体" w:eastAsia="宋体" w:cs="宋体"/>
          <w:szCs w:val="21"/>
        </w:rPr>
      </w:pPr>
      <w:r>
        <w:rPr>
          <w:rFonts w:hint="eastAsia" w:ascii="宋体" w:hAnsi="宋体" w:eastAsia="宋体" w:cs="宋体"/>
          <w:szCs w:val="21"/>
        </w:rPr>
        <w:t>2.7.4　并联电容器装置功能要求：</w:t>
      </w:r>
    </w:p>
    <w:p w14:paraId="41A480CF">
      <w:pPr>
        <w:topLinePunct/>
        <w:spacing w:line="312" w:lineRule="exact"/>
        <w:ind w:firstLine="420" w:firstLineChars="200"/>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rPr>
        <w:tab/>
      </w:r>
      <w:r>
        <w:rPr>
          <w:rFonts w:hint="eastAsia" w:ascii="宋体" w:hAnsi="宋体" w:eastAsia="宋体" w:cs="宋体"/>
          <w:szCs w:val="21"/>
        </w:rPr>
        <w:t>控制方式及功能：采用集中或分散自动控制模式。自动控制模式根据安装点电压、电流、无功功率或功率因数的变化对电容器组按循环投切或程序投切进行自动控制，并要求实现电压过零时投入，电流过零时切除，以限制电容器投运时的合闸涌流及退运时的燃弧现象。</w:t>
      </w:r>
    </w:p>
    <w:p w14:paraId="636B50F7">
      <w:pPr>
        <w:topLinePunct/>
        <w:spacing w:line="312" w:lineRule="exact"/>
        <w:ind w:firstLine="420" w:firstLineChars="200"/>
        <w:rPr>
          <w:rFonts w:hint="eastAsia" w:ascii="宋体" w:hAnsi="宋体" w:eastAsia="宋体" w:cs="宋体"/>
          <w:szCs w:val="21"/>
        </w:rPr>
      </w:pPr>
      <w:r>
        <w:rPr>
          <w:rFonts w:hint="eastAsia" w:ascii="宋体" w:hAnsi="宋体" w:eastAsia="宋体" w:cs="宋体"/>
          <w:szCs w:val="21"/>
        </w:rPr>
        <w:t>其中普通型电容器控制器显示方式要求采用中文。应具备功率因数表、电流表、电压表、以及指示电容器投退状态指示的功能。主要运行数据的显示：CT变比、控制参数、最高电压、电容器工作电流、电容器工作电压等。普通型电容器使用可控硅复合开关对电容器组的投切进行控制，以目标功率因数为控制的判据，跟踪负荷的变化，投切电容器。在保证电压和功率因数不越限的前提下，以变压器从系统中吸收的无功最小为原则无功设备进行控制。</w:t>
      </w:r>
    </w:p>
    <w:p w14:paraId="510C5201">
      <w:pPr>
        <w:topLinePunct/>
        <w:spacing w:line="312" w:lineRule="exact"/>
        <w:ind w:firstLine="420" w:firstLineChars="200"/>
        <w:rPr>
          <w:rFonts w:hint="eastAsia" w:ascii="宋体" w:hAnsi="宋体" w:eastAsia="宋体" w:cs="宋体"/>
          <w:szCs w:val="21"/>
        </w:rPr>
      </w:pPr>
      <w:r>
        <w:rPr>
          <w:rFonts w:hint="eastAsia" w:ascii="宋体" w:hAnsi="宋体" w:eastAsia="宋体" w:cs="宋体"/>
          <w:szCs w:val="21"/>
        </w:rPr>
        <w:t>智能型电容器控制器的显示方式要求采用中文液晶显示。应具备电压测量转换开关、功率因数表、手动/自动转换开关、电流表、电压表、以及指示电容器投退状态指示的功能。主要运行数据的显示：CT 变比、零相电流、控制参数、最大无功缺额、最高电压、单台电容器运行工况、电容器工作电流、电容器工作电压、电容器体内温度、电容器机号等。智能型电容器可使用可控硅复合开关或电磁式零投切复合开关对电容器组的投切进行控制。</w:t>
      </w:r>
    </w:p>
    <w:p w14:paraId="54952137">
      <w:pPr>
        <w:topLinePunct/>
        <w:spacing w:line="312" w:lineRule="exact"/>
        <w:ind w:firstLine="42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rPr>
        <w:tab/>
      </w:r>
      <w:r>
        <w:rPr>
          <w:rFonts w:hint="eastAsia" w:ascii="宋体" w:hAnsi="宋体" w:eastAsia="宋体" w:cs="宋体"/>
          <w:szCs w:val="21"/>
        </w:rPr>
        <w:t>保护功能：装置的过压保护、失压保护、缺相保护等保护功能应符合DL/T 842的规定要求。过电压动作门限值应在1.1Un以上可调；装置应设有过电流保护功能，动作门限应在1.15In以上可调；装置应具有温度保护功能，当主设备的温度超过温度限值时能够动作，保护主设备不受损坏。装置应具有电压谐波越限保护功能，电压谐波含量可用谐波畸变率表示，谐波畸变率的限值可以进行整定，当系统谐波畸变率超过设定值时，装置可以自动将电容器逐组切除；装置输出回路动作应具有延时动作功能。设置同一个电容器二次投切的间隔时间，保证电容器组防护投切产生造成系统振荡和设备损坏；设置投切延时，躲过电源电压突变脉冲时间；装置应具有振荡闭锁功能。装置同时应具有闭锁报警功能：（1）系统电压大于110%标称值时闭锁控制器投入回路；（2）装置内部发生故障时，闭锁输出回路并报警。</w:t>
      </w:r>
    </w:p>
    <w:p w14:paraId="13CADC95">
      <w:pPr>
        <w:topLinePunct/>
        <w:spacing w:line="312" w:lineRule="exact"/>
        <w:ind w:firstLine="42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rPr>
        <w:tab/>
      </w:r>
      <w:r>
        <w:rPr>
          <w:rFonts w:hint="eastAsia" w:ascii="宋体" w:hAnsi="宋体" w:eastAsia="宋体" w:cs="宋体"/>
          <w:szCs w:val="21"/>
        </w:rPr>
        <w:t>放电性能：每一台电容器组均设有放电器件，应使电容器上的剩余电压在3min内降至50V或更低。</w:t>
      </w:r>
    </w:p>
    <w:p w14:paraId="2E3F2972">
      <w:pPr>
        <w:topLinePunct/>
        <w:spacing w:line="312" w:lineRule="exact"/>
        <w:ind w:firstLine="420"/>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rPr>
        <w:tab/>
      </w:r>
      <w:r>
        <w:rPr>
          <w:rFonts w:hint="eastAsia" w:ascii="宋体" w:hAnsi="宋体" w:eastAsia="宋体" w:cs="宋体"/>
          <w:szCs w:val="21"/>
        </w:rPr>
        <w:t xml:space="preserve">涌流限制：电容器支路中产生的涌流应符合GB/T 15576的规定要求，并应限制在该组电容器额定电流的5倍以下， </w:t>
      </w:r>
    </w:p>
    <w:p w14:paraId="30331895">
      <w:pPr>
        <w:topLinePunct/>
        <w:spacing w:line="312" w:lineRule="exact"/>
        <w:ind w:left="840" w:hanging="420"/>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szCs w:val="21"/>
        </w:rPr>
        <w:tab/>
      </w:r>
      <w:r>
        <w:rPr>
          <w:rFonts w:hint="eastAsia" w:ascii="宋体" w:hAnsi="宋体" w:eastAsia="宋体" w:cs="宋体"/>
          <w:szCs w:val="21"/>
        </w:rPr>
        <w:t>响应时间：应符合GB/T 15576中6.13条的规定要求。</w:t>
      </w:r>
    </w:p>
    <w:p w14:paraId="2164296F">
      <w:pPr>
        <w:topLinePunct/>
        <w:spacing w:line="312" w:lineRule="exact"/>
        <w:rPr>
          <w:rFonts w:hint="eastAsia" w:ascii="宋体" w:hAnsi="宋体" w:eastAsia="宋体" w:cs="宋体"/>
          <w:szCs w:val="21"/>
        </w:rPr>
      </w:pPr>
      <w:r>
        <w:rPr>
          <w:rFonts w:hint="eastAsia" w:ascii="宋体" w:hAnsi="宋体" w:eastAsia="宋体" w:cs="宋体"/>
          <w:szCs w:val="21"/>
        </w:rPr>
        <w:t>2.7.5　密封性能</w:t>
      </w:r>
    </w:p>
    <w:p w14:paraId="4C81C4B6">
      <w:pPr>
        <w:topLinePunct/>
        <w:spacing w:line="312" w:lineRule="exact"/>
        <w:ind w:firstLine="420" w:firstLineChars="200"/>
        <w:rPr>
          <w:rFonts w:hint="eastAsia" w:ascii="宋体" w:hAnsi="宋体" w:eastAsia="宋体" w:cs="宋体"/>
          <w:szCs w:val="21"/>
        </w:rPr>
      </w:pPr>
      <w:r>
        <w:rPr>
          <w:rFonts w:hint="eastAsia" w:ascii="宋体" w:hAnsi="宋体" w:eastAsia="宋体" w:cs="宋体"/>
          <w:szCs w:val="21"/>
        </w:rPr>
        <w:t>电容器单元应足以保证在其各个部位均达到电介质允许最高运行温度后无渗漏。</w:t>
      </w:r>
    </w:p>
    <w:p w14:paraId="4DB28049">
      <w:pPr>
        <w:topLinePunct/>
        <w:spacing w:line="312" w:lineRule="exact"/>
        <w:rPr>
          <w:rFonts w:hint="eastAsia" w:ascii="宋体" w:hAnsi="宋体" w:eastAsia="宋体" w:cs="宋体"/>
          <w:szCs w:val="21"/>
        </w:rPr>
      </w:pPr>
      <w:r>
        <w:rPr>
          <w:rFonts w:hint="eastAsia" w:ascii="宋体" w:hAnsi="宋体" w:eastAsia="宋体" w:cs="宋体"/>
          <w:szCs w:val="21"/>
        </w:rPr>
        <w:t>2.8电磁兼容性</w:t>
      </w:r>
    </w:p>
    <w:p w14:paraId="1FDB14AE">
      <w:pPr>
        <w:topLinePunct/>
        <w:spacing w:line="312" w:lineRule="exact"/>
        <w:ind w:firstLine="420"/>
        <w:rPr>
          <w:rFonts w:hint="eastAsia" w:ascii="宋体" w:hAnsi="宋体" w:eastAsia="宋体" w:cs="宋体"/>
          <w:szCs w:val="21"/>
        </w:rPr>
      </w:pPr>
      <w:r>
        <w:rPr>
          <w:rFonts w:hint="eastAsia" w:ascii="宋体" w:hAnsi="宋体" w:eastAsia="宋体" w:cs="宋体"/>
          <w:szCs w:val="21"/>
        </w:rPr>
        <w:t>装置的电磁兼容性应满足GB/T 17626.2、GB/T 17626.3、GB/T 17626.4、GB/T 17626.5的试验技术要求。</w:t>
      </w:r>
    </w:p>
    <w:p w14:paraId="64E0E81E">
      <w:pPr>
        <w:topLinePunct/>
        <w:spacing w:line="312" w:lineRule="exact"/>
        <w:rPr>
          <w:rFonts w:hint="eastAsia" w:ascii="宋体" w:hAnsi="宋体" w:eastAsia="宋体" w:cs="宋体"/>
          <w:szCs w:val="21"/>
        </w:rPr>
      </w:pPr>
      <w:r>
        <w:rPr>
          <w:rFonts w:hint="eastAsia" w:ascii="宋体" w:hAnsi="宋体" w:eastAsia="宋体" w:cs="宋体"/>
          <w:szCs w:val="21"/>
        </w:rPr>
        <w:t>2.9其它要求</w:t>
      </w:r>
    </w:p>
    <w:p w14:paraId="6E4E59E2">
      <w:pPr>
        <w:topLinePunct/>
        <w:spacing w:line="320" w:lineRule="exact"/>
        <w:rPr>
          <w:rFonts w:hint="eastAsia" w:ascii="宋体" w:hAnsi="宋体" w:eastAsia="宋体" w:cs="宋体"/>
          <w:bCs/>
          <w:szCs w:val="21"/>
        </w:rPr>
      </w:pPr>
      <w:r>
        <w:rPr>
          <w:rFonts w:hint="eastAsia" w:ascii="宋体" w:hAnsi="宋体" w:eastAsia="宋体" w:cs="宋体"/>
          <w:szCs w:val="21"/>
        </w:rPr>
        <w:t>2.9.1</w:t>
      </w:r>
      <w:r>
        <w:rPr>
          <w:rFonts w:hint="eastAsia" w:ascii="宋体" w:hAnsi="宋体" w:eastAsia="宋体" w:cs="宋体"/>
          <w:bCs/>
          <w:szCs w:val="21"/>
        </w:rPr>
        <w:t>对组件的要求：同型号产品内额定值和结构相同的组件安装与柜内应能互换。装于开关柜内的各组件应符合各自的技术标准。</w:t>
      </w:r>
    </w:p>
    <w:p w14:paraId="368558CA">
      <w:pPr>
        <w:topLinePunct/>
        <w:spacing w:line="312" w:lineRule="exact"/>
        <w:rPr>
          <w:rFonts w:hint="eastAsia" w:ascii="宋体" w:hAnsi="宋体" w:eastAsia="宋体" w:cs="宋体"/>
          <w:szCs w:val="21"/>
        </w:rPr>
      </w:pPr>
      <w:r>
        <w:rPr>
          <w:rFonts w:hint="eastAsia" w:ascii="宋体" w:hAnsi="宋体" w:eastAsia="宋体" w:cs="宋体"/>
          <w:szCs w:val="21"/>
        </w:rPr>
        <w:t>2.9.2铰链</w:t>
      </w:r>
    </w:p>
    <w:p w14:paraId="71045E16">
      <w:pPr>
        <w:topLinePunct/>
        <w:spacing w:line="320" w:lineRule="exact"/>
        <w:ind w:firstLine="420" w:firstLineChars="200"/>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bCs/>
          <w:szCs w:val="21"/>
        </w:rPr>
        <w:t>门的铰链应采用表面经过防腐处理的铅锌合金制铰链或铸钢静电环氧喷涂，并选用优质橡胶材料做为门板的密封材料。铰链的轴和套应配合紧密并分别牢固地固定在门及装置的壳体支架上，同时保证防护等级的要求。</w:t>
      </w:r>
    </w:p>
    <w:p w14:paraId="4B5B2AD6">
      <w:pPr>
        <w:topLinePunct/>
        <w:spacing w:line="320" w:lineRule="exact"/>
        <w:ind w:firstLine="420" w:firstLineChars="20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bCs/>
          <w:szCs w:val="21"/>
        </w:rPr>
        <w:t>对开门的高度（安装铰链边）小于1000mm时，设两个铰链。门的高度≥1000mm时，应设三个铰链。</w:t>
      </w:r>
    </w:p>
    <w:p w14:paraId="7C43A6FF">
      <w:pPr>
        <w:topLinePunct/>
        <w:spacing w:line="320" w:lineRule="exact"/>
        <w:ind w:firstLine="420" w:firstLineChars="20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bCs/>
          <w:szCs w:val="21"/>
        </w:rPr>
        <w:t>单开门的高度（安装铰链边）小于600mm时，设两个铰链。门的高度≥600mm时，应设三个铰链；</w:t>
      </w:r>
    </w:p>
    <w:p w14:paraId="4CB9FB9D">
      <w:pPr>
        <w:topLinePunct/>
        <w:spacing w:line="320" w:lineRule="exact"/>
        <w:ind w:firstLine="420" w:firstLineChars="200"/>
        <w:rPr>
          <w:rFonts w:hint="eastAsia" w:ascii="宋体" w:hAnsi="宋体" w:eastAsia="宋体" w:cs="宋体"/>
          <w:bCs/>
          <w:szCs w:val="21"/>
        </w:rPr>
      </w:pPr>
      <w:r>
        <w:rPr>
          <w:rFonts w:hint="eastAsia" w:ascii="宋体" w:hAnsi="宋体" w:eastAsia="宋体" w:cs="宋体"/>
          <w:szCs w:val="21"/>
        </w:rPr>
        <w:t>4)</w:t>
      </w:r>
      <w:r>
        <w:rPr>
          <w:rFonts w:hint="eastAsia" w:ascii="宋体" w:hAnsi="宋体" w:eastAsia="宋体" w:cs="宋体"/>
          <w:bCs/>
          <w:szCs w:val="21"/>
        </w:rPr>
        <w:t>门的开启角度≥120度（允许±5°公差）。</w:t>
      </w:r>
    </w:p>
    <w:p w14:paraId="464511DD">
      <w:pPr>
        <w:topLinePunct/>
        <w:spacing w:line="312" w:lineRule="exact"/>
        <w:rPr>
          <w:rFonts w:hint="eastAsia" w:ascii="宋体" w:hAnsi="宋体" w:eastAsia="宋体" w:cs="宋体"/>
          <w:szCs w:val="21"/>
        </w:rPr>
      </w:pPr>
      <w:bookmarkStart w:id="55" w:name="_Toc363381650"/>
      <w:bookmarkStart w:id="56" w:name="_Toc358552337"/>
      <w:bookmarkStart w:id="57" w:name="_Toc358552375"/>
      <w:bookmarkStart w:id="58" w:name="_Toc363243289"/>
      <w:bookmarkStart w:id="59" w:name="_Toc363387107"/>
      <w:r>
        <w:rPr>
          <w:rFonts w:hint="eastAsia" w:ascii="宋体" w:hAnsi="宋体" w:eastAsia="宋体" w:cs="宋体"/>
          <w:szCs w:val="21"/>
        </w:rPr>
        <w:t>2.10 标志</w:t>
      </w:r>
      <w:bookmarkEnd w:id="55"/>
      <w:bookmarkEnd w:id="56"/>
      <w:bookmarkEnd w:id="57"/>
      <w:bookmarkEnd w:id="58"/>
      <w:bookmarkEnd w:id="59"/>
      <w:r>
        <w:rPr>
          <w:rFonts w:hint="eastAsia" w:ascii="宋体" w:hAnsi="宋体" w:eastAsia="宋体" w:cs="宋体"/>
          <w:szCs w:val="21"/>
        </w:rPr>
        <w:t>及名牌</w:t>
      </w:r>
    </w:p>
    <w:p w14:paraId="031CC433">
      <w:pPr>
        <w:pStyle w:val="40"/>
        <w:numPr>
          <w:ilvl w:val="0"/>
          <w:numId w:val="0"/>
        </w:numPr>
        <w:spacing w:beforeLines="0" w:afterLines="0"/>
        <w:rPr>
          <w:rFonts w:hint="eastAsia" w:ascii="宋体" w:hAnsi="宋体" w:eastAsia="宋体" w:cs="宋体"/>
          <w:sz w:val="32"/>
          <w:szCs w:val="32"/>
        </w:rPr>
      </w:pPr>
      <w:bookmarkStart w:id="60" w:name="_Toc363381651"/>
      <w:bookmarkStart w:id="61" w:name="_Toc363243290"/>
      <w:r>
        <w:rPr>
          <w:rFonts w:hint="eastAsia" w:ascii="宋体" w:hAnsi="宋体" w:eastAsia="宋体" w:cs="宋体"/>
        </w:rPr>
        <w:t>2.</w:t>
      </w:r>
      <w:r>
        <w:rPr>
          <w:rFonts w:hint="eastAsia" w:ascii="宋体" w:hAnsi="宋体" w:eastAsia="宋体" w:cs="宋体"/>
          <w:kern w:val="2"/>
        </w:rPr>
        <w:t>10.1标志</w:t>
      </w:r>
      <w:bookmarkEnd w:id="60"/>
      <w:bookmarkEnd w:id="61"/>
    </w:p>
    <w:p w14:paraId="7D9B2466">
      <w:pPr>
        <w:pStyle w:val="33"/>
        <w:tabs>
          <w:tab w:val="center" w:pos="4201"/>
          <w:tab w:val="right" w:leader="dot" w:pos="9298"/>
        </w:tabs>
        <w:rPr>
          <w:rFonts w:hint="eastAsia" w:ascii="宋体" w:hAnsi="宋体" w:eastAsia="宋体" w:cs="宋体"/>
        </w:rPr>
      </w:pPr>
      <w:r>
        <w:rPr>
          <w:rFonts w:hint="eastAsia" w:ascii="宋体" w:hAnsi="宋体" w:eastAsia="宋体" w:cs="宋体"/>
        </w:rPr>
        <w:t>1）在装置内部，应能辨别出单独的电路及电器元器件。电器元器件所用的标记应与随同装置一起提供的电路图上的标记一致。</w:t>
      </w:r>
    </w:p>
    <w:p w14:paraId="7F93A7BB">
      <w:pPr>
        <w:pStyle w:val="33"/>
        <w:tabs>
          <w:tab w:val="center" w:pos="4201"/>
          <w:tab w:val="right" w:leader="dot" w:pos="9298"/>
        </w:tabs>
        <w:rPr>
          <w:rFonts w:hint="eastAsia" w:ascii="宋体" w:hAnsi="宋体" w:eastAsia="宋体" w:cs="宋体"/>
          <w:sz w:val="32"/>
          <w:szCs w:val="32"/>
        </w:rPr>
      </w:pPr>
      <w:r>
        <w:rPr>
          <w:rFonts w:hint="eastAsia" w:ascii="宋体" w:hAnsi="宋体" w:eastAsia="宋体" w:cs="宋体"/>
        </w:rPr>
        <w:t>2）开关柜后门内侧应粘贴所有主要元器件铭牌。</w:t>
      </w:r>
    </w:p>
    <w:p w14:paraId="054F2C09">
      <w:pPr>
        <w:pStyle w:val="40"/>
        <w:numPr>
          <w:ilvl w:val="0"/>
          <w:numId w:val="0"/>
        </w:numPr>
        <w:spacing w:beforeLines="0" w:afterLines="0"/>
        <w:rPr>
          <w:rFonts w:hint="eastAsia" w:ascii="宋体" w:hAnsi="宋体" w:eastAsia="宋体" w:cs="宋体"/>
          <w:kern w:val="2"/>
        </w:rPr>
      </w:pPr>
      <w:bookmarkStart w:id="62" w:name="_Toc363381652"/>
      <w:bookmarkStart w:id="63" w:name="_Toc358552377"/>
      <w:bookmarkStart w:id="64" w:name="_Toc363243291"/>
      <w:bookmarkStart w:id="65" w:name="_Toc358552339"/>
      <w:r>
        <w:rPr>
          <w:rFonts w:hint="eastAsia" w:ascii="宋体" w:hAnsi="宋体" w:eastAsia="宋体" w:cs="宋体"/>
          <w:kern w:val="2"/>
        </w:rPr>
        <w:t>2.10.2铭牌</w:t>
      </w:r>
      <w:bookmarkEnd w:id="62"/>
      <w:bookmarkEnd w:id="63"/>
      <w:bookmarkEnd w:id="64"/>
      <w:bookmarkEnd w:id="65"/>
    </w:p>
    <w:p w14:paraId="0372088A">
      <w:pPr>
        <w:pStyle w:val="33"/>
        <w:tabs>
          <w:tab w:val="center" w:pos="4201"/>
          <w:tab w:val="right" w:leader="dot" w:pos="9298"/>
        </w:tabs>
        <w:rPr>
          <w:rFonts w:hint="eastAsia" w:ascii="宋体" w:hAnsi="宋体" w:eastAsia="宋体" w:cs="宋体"/>
        </w:rPr>
      </w:pPr>
      <w:r>
        <w:rPr>
          <w:rFonts w:hint="eastAsia" w:ascii="宋体" w:hAnsi="宋体" w:eastAsia="宋体" w:cs="宋体"/>
        </w:rPr>
        <w:t>1）每台开光应配备铭牌，铭牌应字迹清晰，安装应坚固、耐久，其位置应该是在装置安装好后，易于看见的地方。</w:t>
      </w:r>
    </w:p>
    <w:p w14:paraId="6B677ED5">
      <w:pPr>
        <w:pStyle w:val="33"/>
        <w:tabs>
          <w:tab w:val="center" w:pos="4201"/>
          <w:tab w:val="right" w:leader="dot" w:pos="9298"/>
        </w:tabs>
        <w:rPr>
          <w:rFonts w:hint="eastAsia" w:ascii="宋体" w:hAnsi="宋体" w:eastAsia="宋体" w:cs="宋体"/>
        </w:rPr>
      </w:pPr>
      <w:r>
        <w:rPr>
          <w:rFonts w:hint="eastAsia" w:ascii="宋体" w:hAnsi="宋体" w:eastAsia="宋体" w:cs="宋体"/>
        </w:rPr>
        <w:t>a)制造商（生产厂）或商标；</w:t>
      </w:r>
    </w:p>
    <w:p w14:paraId="2313A8CD">
      <w:pPr>
        <w:pStyle w:val="33"/>
        <w:tabs>
          <w:tab w:val="center" w:pos="4201"/>
          <w:tab w:val="right" w:leader="dot" w:pos="9298"/>
        </w:tabs>
        <w:rPr>
          <w:rFonts w:hint="eastAsia" w:ascii="宋体" w:hAnsi="宋体" w:eastAsia="宋体" w:cs="宋体"/>
        </w:rPr>
      </w:pPr>
      <w:r>
        <w:rPr>
          <w:rFonts w:hint="eastAsia" w:ascii="宋体" w:hAnsi="宋体" w:eastAsia="宋体" w:cs="宋体"/>
        </w:rPr>
        <w:t>b)产品名称或型号；</w:t>
      </w:r>
    </w:p>
    <w:p w14:paraId="715D6A97">
      <w:pPr>
        <w:pStyle w:val="33"/>
        <w:tabs>
          <w:tab w:val="center" w:pos="4201"/>
          <w:tab w:val="right" w:leader="dot" w:pos="9298"/>
        </w:tabs>
        <w:rPr>
          <w:rFonts w:hint="eastAsia" w:ascii="宋体" w:hAnsi="宋体" w:eastAsia="宋体" w:cs="宋体"/>
        </w:rPr>
      </w:pPr>
      <w:r>
        <w:rPr>
          <w:rFonts w:hint="eastAsia" w:ascii="宋体" w:hAnsi="宋体" w:eastAsia="宋体" w:cs="宋体"/>
        </w:rPr>
        <w:t>c)制造日期及出厂编号；</w:t>
      </w:r>
    </w:p>
    <w:p w14:paraId="1A87AC38">
      <w:pPr>
        <w:pStyle w:val="33"/>
        <w:tabs>
          <w:tab w:val="center" w:pos="4201"/>
          <w:tab w:val="right" w:leader="dot" w:pos="9298"/>
        </w:tabs>
        <w:rPr>
          <w:rFonts w:hint="eastAsia" w:ascii="宋体" w:hAnsi="宋体" w:eastAsia="宋体" w:cs="宋体"/>
        </w:rPr>
      </w:pPr>
      <w:r>
        <w:rPr>
          <w:rFonts w:hint="eastAsia" w:ascii="宋体" w:hAnsi="宋体" w:eastAsia="宋体" w:cs="宋体"/>
        </w:rPr>
        <w:t>d)额定电压；</w:t>
      </w:r>
    </w:p>
    <w:p w14:paraId="5FBF5141">
      <w:pPr>
        <w:pStyle w:val="33"/>
        <w:tabs>
          <w:tab w:val="center" w:pos="4201"/>
          <w:tab w:val="right" w:leader="dot" w:pos="9298"/>
        </w:tabs>
        <w:rPr>
          <w:rFonts w:hint="eastAsia" w:ascii="宋体" w:hAnsi="宋体" w:eastAsia="宋体" w:cs="宋体"/>
        </w:rPr>
      </w:pPr>
      <w:r>
        <w:rPr>
          <w:rFonts w:hint="eastAsia" w:ascii="宋体" w:hAnsi="宋体" w:eastAsia="宋体" w:cs="宋体"/>
        </w:rPr>
        <w:t>e)额定电流；</w:t>
      </w:r>
    </w:p>
    <w:p w14:paraId="08359C8B">
      <w:pPr>
        <w:pStyle w:val="33"/>
        <w:tabs>
          <w:tab w:val="center" w:pos="4201"/>
          <w:tab w:val="right" w:leader="dot" w:pos="9298"/>
        </w:tabs>
        <w:rPr>
          <w:rFonts w:hint="eastAsia" w:ascii="宋体" w:hAnsi="宋体" w:eastAsia="宋体" w:cs="宋体"/>
        </w:rPr>
      </w:pPr>
      <w:r>
        <w:rPr>
          <w:rFonts w:hint="eastAsia" w:ascii="宋体" w:hAnsi="宋体" w:eastAsia="宋体" w:cs="宋体"/>
        </w:rPr>
        <w:t>f)额定绝缘电压</w:t>
      </w:r>
    </w:p>
    <w:p w14:paraId="6BDDC9FC">
      <w:pPr>
        <w:pStyle w:val="33"/>
        <w:tabs>
          <w:tab w:val="center" w:pos="4201"/>
          <w:tab w:val="right" w:leader="dot" w:pos="9298"/>
        </w:tabs>
        <w:rPr>
          <w:rFonts w:hint="eastAsia" w:ascii="宋体" w:hAnsi="宋体" w:eastAsia="宋体" w:cs="宋体"/>
        </w:rPr>
      </w:pPr>
      <w:r>
        <w:rPr>
          <w:rFonts w:hint="eastAsia" w:ascii="宋体" w:hAnsi="宋体" w:eastAsia="宋体" w:cs="宋体"/>
        </w:rPr>
        <w:t>g)额定频率；</w:t>
      </w:r>
    </w:p>
    <w:p w14:paraId="76E75C5B">
      <w:pPr>
        <w:pStyle w:val="33"/>
        <w:tabs>
          <w:tab w:val="center" w:pos="4201"/>
          <w:tab w:val="right" w:leader="dot" w:pos="9298"/>
        </w:tabs>
        <w:rPr>
          <w:rFonts w:hint="eastAsia" w:ascii="宋体" w:hAnsi="宋体" w:eastAsia="宋体" w:cs="宋体"/>
        </w:rPr>
      </w:pPr>
      <w:r>
        <w:rPr>
          <w:rFonts w:hint="eastAsia" w:ascii="宋体" w:hAnsi="宋体" w:eastAsia="宋体" w:cs="宋体"/>
        </w:rPr>
        <w:t>h)额定容量；</w:t>
      </w:r>
    </w:p>
    <w:p w14:paraId="5DE963F0">
      <w:pPr>
        <w:pStyle w:val="33"/>
        <w:tabs>
          <w:tab w:val="center" w:pos="4201"/>
          <w:tab w:val="right" w:leader="dot" w:pos="9298"/>
        </w:tabs>
        <w:rPr>
          <w:rFonts w:hint="eastAsia" w:ascii="宋体" w:hAnsi="宋体" w:eastAsia="宋体" w:cs="宋体"/>
        </w:rPr>
      </w:pPr>
      <w:r>
        <w:rPr>
          <w:rFonts w:hint="eastAsia" w:ascii="宋体" w:hAnsi="宋体" w:eastAsia="宋体" w:cs="宋体"/>
        </w:rPr>
        <w:t>g)防护等级；</w:t>
      </w:r>
    </w:p>
    <w:p w14:paraId="70356002">
      <w:pPr>
        <w:topLinePunct/>
        <w:spacing w:line="320" w:lineRule="exact"/>
        <w:ind w:firstLine="420" w:firstLineChars="200"/>
        <w:rPr>
          <w:rFonts w:hint="eastAsia" w:ascii="宋体" w:hAnsi="宋体" w:eastAsia="宋体" w:cs="宋体"/>
          <w:szCs w:val="21"/>
        </w:rPr>
      </w:pPr>
      <w:r>
        <w:rPr>
          <w:rFonts w:hint="eastAsia" w:ascii="宋体" w:hAnsi="宋体" w:eastAsia="宋体" w:cs="宋体"/>
        </w:rPr>
        <w:t>2）</w:t>
      </w:r>
      <w:r>
        <w:rPr>
          <w:rFonts w:hint="eastAsia" w:ascii="宋体" w:hAnsi="宋体" w:eastAsia="宋体" w:cs="宋体"/>
          <w:bCs/>
          <w:szCs w:val="21"/>
        </w:rPr>
        <w:t>开关柜内的电器组件铭牌，如断路器、互感器等均应有耐久清晰的铭牌；在正常运行中，各组件的铭牌应便于识别。</w:t>
      </w:r>
    </w:p>
    <w:p w14:paraId="21CF4073">
      <w:pPr>
        <w:topLinePunct/>
        <w:spacing w:line="320" w:lineRule="exact"/>
        <w:rPr>
          <w:rFonts w:hint="eastAsia" w:ascii="宋体" w:hAnsi="宋体" w:eastAsia="宋体" w:cs="宋体"/>
          <w:szCs w:val="21"/>
        </w:rPr>
      </w:pPr>
      <w:r>
        <w:rPr>
          <w:rFonts w:hint="eastAsia" w:ascii="宋体" w:hAnsi="宋体" w:eastAsia="宋体" w:cs="宋体"/>
          <w:szCs w:val="21"/>
        </w:rPr>
        <w:t>2.10.3</w:t>
      </w:r>
      <w:r>
        <w:rPr>
          <w:rFonts w:hint="eastAsia" w:ascii="宋体" w:hAnsi="宋体" w:eastAsia="宋体" w:cs="宋体"/>
          <w:bCs/>
          <w:szCs w:val="21"/>
        </w:rPr>
        <w:t>设备铭牌为2mm有机玻璃材料，规格为200*50 mm。</w:t>
      </w:r>
    </w:p>
    <w:p w14:paraId="673E01CA">
      <w:pPr>
        <w:topLinePunct/>
        <w:spacing w:line="320" w:lineRule="exact"/>
        <w:rPr>
          <w:rFonts w:hint="eastAsia" w:ascii="宋体" w:hAnsi="宋体" w:eastAsia="宋体" w:cs="宋体"/>
        </w:rPr>
      </w:pPr>
      <w:r>
        <w:rPr>
          <w:rFonts w:hint="eastAsia" w:ascii="宋体" w:hAnsi="宋体" w:eastAsia="宋体" w:cs="宋体"/>
          <w:szCs w:val="21"/>
        </w:rPr>
        <w:t>2.10.4</w:t>
      </w:r>
      <w:r>
        <w:rPr>
          <w:rFonts w:hint="eastAsia" w:ascii="宋体" w:hAnsi="宋体" w:eastAsia="宋体" w:cs="宋体"/>
          <w:bCs/>
          <w:szCs w:val="21"/>
        </w:rPr>
        <w:t>设备二次铭牌为聚脂纤维材料，规格为60*15 mm（仪表面板）。</w:t>
      </w:r>
    </w:p>
    <w:p w14:paraId="534B288F">
      <w:pPr>
        <w:pStyle w:val="37"/>
        <w:keepNext w:val="0"/>
        <w:keepLines w:val="0"/>
        <w:topLinePunct w:val="0"/>
        <w:outlineLvl w:val="0"/>
        <w:rPr>
          <w:rFonts w:hint="eastAsia" w:ascii="宋体" w:hAnsi="宋体" w:eastAsia="宋体" w:cs="宋体"/>
        </w:rPr>
      </w:pPr>
      <w:bookmarkStart w:id="66" w:name="_Toc446981691"/>
      <w:bookmarkStart w:id="67" w:name="_Toc355884500"/>
      <w:bookmarkStart w:id="68" w:name="_Toc407308616"/>
      <w:r>
        <w:rPr>
          <w:rFonts w:hint="eastAsia" w:ascii="宋体" w:hAnsi="宋体" w:eastAsia="宋体" w:cs="宋体"/>
          <w:lang w:eastAsia="zh-CN"/>
        </w:rPr>
        <w:t>3</w:t>
      </w:r>
      <w:r>
        <w:rPr>
          <w:rFonts w:hint="eastAsia" w:ascii="宋体" w:hAnsi="宋体" w:eastAsia="宋体" w:cs="宋体"/>
        </w:rPr>
        <w:t>　标准技术参数</w:t>
      </w:r>
      <w:bookmarkEnd w:id="66"/>
    </w:p>
    <w:p w14:paraId="0FCE05F1">
      <w:pPr>
        <w:topLinePunct/>
        <w:spacing w:line="312" w:lineRule="exact"/>
        <w:ind w:firstLine="420"/>
        <w:rPr>
          <w:rFonts w:hint="eastAsia" w:ascii="宋体" w:hAnsi="宋体" w:eastAsia="宋体" w:cs="宋体"/>
          <w:szCs w:val="21"/>
        </w:rPr>
      </w:pPr>
      <w:r>
        <w:rPr>
          <w:rFonts w:hint="eastAsia" w:ascii="宋体" w:hAnsi="宋体" w:eastAsia="宋体" w:cs="宋体"/>
          <w:szCs w:val="21"/>
        </w:rPr>
        <w:t>技术参数特性表是对采购设备的基础技术参数要求，供货方应依据技术规范文件，对技术参数特性表中标准参数值进行响应。低压电容器柜技术参数特性见表4。</w:t>
      </w:r>
    </w:p>
    <w:p w14:paraId="25B075F9">
      <w:pPr>
        <w:jc w:val="center"/>
        <w:rPr>
          <w:rFonts w:hint="eastAsia" w:ascii="宋体" w:hAnsi="宋体" w:eastAsia="宋体" w:cs="宋体"/>
        </w:rPr>
      </w:pPr>
      <w:r>
        <w:rPr>
          <w:rFonts w:hint="eastAsia" w:ascii="宋体" w:hAnsi="宋体" w:eastAsia="宋体" w:cs="宋体"/>
        </w:rPr>
        <w:t>表4　技术参数特性表</w:t>
      </w:r>
    </w:p>
    <w:tbl>
      <w:tblPr>
        <w:tblStyle w:val="16"/>
        <w:tblW w:w="86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302"/>
        <w:gridCol w:w="2039"/>
        <w:gridCol w:w="4391"/>
      </w:tblGrid>
      <w:tr w14:paraId="7AAC15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268" w:type="dxa"/>
            <w:gridSpan w:val="2"/>
            <w:tcBorders>
              <w:top w:val="single" w:color="auto" w:sz="8" w:space="0"/>
            </w:tcBorders>
            <w:noWrap w:val="0"/>
            <w:vAlign w:val="center"/>
          </w:tcPr>
          <w:p w14:paraId="4D17BF45">
            <w:pPr>
              <w:topLinePunct/>
              <w:snapToGrid w:val="0"/>
              <w:spacing w:before="60" w:after="60"/>
              <w:ind w:firstLine="360"/>
              <w:jc w:val="center"/>
              <w:rPr>
                <w:rFonts w:hint="eastAsia" w:ascii="宋体" w:hAnsi="宋体" w:eastAsia="宋体" w:cs="宋体"/>
                <w:sz w:val="18"/>
                <w:szCs w:val="18"/>
              </w:rPr>
            </w:pPr>
            <w:r>
              <w:rPr>
                <w:rFonts w:hint="eastAsia" w:ascii="宋体" w:hAnsi="宋体" w:eastAsia="宋体" w:cs="宋体"/>
                <w:sz w:val="18"/>
                <w:szCs w:val="18"/>
              </w:rPr>
              <w:t>名　　称</w:t>
            </w:r>
          </w:p>
        </w:tc>
        <w:tc>
          <w:tcPr>
            <w:tcW w:w="2039" w:type="dxa"/>
            <w:tcBorders>
              <w:top w:val="single" w:color="auto" w:sz="8" w:space="0"/>
            </w:tcBorders>
            <w:noWrap w:val="0"/>
            <w:vAlign w:val="center"/>
          </w:tcPr>
          <w:p w14:paraId="610B3FB5">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项　　目</w:t>
            </w:r>
          </w:p>
        </w:tc>
        <w:tc>
          <w:tcPr>
            <w:tcW w:w="4391" w:type="dxa"/>
            <w:tcBorders>
              <w:top w:val="single" w:color="auto" w:sz="8" w:space="0"/>
            </w:tcBorders>
            <w:noWrap w:val="0"/>
            <w:vAlign w:val="center"/>
          </w:tcPr>
          <w:p w14:paraId="20643EF8">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标准参数值</w:t>
            </w:r>
          </w:p>
        </w:tc>
      </w:tr>
      <w:tr w14:paraId="5CC7A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1FF17E39">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1</w:t>
            </w:r>
          </w:p>
        </w:tc>
        <w:tc>
          <w:tcPr>
            <w:tcW w:w="1302" w:type="dxa"/>
            <w:vMerge w:val="restart"/>
            <w:noWrap w:val="0"/>
            <w:vAlign w:val="center"/>
          </w:tcPr>
          <w:p w14:paraId="651DAD84">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主要电气参数</w:t>
            </w:r>
          </w:p>
        </w:tc>
        <w:tc>
          <w:tcPr>
            <w:tcW w:w="2039" w:type="dxa"/>
            <w:noWrap w:val="0"/>
            <w:vAlign w:val="center"/>
          </w:tcPr>
          <w:p w14:paraId="403AF129">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额定工作电压</w:t>
            </w:r>
          </w:p>
        </w:tc>
        <w:tc>
          <w:tcPr>
            <w:tcW w:w="4391" w:type="dxa"/>
            <w:noWrap w:val="0"/>
            <w:vAlign w:val="center"/>
          </w:tcPr>
          <w:p w14:paraId="72490FDE">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400V</w:t>
            </w:r>
          </w:p>
        </w:tc>
      </w:tr>
      <w:tr w14:paraId="1E607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2D21653D">
            <w:pPr>
              <w:topLinePunct/>
              <w:snapToGrid w:val="0"/>
              <w:spacing w:before="64" w:after="63"/>
              <w:jc w:val="center"/>
              <w:rPr>
                <w:rFonts w:hint="eastAsia" w:ascii="宋体" w:hAnsi="宋体" w:eastAsia="宋体" w:cs="宋体"/>
                <w:sz w:val="18"/>
                <w:szCs w:val="18"/>
              </w:rPr>
            </w:pPr>
          </w:p>
        </w:tc>
        <w:tc>
          <w:tcPr>
            <w:tcW w:w="1302" w:type="dxa"/>
            <w:vMerge w:val="continue"/>
            <w:noWrap w:val="0"/>
            <w:vAlign w:val="center"/>
          </w:tcPr>
          <w:p w14:paraId="56F6CB06">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78E80897">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额定绝缘电压</w:t>
            </w:r>
          </w:p>
        </w:tc>
        <w:tc>
          <w:tcPr>
            <w:tcW w:w="4391" w:type="dxa"/>
            <w:noWrap w:val="0"/>
            <w:vAlign w:val="center"/>
          </w:tcPr>
          <w:p w14:paraId="786769A2">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660V</w:t>
            </w:r>
          </w:p>
        </w:tc>
      </w:tr>
      <w:tr w14:paraId="74880D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377D5314">
            <w:pPr>
              <w:topLinePunct/>
              <w:snapToGrid w:val="0"/>
              <w:spacing w:before="64" w:after="63"/>
              <w:jc w:val="center"/>
              <w:rPr>
                <w:rFonts w:hint="eastAsia" w:ascii="宋体" w:hAnsi="宋体" w:eastAsia="宋体" w:cs="宋体"/>
                <w:sz w:val="18"/>
                <w:szCs w:val="18"/>
              </w:rPr>
            </w:pPr>
          </w:p>
        </w:tc>
        <w:tc>
          <w:tcPr>
            <w:tcW w:w="1302" w:type="dxa"/>
            <w:vMerge w:val="continue"/>
            <w:noWrap w:val="0"/>
            <w:vAlign w:val="center"/>
          </w:tcPr>
          <w:p w14:paraId="1604EA5B">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085779E8">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额定耐受电压</w:t>
            </w:r>
          </w:p>
        </w:tc>
        <w:tc>
          <w:tcPr>
            <w:tcW w:w="4391" w:type="dxa"/>
            <w:noWrap w:val="0"/>
            <w:vAlign w:val="center"/>
          </w:tcPr>
          <w:p w14:paraId="17BD89C4">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2500V（1min工频）</w:t>
            </w:r>
          </w:p>
        </w:tc>
      </w:tr>
      <w:tr w14:paraId="00C6D3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37E2F524">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2</w:t>
            </w:r>
          </w:p>
        </w:tc>
        <w:tc>
          <w:tcPr>
            <w:tcW w:w="1302" w:type="dxa"/>
            <w:vMerge w:val="restart"/>
            <w:noWrap w:val="0"/>
            <w:vAlign w:val="center"/>
          </w:tcPr>
          <w:p w14:paraId="26B0BAD1">
            <w:pPr>
              <w:adjustRightInd w:val="0"/>
              <w:snapToGrid w:val="0"/>
              <w:jc w:val="left"/>
              <w:rPr>
                <w:rFonts w:hint="eastAsia" w:ascii="宋体" w:hAnsi="宋体" w:eastAsia="宋体" w:cs="宋体"/>
                <w:sz w:val="18"/>
                <w:szCs w:val="18"/>
              </w:rPr>
            </w:pPr>
            <w:r>
              <w:rPr>
                <w:rFonts w:hint="eastAsia" w:ascii="宋体" w:hAnsi="宋体" w:eastAsia="宋体" w:cs="宋体"/>
                <w:sz w:val="18"/>
                <w:szCs w:val="18"/>
              </w:rPr>
              <w:t>水平母线</w:t>
            </w:r>
          </w:p>
        </w:tc>
        <w:tc>
          <w:tcPr>
            <w:tcW w:w="2039" w:type="dxa"/>
            <w:noWrap w:val="0"/>
            <w:vAlign w:val="top"/>
          </w:tcPr>
          <w:p w14:paraId="0CBB1767">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额定电流(A)</w:t>
            </w:r>
          </w:p>
        </w:tc>
        <w:tc>
          <w:tcPr>
            <w:tcW w:w="4391" w:type="dxa"/>
            <w:noWrap w:val="0"/>
            <w:vAlign w:val="center"/>
          </w:tcPr>
          <w:p w14:paraId="5534188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主母线： 2000A</w:t>
            </w:r>
          </w:p>
        </w:tc>
      </w:tr>
      <w:tr w14:paraId="4F74EE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18B5A691">
            <w:pPr>
              <w:topLinePunct/>
              <w:snapToGrid w:val="0"/>
              <w:spacing w:before="65" w:after="65"/>
              <w:jc w:val="center"/>
              <w:rPr>
                <w:rFonts w:hint="eastAsia" w:ascii="宋体" w:hAnsi="宋体" w:eastAsia="宋体" w:cs="宋体"/>
                <w:sz w:val="18"/>
                <w:szCs w:val="18"/>
              </w:rPr>
            </w:pPr>
          </w:p>
        </w:tc>
        <w:tc>
          <w:tcPr>
            <w:tcW w:w="1302" w:type="dxa"/>
            <w:vMerge w:val="continue"/>
            <w:noWrap w:val="0"/>
            <w:vAlign w:val="top"/>
          </w:tcPr>
          <w:p w14:paraId="126DE9CD">
            <w:pPr>
              <w:adjustRightInd w:val="0"/>
              <w:snapToGrid w:val="0"/>
              <w:jc w:val="left"/>
              <w:rPr>
                <w:rFonts w:hint="eastAsia" w:ascii="宋体" w:hAnsi="宋体" w:eastAsia="宋体" w:cs="宋体"/>
                <w:sz w:val="18"/>
                <w:szCs w:val="18"/>
              </w:rPr>
            </w:pPr>
          </w:p>
        </w:tc>
        <w:tc>
          <w:tcPr>
            <w:tcW w:w="2039" w:type="dxa"/>
            <w:noWrap w:val="0"/>
            <w:vAlign w:val="top"/>
          </w:tcPr>
          <w:p w14:paraId="092F6D24">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母线（3L+N+PE）规格</w:t>
            </w:r>
          </w:p>
          <w:p w14:paraId="297E1A8E">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宽×厚（mm）</w:t>
            </w:r>
          </w:p>
        </w:tc>
        <w:tc>
          <w:tcPr>
            <w:tcW w:w="4391" w:type="dxa"/>
            <w:noWrap w:val="0"/>
            <w:vAlign w:val="center"/>
          </w:tcPr>
          <w:p w14:paraId="6A6E367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6CE086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966" w:type="dxa"/>
            <w:vMerge w:val="continue"/>
            <w:noWrap w:val="0"/>
            <w:vAlign w:val="center"/>
          </w:tcPr>
          <w:p w14:paraId="426DEB65">
            <w:pPr>
              <w:topLinePunct/>
              <w:snapToGrid w:val="0"/>
              <w:spacing w:before="65" w:after="65"/>
              <w:jc w:val="center"/>
              <w:rPr>
                <w:rFonts w:hint="eastAsia" w:ascii="宋体" w:hAnsi="宋体" w:eastAsia="宋体" w:cs="宋体"/>
                <w:sz w:val="18"/>
                <w:szCs w:val="18"/>
              </w:rPr>
            </w:pPr>
          </w:p>
        </w:tc>
        <w:tc>
          <w:tcPr>
            <w:tcW w:w="1302" w:type="dxa"/>
            <w:vMerge w:val="continue"/>
            <w:noWrap w:val="0"/>
            <w:vAlign w:val="top"/>
          </w:tcPr>
          <w:p w14:paraId="3EC500C3">
            <w:pPr>
              <w:adjustRightInd w:val="0"/>
              <w:snapToGrid w:val="0"/>
              <w:ind w:firstLine="480"/>
              <w:jc w:val="left"/>
              <w:rPr>
                <w:rFonts w:hint="eastAsia" w:ascii="宋体" w:hAnsi="宋体" w:eastAsia="宋体" w:cs="宋体"/>
                <w:sz w:val="18"/>
                <w:szCs w:val="18"/>
              </w:rPr>
            </w:pPr>
          </w:p>
        </w:tc>
        <w:tc>
          <w:tcPr>
            <w:tcW w:w="2039" w:type="dxa"/>
            <w:noWrap w:val="0"/>
            <w:vAlign w:val="top"/>
          </w:tcPr>
          <w:p w14:paraId="107DBBE4">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额定短时耐受电流(kA/s)</w:t>
            </w:r>
          </w:p>
        </w:tc>
        <w:tc>
          <w:tcPr>
            <w:tcW w:w="4391" w:type="dxa"/>
            <w:noWrap w:val="0"/>
            <w:vAlign w:val="center"/>
          </w:tcPr>
          <w:p w14:paraId="434D3536">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65/1</w:t>
            </w:r>
          </w:p>
        </w:tc>
      </w:tr>
      <w:tr w14:paraId="28658A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6333B7C8">
            <w:pPr>
              <w:topLinePunct/>
              <w:snapToGrid w:val="0"/>
              <w:spacing w:before="65" w:after="65"/>
              <w:jc w:val="center"/>
              <w:rPr>
                <w:rFonts w:hint="eastAsia" w:ascii="宋体" w:hAnsi="宋体" w:eastAsia="宋体" w:cs="宋体"/>
                <w:sz w:val="18"/>
                <w:szCs w:val="18"/>
              </w:rPr>
            </w:pPr>
          </w:p>
        </w:tc>
        <w:tc>
          <w:tcPr>
            <w:tcW w:w="1302" w:type="dxa"/>
            <w:vMerge w:val="continue"/>
            <w:noWrap w:val="0"/>
            <w:vAlign w:val="top"/>
          </w:tcPr>
          <w:p w14:paraId="4A3C910C">
            <w:pPr>
              <w:adjustRightInd w:val="0"/>
              <w:snapToGrid w:val="0"/>
              <w:ind w:firstLine="480"/>
              <w:jc w:val="left"/>
              <w:rPr>
                <w:rFonts w:hint="eastAsia" w:ascii="宋体" w:hAnsi="宋体" w:eastAsia="宋体" w:cs="宋体"/>
                <w:sz w:val="18"/>
                <w:szCs w:val="18"/>
              </w:rPr>
            </w:pPr>
          </w:p>
        </w:tc>
        <w:tc>
          <w:tcPr>
            <w:tcW w:w="2039" w:type="dxa"/>
            <w:noWrap w:val="0"/>
            <w:vAlign w:val="top"/>
          </w:tcPr>
          <w:p w14:paraId="3F68AF17">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额定峰值耐受电流(kA)</w:t>
            </w:r>
          </w:p>
        </w:tc>
        <w:tc>
          <w:tcPr>
            <w:tcW w:w="4391" w:type="dxa"/>
            <w:noWrap w:val="0"/>
            <w:vAlign w:val="center"/>
          </w:tcPr>
          <w:p w14:paraId="0F452BCA">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1ED0D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407D907E">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3</w:t>
            </w:r>
          </w:p>
        </w:tc>
        <w:tc>
          <w:tcPr>
            <w:tcW w:w="1302" w:type="dxa"/>
            <w:vMerge w:val="restart"/>
            <w:noWrap w:val="0"/>
            <w:vAlign w:val="center"/>
          </w:tcPr>
          <w:p w14:paraId="05ED5595">
            <w:pPr>
              <w:adjustRightInd w:val="0"/>
              <w:snapToGrid w:val="0"/>
              <w:jc w:val="left"/>
              <w:rPr>
                <w:rFonts w:hint="eastAsia" w:ascii="宋体" w:hAnsi="宋体" w:eastAsia="宋体" w:cs="宋体"/>
                <w:sz w:val="18"/>
                <w:szCs w:val="18"/>
              </w:rPr>
            </w:pPr>
            <w:r>
              <w:rPr>
                <w:rFonts w:hint="eastAsia" w:ascii="宋体" w:hAnsi="宋体" w:eastAsia="宋体" w:cs="宋体"/>
                <w:sz w:val="18"/>
                <w:szCs w:val="18"/>
              </w:rPr>
              <w:t>垂直母线</w:t>
            </w:r>
          </w:p>
        </w:tc>
        <w:tc>
          <w:tcPr>
            <w:tcW w:w="2039" w:type="dxa"/>
            <w:noWrap w:val="0"/>
            <w:vAlign w:val="top"/>
          </w:tcPr>
          <w:p w14:paraId="7D5F5A38">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额定电流(A)</w:t>
            </w:r>
          </w:p>
        </w:tc>
        <w:tc>
          <w:tcPr>
            <w:tcW w:w="4391" w:type="dxa"/>
            <w:noWrap w:val="0"/>
            <w:vAlign w:val="center"/>
          </w:tcPr>
          <w:p w14:paraId="7F9878DE">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≤1000A</w:t>
            </w:r>
          </w:p>
        </w:tc>
      </w:tr>
      <w:tr w14:paraId="4475B2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1FC350B">
            <w:pPr>
              <w:topLinePunct/>
              <w:snapToGrid w:val="0"/>
              <w:spacing w:before="65" w:after="65"/>
              <w:jc w:val="center"/>
              <w:rPr>
                <w:rFonts w:hint="eastAsia" w:ascii="宋体" w:hAnsi="宋体" w:eastAsia="宋体" w:cs="宋体"/>
                <w:sz w:val="18"/>
                <w:szCs w:val="18"/>
              </w:rPr>
            </w:pPr>
          </w:p>
        </w:tc>
        <w:tc>
          <w:tcPr>
            <w:tcW w:w="1302" w:type="dxa"/>
            <w:vMerge w:val="continue"/>
            <w:noWrap w:val="0"/>
            <w:vAlign w:val="top"/>
          </w:tcPr>
          <w:p w14:paraId="388E0622">
            <w:pPr>
              <w:adjustRightInd w:val="0"/>
              <w:snapToGrid w:val="0"/>
              <w:ind w:firstLine="480"/>
              <w:jc w:val="left"/>
              <w:rPr>
                <w:rFonts w:hint="eastAsia" w:ascii="宋体" w:hAnsi="宋体" w:eastAsia="宋体" w:cs="宋体"/>
                <w:sz w:val="18"/>
                <w:szCs w:val="18"/>
              </w:rPr>
            </w:pPr>
          </w:p>
        </w:tc>
        <w:tc>
          <w:tcPr>
            <w:tcW w:w="2039" w:type="dxa"/>
            <w:noWrap w:val="0"/>
            <w:vAlign w:val="top"/>
          </w:tcPr>
          <w:p w14:paraId="6DADBF83">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额定短时耐受电流(kA)</w:t>
            </w:r>
          </w:p>
        </w:tc>
        <w:tc>
          <w:tcPr>
            <w:tcW w:w="4391" w:type="dxa"/>
            <w:noWrap w:val="0"/>
            <w:vAlign w:val="center"/>
          </w:tcPr>
          <w:p w14:paraId="7F7E3A0B">
            <w:pPr>
              <w:topLinePunct/>
              <w:snapToGrid w:val="0"/>
              <w:spacing w:before="64" w:after="63"/>
              <w:jc w:val="center"/>
              <w:rPr>
                <w:rFonts w:hint="eastAsia" w:ascii="宋体" w:hAnsi="宋体" w:eastAsia="宋体" w:cs="宋体"/>
                <w:sz w:val="18"/>
                <w:szCs w:val="18"/>
              </w:rPr>
            </w:pPr>
            <w:r>
              <w:rPr>
                <w:rFonts w:hint="eastAsia" w:ascii="宋体" w:hAnsi="宋体" w:eastAsia="宋体" w:cs="宋体"/>
                <w:sz w:val="18"/>
                <w:szCs w:val="18"/>
              </w:rPr>
              <w:t>50/1</w:t>
            </w:r>
          </w:p>
        </w:tc>
      </w:tr>
      <w:tr w14:paraId="4FE35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183A6CCD">
            <w:pPr>
              <w:topLinePunct/>
              <w:snapToGrid w:val="0"/>
              <w:spacing w:before="65" w:after="65"/>
              <w:jc w:val="center"/>
              <w:rPr>
                <w:rFonts w:hint="eastAsia" w:ascii="宋体" w:hAnsi="宋体" w:eastAsia="宋体" w:cs="宋体"/>
                <w:sz w:val="18"/>
                <w:szCs w:val="18"/>
              </w:rPr>
            </w:pPr>
          </w:p>
        </w:tc>
        <w:tc>
          <w:tcPr>
            <w:tcW w:w="1302" w:type="dxa"/>
            <w:vMerge w:val="continue"/>
            <w:noWrap w:val="0"/>
            <w:vAlign w:val="top"/>
          </w:tcPr>
          <w:p w14:paraId="68D6695B">
            <w:pPr>
              <w:adjustRightInd w:val="0"/>
              <w:snapToGrid w:val="0"/>
              <w:ind w:firstLine="480"/>
              <w:jc w:val="left"/>
              <w:rPr>
                <w:rFonts w:hint="eastAsia" w:ascii="宋体" w:hAnsi="宋体" w:eastAsia="宋体" w:cs="宋体"/>
                <w:sz w:val="18"/>
                <w:szCs w:val="18"/>
              </w:rPr>
            </w:pPr>
          </w:p>
        </w:tc>
        <w:tc>
          <w:tcPr>
            <w:tcW w:w="2039" w:type="dxa"/>
            <w:noWrap w:val="0"/>
            <w:vAlign w:val="top"/>
          </w:tcPr>
          <w:p w14:paraId="395E3809">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额定峰值耐受电流(kA)</w:t>
            </w:r>
          </w:p>
        </w:tc>
        <w:tc>
          <w:tcPr>
            <w:tcW w:w="4391" w:type="dxa"/>
            <w:noWrap w:val="0"/>
            <w:vAlign w:val="center"/>
          </w:tcPr>
          <w:p w14:paraId="3A4B510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30A62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26B79E52">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4</w:t>
            </w:r>
          </w:p>
        </w:tc>
        <w:tc>
          <w:tcPr>
            <w:tcW w:w="1302" w:type="dxa"/>
            <w:vMerge w:val="restart"/>
            <w:noWrap w:val="0"/>
            <w:vAlign w:val="center"/>
          </w:tcPr>
          <w:p w14:paraId="2AB1BBD0">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隔离开关</w:t>
            </w:r>
          </w:p>
        </w:tc>
        <w:tc>
          <w:tcPr>
            <w:tcW w:w="2039" w:type="dxa"/>
            <w:noWrap w:val="0"/>
            <w:vAlign w:val="center"/>
          </w:tcPr>
          <w:p w14:paraId="7BB00DFF">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额定电压</w:t>
            </w:r>
          </w:p>
        </w:tc>
        <w:tc>
          <w:tcPr>
            <w:tcW w:w="4391" w:type="dxa"/>
            <w:noWrap w:val="0"/>
            <w:vAlign w:val="center"/>
          </w:tcPr>
          <w:p w14:paraId="33C7D53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400V</w:t>
            </w:r>
          </w:p>
        </w:tc>
      </w:tr>
      <w:tr w14:paraId="3CDDF6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517B085">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6B96104">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0826B122">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额定电流</w:t>
            </w:r>
          </w:p>
        </w:tc>
        <w:tc>
          <w:tcPr>
            <w:tcW w:w="4391" w:type="dxa"/>
            <w:noWrap w:val="0"/>
            <w:vAlign w:val="center"/>
          </w:tcPr>
          <w:p w14:paraId="03C3FA2C">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73E850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18926906">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6B665072">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0134B3C6">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额定绝缘电压</w:t>
            </w:r>
          </w:p>
        </w:tc>
        <w:tc>
          <w:tcPr>
            <w:tcW w:w="4391" w:type="dxa"/>
            <w:noWrap w:val="0"/>
            <w:vAlign w:val="center"/>
          </w:tcPr>
          <w:p w14:paraId="03FAFCB9">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660V</w:t>
            </w:r>
          </w:p>
        </w:tc>
      </w:tr>
      <w:tr w14:paraId="76B942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3309AFA">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11C46476">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49257802">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极数</w:t>
            </w:r>
          </w:p>
        </w:tc>
        <w:tc>
          <w:tcPr>
            <w:tcW w:w="4391" w:type="dxa"/>
            <w:noWrap w:val="0"/>
            <w:vAlign w:val="center"/>
          </w:tcPr>
          <w:p w14:paraId="01FFCFB1">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3P</w:t>
            </w:r>
          </w:p>
        </w:tc>
      </w:tr>
      <w:tr w14:paraId="5FAC7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8D59588">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40B96832">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0B03055D">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额定短时耐受电流</w:t>
            </w:r>
          </w:p>
        </w:tc>
        <w:tc>
          <w:tcPr>
            <w:tcW w:w="4391" w:type="dxa"/>
            <w:noWrap w:val="0"/>
            <w:vAlign w:val="center"/>
          </w:tcPr>
          <w:p w14:paraId="1A5C812B">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515F9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1DE4BA78">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5</w:t>
            </w:r>
          </w:p>
        </w:tc>
        <w:tc>
          <w:tcPr>
            <w:tcW w:w="1302" w:type="dxa"/>
            <w:vMerge w:val="restart"/>
            <w:noWrap w:val="0"/>
            <w:vAlign w:val="center"/>
          </w:tcPr>
          <w:p w14:paraId="0058DF4E">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塑壳断路器</w:t>
            </w:r>
          </w:p>
        </w:tc>
        <w:tc>
          <w:tcPr>
            <w:tcW w:w="2039" w:type="dxa"/>
            <w:noWrap w:val="0"/>
            <w:vAlign w:val="center"/>
          </w:tcPr>
          <w:p w14:paraId="19D7180E">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型式</w:t>
            </w:r>
          </w:p>
        </w:tc>
        <w:tc>
          <w:tcPr>
            <w:tcW w:w="4391" w:type="dxa"/>
            <w:noWrap w:val="0"/>
            <w:vAlign w:val="center"/>
          </w:tcPr>
          <w:p w14:paraId="5A0BE797">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电子脱扣器</w:t>
            </w:r>
          </w:p>
        </w:tc>
      </w:tr>
      <w:tr w14:paraId="175B4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20921A60">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11323B5">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142B828F">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额定工作电压</w:t>
            </w:r>
          </w:p>
        </w:tc>
        <w:tc>
          <w:tcPr>
            <w:tcW w:w="4391" w:type="dxa"/>
            <w:noWrap w:val="0"/>
            <w:vAlign w:val="center"/>
          </w:tcPr>
          <w:p w14:paraId="58955E77">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400V</w:t>
            </w:r>
          </w:p>
        </w:tc>
      </w:tr>
      <w:tr w14:paraId="34494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702488BC">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49A07360">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3A4EB961">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额定电流</w:t>
            </w:r>
          </w:p>
        </w:tc>
        <w:tc>
          <w:tcPr>
            <w:tcW w:w="4391" w:type="dxa"/>
            <w:noWrap w:val="0"/>
            <w:vAlign w:val="center"/>
          </w:tcPr>
          <w:p w14:paraId="473170CF">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（项目单位提供）</w:t>
            </w:r>
          </w:p>
        </w:tc>
      </w:tr>
      <w:tr w14:paraId="0B66CA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18BBD7B9">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18094C1E">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7C893DCD">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额定极限短路分断能力</w:t>
            </w:r>
          </w:p>
        </w:tc>
        <w:tc>
          <w:tcPr>
            <w:tcW w:w="4391" w:type="dxa"/>
            <w:noWrap w:val="0"/>
            <w:vAlign w:val="center"/>
          </w:tcPr>
          <w:p w14:paraId="5DF2848A">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50kA</w:t>
            </w:r>
          </w:p>
        </w:tc>
      </w:tr>
      <w:tr w14:paraId="5AFC4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1863B621">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02A3CFE">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7156C045">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额定运行短路分断能力</w:t>
            </w:r>
          </w:p>
        </w:tc>
        <w:tc>
          <w:tcPr>
            <w:tcW w:w="4391" w:type="dxa"/>
            <w:noWrap w:val="0"/>
            <w:vAlign w:val="center"/>
          </w:tcPr>
          <w:p w14:paraId="11C0A8A1">
            <w:pPr>
              <w:topLinePunct/>
              <w:snapToGrid w:val="0"/>
              <w:spacing w:before="64" w:after="64"/>
              <w:jc w:val="center"/>
              <w:rPr>
                <w:rFonts w:hint="eastAsia" w:ascii="宋体" w:hAnsi="宋体" w:eastAsia="宋体" w:cs="宋体"/>
                <w:sz w:val="18"/>
                <w:szCs w:val="18"/>
              </w:rPr>
            </w:pPr>
            <w:r>
              <w:rPr>
                <w:rFonts w:hint="eastAsia" w:ascii="宋体" w:hAnsi="宋体" w:eastAsia="宋体" w:cs="宋体"/>
                <w:sz w:val="18"/>
                <w:szCs w:val="18"/>
              </w:rPr>
              <w:t>50kA</w:t>
            </w:r>
          </w:p>
        </w:tc>
      </w:tr>
      <w:tr w14:paraId="417502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6B71421C">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264C4A6">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687269F5">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机械寿命（免维护）　</w:t>
            </w:r>
          </w:p>
        </w:tc>
        <w:tc>
          <w:tcPr>
            <w:tcW w:w="4391" w:type="dxa"/>
            <w:noWrap w:val="0"/>
            <w:vAlign w:val="center"/>
          </w:tcPr>
          <w:p w14:paraId="14C4BBE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≥10000次</w:t>
            </w:r>
          </w:p>
        </w:tc>
      </w:tr>
      <w:tr w14:paraId="19371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22C55754">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1A93A34D">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7E45CABD">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电气寿命　</w:t>
            </w:r>
          </w:p>
        </w:tc>
        <w:tc>
          <w:tcPr>
            <w:tcW w:w="4391" w:type="dxa"/>
            <w:noWrap w:val="0"/>
            <w:vAlign w:val="center"/>
          </w:tcPr>
          <w:p w14:paraId="2272E6B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≥6000次</w:t>
            </w:r>
          </w:p>
        </w:tc>
      </w:tr>
      <w:tr w14:paraId="6CCF40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361C123B">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17EDD091">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75723EC0">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断路器飞弧距离</w:t>
            </w:r>
          </w:p>
        </w:tc>
        <w:tc>
          <w:tcPr>
            <w:tcW w:w="4391" w:type="dxa"/>
            <w:noWrap w:val="0"/>
            <w:vAlign w:val="center"/>
          </w:tcPr>
          <w:p w14:paraId="7D70F1C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零</w:t>
            </w:r>
          </w:p>
        </w:tc>
      </w:tr>
      <w:tr w14:paraId="1891BA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3CF40E56">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6</w:t>
            </w:r>
          </w:p>
        </w:tc>
        <w:tc>
          <w:tcPr>
            <w:tcW w:w="1302" w:type="dxa"/>
            <w:vMerge w:val="restart"/>
            <w:noWrap w:val="0"/>
            <w:vAlign w:val="center"/>
          </w:tcPr>
          <w:p w14:paraId="50C722B6">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电流互感器</w:t>
            </w:r>
          </w:p>
        </w:tc>
        <w:tc>
          <w:tcPr>
            <w:tcW w:w="2039" w:type="dxa"/>
            <w:noWrap w:val="0"/>
            <w:vAlign w:val="center"/>
          </w:tcPr>
          <w:p w14:paraId="24ED2040">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精度</w:t>
            </w:r>
          </w:p>
        </w:tc>
        <w:tc>
          <w:tcPr>
            <w:tcW w:w="4391" w:type="dxa"/>
            <w:noWrap w:val="0"/>
            <w:vAlign w:val="center"/>
          </w:tcPr>
          <w:p w14:paraId="440F1B8F">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0.5级</w:t>
            </w:r>
          </w:p>
        </w:tc>
      </w:tr>
      <w:tr w14:paraId="2C925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6DD07F1F">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0D59C5B8">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6A3496DB">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变比</w:t>
            </w:r>
          </w:p>
        </w:tc>
        <w:tc>
          <w:tcPr>
            <w:tcW w:w="4391" w:type="dxa"/>
            <w:noWrap w:val="0"/>
            <w:vAlign w:val="center"/>
          </w:tcPr>
          <w:p w14:paraId="21BB22FB">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详见附图</w:t>
            </w:r>
          </w:p>
        </w:tc>
      </w:tr>
      <w:tr w14:paraId="641D31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4FCCDFEF">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7</w:t>
            </w:r>
          </w:p>
        </w:tc>
        <w:tc>
          <w:tcPr>
            <w:tcW w:w="1302" w:type="dxa"/>
            <w:vMerge w:val="restart"/>
            <w:noWrap w:val="0"/>
            <w:vAlign w:val="center"/>
          </w:tcPr>
          <w:p w14:paraId="11FEA180">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电容器</w:t>
            </w:r>
          </w:p>
        </w:tc>
        <w:tc>
          <w:tcPr>
            <w:tcW w:w="2039" w:type="dxa"/>
            <w:noWrap w:val="0"/>
            <w:vAlign w:val="center"/>
          </w:tcPr>
          <w:p w14:paraId="26150D3E">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型式</w:t>
            </w:r>
          </w:p>
        </w:tc>
        <w:tc>
          <w:tcPr>
            <w:tcW w:w="4391" w:type="dxa"/>
            <w:noWrap w:val="0"/>
            <w:vAlign w:val="center"/>
          </w:tcPr>
          <w:p w14:paraId="0A1234E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智能型、自愈式、干式(投切元件与电容器一体式结构)</w:t>
            </w:r>
          </w:p>
        </w:tc>
      </w:tr>
      <w:tr w14:paraId="266AC4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73A0244">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D82C8EA">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1011A267">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额定电压</w:t>
            </w:r>
          </w:p>
        </w:tc>
        <w:tc>
          <w:tcPr>
            <w:tcW w:w="4391" w:type="dxa"/>
            <w:noWrap w:val="0"/>
            <w:vAlign w:val="center"/>
          </w:tcPr>
          <w:p w14:paraId="489E7BD3">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450V(三相)/250V(单相)</w:t>
            </w:r>
          </w:p>
        </w:tc>
      </w:tr>
      <w:tr w14:paraId="178EDB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74E2770">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25CC08A9">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64201BC2">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外壳材质</w:t>
            </w:r>
          </w:p>
        </w:tc>
        <w:tc>
          <w:tcPr>
            <w:tcW w:w="4391" w:type="dxa"/>
            <w:noWrap w:val="0"/>
            <w:vAlign w:val="center"/>
          </w:tcPr>
          <w:p w14:paraId="3D654B4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不锈钢</w:t>
            </w:r>
          </w:p>
        </w:tc>
      </w:tr>
      <w:tr w14:paraId="7208D4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426E3DD4">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4E24A341">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7AB925D6">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寿命</w:t>
            </w:r>
          </w:p>
        </w:tc>
        <w:tc>
          <w:tcPr>
            <w:tcW w:w="4391" w:type="dxa"/>
            <w:noWrap w:val="0"/>
            <w:vAlign w:val="center"/>
          </w:tcPr>
          <w:p w14:paraId="0C536154">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7D817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758DCAC5">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03FA3423">
            <w:pPr>
              <w:topLinePunct/>
              <w:snapToGrid w:val="0"/>
              <w:spacing w:before="50" w:after="51"/>
              <w:jc w:val="left"/>
              <w:rPr>
                <w:rFonts w:hint="eastAsia" w:ascii="宋体" w:hAnsi="宋体" w:eastAsia="宋体" w:cs="宋体"/>
                <w:sz w:val="18"/>
                <w:szCs w:val="18"/>
              </w:rPr>
            </w:pPr>
          </w:p>
        </w:tc>
        <w:tc>
          <w:tcPr>
            <w:tcW w:w="2039" w:type="dxa"/>
            <w:vMerge w:val="restart"/>
            <w:noWrap w:val="0"/>
            <w:vAlign w:val="center"/>
          </w:tcPr>
          <w:p w14:paraId="59931FD1">
            <w:pPr>
              <w:adjustRightInd w:val="0"/>
              <w:rPr>
                <w:rFonts w:hint="eastAsia" w:ascii="宋体" w:hAnsi="宋体" w:eastAsia="宋体" w:cs="宋体"/>
              </w:rPr>
            </w:pPr>
            <w:r>
              <w:rPr>
                <w:rFonts w:hint="eastAsia" w:ascii="宋体" w:hAnsi="宋体" w:eastAsia="宋体" w:cs="宋体"/>
              </w:rPr>
              <w:t>容量配置</w:t>
            </w:r>
          </w:p>
        </w:tc>
        <w:tc>
          <w:tcPr>
            <w:tcW w:w="4391" w:type="dxa"/>
            <w:noWrap w:val="0"/>
            <w:vAlign w:val="center"/>
          </w:tcPr>
          <w:p w14:paraId="21E8CF1E">
            <w:pPr>
              <w:adjustRightInd w:val="0"/>
              <w:rPr>
                <w:rFonts w:hint="eastAsia" w:ascii="宋体" w:hAnsi="宋体" w:eastAsia="宋体" w:cs="宋体"/>
              </w:rPr>
            </w:pPr>
            <w:r>
              <w:rPr>
                <w:rFonts w:hint="eastAsia" w:ascii="宋体" w:hAnsi="宋体" w:eastAsia="宋体" w:cs="宋体"/>
              </w:rPr>
              <w:t>（项目单位提供）</w:t>
            </w:r>
          </w:p>
        </w:tc>
      </w:tr>
      <w:tr w14:paraId="008B4B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21CD44C">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0778E960">
            <w:pPr>
              <w:topLinePunct/>
              <w:snapToGrid w:val="0"/>
              <w:spacing w:before="50" w:after="51"/>
              <w:jc w:val="left"/>
              <w:rPr>
                <w:rFonts w:hint="eastAsia" w:ascii="宋体" w:hAnsi="宋体" w:eastAsia="宋体" w:cs="宋体"/>
                <w:sz w:val="18"/>
                <w:szCs w:val="18"/>
              </w:rPr>
            </w:pPr>
          </w:p>
        </w:tc>
        <w:tc>
          <w:tcPr>
            <w:tcW w:w="2039" w:type="dxa"/>
            <w:vMerge w:val="continue"/>
            <w:noWrap w:val="0"/>
            <w:vAlign w:val="center"/>
          </w:tcPr>
          <w:p w14:paraId="16A51427">
            <w:pPr>
              <w:adjustRightInd w:val="0"/>
              <w:rPr>
                <w:rFonts w:hint="eastAsia" w:ascii="宋体" w:hAnsi="宋体" w:eastAsia="宋体" w:cs="宋体"/>
              </w:rPr>
            </w:pPr>
          </w:p>
        </w:tc>
        <w:tc>
          <w:tcPr>
            <w:tcW w:w="4391" w:type="dxa"/>
            <w:noWrap w:val="0"/>
            <w:vAlign w:val="center"/>
          </w:tcPr>
          <w:p w14:paraId="37445700">
            <w:pPr>
              <w:adjustRightInd w:val="0"/>
              <w:rPr>
                <w:rFonts w:hint="eastAsia" w:ascii="宋体" w:hAnsi="宋体" w:eastAsia="宋体" w:cs="宋体"/>
              </w:rPr>
            </w:pPr>
            <w:r>
              <w:rPr>
                <w:rFonts w:hint="eastAsia" w:ascii="宋体" w:hAnsi="宋体" w:eastAsia="宋体" w:cs="宋体"/>
              </w:rPr>
              <w:t>可按变压器容量的20％～30％确定。</w:t>
            </w:r>
          </w:p>
          <w:p w14:paraId="3F6AB09C">
            <w:pPr>
              <w:adjustRightInd w:val="0"/>
              <w:rPr>
                <w:rFonts w:hint="eastAsia" w:ascii="宋体" w:hAnsi="宋体" w:eastAsia="宋体" w:cs="宋体"/>
                <w:lang w:val="en-US" w:eastAsia="zh-CN"/>
              </w:rPr>
            </w:pPr>
            <w:r>
              <w:rPr>
                <w:rFonts w:hint="eastAsia" w:ascii="宋体" w:hAnsi="宋体" w:eastAsia="宋体" w:cs="宋体"/>
                <w:lang w:val="en-US" w:eastAsia="zh-CN"/>
              </w:rPr>
              <w:t>采用混合补偿时，分补容量不得低于总补偿的40%。</w:t>
            </w:r>
          </w:p>
        </w:tc>
      </w:tr>
      <w:tr w14:paraId="7F6E6C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F6A6A10">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9294D58">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41DB733B">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投切元件型式</w:t>
            </w:r>
          </w:p>
        </w:tc>
        <w:tc>
          <w:tcPr>
            <w:tcW w:w="4391" w:type="dxa"/>
            <w:noWrap w:val="0"/>
            <w:vAlign w:val="center"/>
          </w:tcPr>
          <w:p w14:paraId="30976C34">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112DF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3A7E909">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7CFBB76C">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211E6EEF">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投切元件响应时间</w:t>
            </w:r>
          </w:p>
        </w:tc>
        <w:tc>
          <w:tcPr>
            <w:tcW w:w="4391" w:type="dxa"/>
            <w:noWrap w:val="0"/>
            <w:vAlign w:val="center"/>
          </w:tcPr>
          <w:p w14:paraId="7DBEEFCD">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≤20ms</w:t>
            </w:r>
          </w:p>
        </w:tc>
      </w:tr>
      <w:tr w14:paraId="57B35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8E1312F">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021F8EC5">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351EA9A9">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投切元件寿命</w:t>
            </w:r>
          </w:p>
        </w:tc>
        <w:tc>
          <w:tcPr>
            <w:tcW w:w="4391" w:type="dxa"/>
            <w:noWrap w:val="0"/>
            <w:vAlign w:val="center"/>
          </w:tcPr>
          <w:p w14:paraId="2ECD7402">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2D42B2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B02F1DE">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4C927A94">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1075A792">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抑止合闸涌流能力</w:t>
            </w:r>
          </w:p>
          <w:p w14:paraId="07C08358">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（额定电流的倍数）</w:t>
            </w:r>
          </w:p>
        </w:tc>
        <w:tc>
          <w:tcPr>
            <w:tcW w:w="4391" w:type="dxa"/>
            <w:noWrap w:val="0"/>
            <w:vAlign w:val="center"/>
          </w:tcPr>
          <w:p w14:paraId="5CCBD89B">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58B775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0AA99EFF">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8</w:t>
            </w:r>
          </w:p>
        </w:tc>
        <w:tc>
          <w:tcPr>
            <w:tcW w:w="1302" w:type="dxa"/>
            <w:vMerge w:val="restart"/>
            <w:noWrap w:val="0"/>
            <w:vAlign w:val="center"/>
          </w:tcPr>
          <w:p w14:paraId="7A54C026">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控制器</w:t>
            </w:r>
          </w:p>
        </w:tc>
        <w:tc>
          <w:tcPr>
            <w:tcW w:w="2039" w:type="dxa"/>
            <w:noWrap w:val="0"/>
            <w:vAlign w:val="center"/>
          </w:tcPr>
          <w:p w14:paraId="2903CDB5">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参数</w:t>
            </w:r>
          </w:p>
        </w:tc>
        <w:tc>
          <w:tcPr>
            <w:tcW w:w="4391" w:type="dxa"/>
            <w:noWrap w:val="0"/>
            <w:vAlign w:val="center"/>
          </w:tcPr>
          <w:p w14:paraId="4D500312">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满足DL/T 597之要求</w:t>
            </w:r>
          </w:p>
        </w:tc>
      </w:tr>
      <w:tr w14:paraId="607E15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5B12867">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46C0A17D">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063D62AD">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通信接口</w:t>
            </w:r>
          </w:p>
        </w:tc>
        <w:tc>
          <w:tcPr>
            <w:tcW w:w="4391" w:type="dxa"/>
            <w:noWrap w:val="0"/>
            <w:vAlign w:val="center"/>
          </w:tcPr>
          <w:p w14:paraId="60AB2B7B">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USB及RS-485标准接口</w:t>
            </w:r>
          </w:p>
        </w:tc>
      </w:tr>
      <w:tr w14:paraId="37DD4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212B0F70">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2FC900D1">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53EF28FC">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电压显示</w:t>
            </w:r>
          </w:p>
        </w:tc>
        <w:tc>
          <w:tcPr>
            <w:tcW w:w="4391" w:type="dxa"/>
            <w:noWrap w:val="0"/>
            <w:vAlign w:val="center"/>
          </w:tcPr>
          <w:p w14:paraId="7F88BFB8">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有</w:t>
            </w:r>
          </w:p>
        </w:tc>
      </w:tr>
      <w:tr w14:paraId="1021A3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1D38B2E4">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4FD59C77">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3847C058">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电流显示</w:t>
            </w:r>
          </w:p>
        </w:tc>
        <w:tc>
          <w:tcPr>
            <w:tcW w:w="4391" w:type="dxa"/>
            <w:noWrap w:val="0"/>
            <w:vAlign w:val="center"/>
          </w:tcPr>
          <w:p w14:paraId="75DF709D">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有</w:t>
            </w:r>
          </w:p>
        </w:tc>
      </w:tr>
      <w:tr w14:paraId="20730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34BB90DA">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9</w:t>
            </w:r>
          </w:p>
        </w:tc>
        <w:tc>
          <w:tcPr>
            <w:tcW w:w="1302" w:type="dxa"/>
            <w:vMerge w:val="restart"/>
            <w:noWrap w:val="0"/>
            <w:vAlign w:val="center"/>
          </w:tcPr>
          <w:p w14:paraId="7B5E048A">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浪涌保护器</w:t>
            </w:r>
          </w:p>
        </w:tc>
        <w:tc>
          <w:tcPr>
            <w:tcW w:w="2039" w:type="dxa"/>
            <w:noWrap w:val="0"/>
            <w:vAlign w:val="top"/>
          </w:tcPr>
          <w:p w14:paraId="3CCF9172">
            <w:pPr>
              <w:adjustRightInd w:val="0"/>
              <w:snapToGrid w:val="0"/>
              <w:jc w:val="left"/>
              <w:rPr>
                <w:rFonts w:hint="eastAsia" w:ascii="宋体" w:hAnsi="宋体" w:eastAsia="宋体" w:cs="宋体"/>
                <w:sz w:val="18"/>
                <w:szCs w:val="18"/>
              </w:rPr>
            </w:pPr>
            <w:r>
              <w:rPr>
                <w:rFonts w:hint="eastAsia" w:ascii="宋体" w:hAnsi="宋体" w:eastAsia="宋体" w:cs="宋体"/>
                <w:sz w:val="18"/>
                <w:szCs w:val="18"/>
              </w:rPr>
              <w:t>保护类型（IEC类别）</w:t>
            </w:r>
          </w:p>
        </w:tc>
        <w:tc>
          <w:tcPr>
            <w:tcW w:w="4391" w:type="dxa"/>
            <w:noWrap w:val="0"/>
            <w:vAlign w:val="center"/>
          </w:tcPr>
          <w:p w14:paraId="10DEC4E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II类</w:t>
            </w:r>
          </w:p>
        </w:tc>
      </w:tr>
      <w:tr w14:paraId="54AA6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29228978">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0C10DFDA">
            <w:pPr>
              <w:widowControl/>
              <w:jc w:val="left"/>
              <w:rPr>
                <w:rFonts w:hint="eastAsia" w:ascii="宋体" w:hAnsi="宋体" w:eastAsia="宋体" w:cs="宋体"/>
                <w:sz w:val="18"/>
                <w:szCs w:val="18"/>
              </w:rPr>
            </w:pPr>
          </w:p>
        </w:tc>
        <w:tc>
          <w:tcPr>
            <w:tcW w:w="2039" w:type="dxa"/>
            <w:noWrap w:val="0"/>
            <w:vAlign w:val="top"/>
          </w:tcPr>
          <w:p w14:paraId="1E993FD5">
            <w:pPr>
              <w:adjustRightInd w:val="0"/>
              <w:snapToGrid w:val="0"/>
              <w:jc w:val="left"/>
              <w:rPr>
                <w:rFonts w:hint="eastAsia" w:ascii="宋体" w:hAnsi="宋体" w:eastAsia="宋体" w:cs="宋体"/>
                <w:sz w:val="18"/>
                <w:szCs w:val="18"/>
              </w:rPr>
            </w:pPr>
            <w:r>
              <w:rPr>
                <w:rFonts w:hint="eastAsia" w:ascii="宋体" w:hAnsi="宋体" w:eastAsia="宋体" w:cs="宋体"/>
                <w:sz w:val="18"/>
                <w:szCs w:val="18"/>
              </w:rPr>
              <w:t>标称工作电压（V）</w:t>
            </w:r>
          </w:p>
        </w:tc>
        <w:tc>
          <w:tcPr>
            <w:tcW w:w="4391" w:type="dxa"/>
            <w:noWrap w:val="0"/>
            <w:vAlign w:val="center"/>
          </w:tcPr>
          <w:p w14:paraId="5DD0907C">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400V</w:t>
            </w:r>
          </w:p>
        </w:tc>
      </w:tr>
      <w:tr w14:paraId="705B25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3CD26AAC">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241E502D">
            <w:pPr>
              <w:widowControl/>
              <w:jc w:val="left"/>
              <w:rPr>
                <w:rFonts w:hint="eastAsia" w:ascii="宋体" w:hAnsi="宋体" w:eastAsia="宋体" w:cs="宋体"/>
                <w:sz w:val="18"/>
                <w:szCs w:val="18"/>
              </w:rPr>
            </w:pPr>
          </w:p>
        </w:tc>
        <w:tc>
          <w:tcPr>
            <w:tcW w:w="2039" w:type="dxa"/>
            <w:noWrap w:val="0"/>
            <w:vAlign w:val="top"/>
          </w:tcPr>
          <w:p w14:paraId="45C62C49">
            <w:pPr>
              <w:adjustRightInd w:val="0"/>
              <w:snapToGrid w:val="0"/>
              <w:jc w:val="left"/>
              <w:rPr>
                <w:rFonts w:hint="eastAsia" w:ascii="宋体" w:hAnsi="宋体" w:eastAsia="宋体" w:cs="宋体"/>
                <w:sz w:val="18"/>
                <w:szCs w:val="18"/>
              </w:rPr>
            </w:pPr>
            <w:r>
              <w:rPr>
                <w:rFonts w:hint="eastAsia" w:ascii="宋体" w:hAnsi="宋体" w:eastAsia="宋体" w:cs="宋体"/>
                <w:sz w:val="18"/>
                <w:szCs w:val="18"/>
              </w:rPr>
              <w:t>最大持续工作电压（V）</w:t>
            </w:r>
          </w:p>
        </w:tc>
        <w:tc>
          <w:tcPr>
            <w:tcW w:w="4391" w:type="dxa"/>
            <w:noWrap w:val="0"/>
            <w:vAlign w:val="center"/>
          </w:tcPr>
          <w:p w14:paraId="3A8ABAC9">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2A9664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47A19A1A">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1E388F7C">
            <w:pPr>
              <w:widowControl/>
              <w:jc w:val="left"/>
              <w:rPr>
                <w:rFonts w:hint="eastAsia" w:ascii="宋体" w:hAnsi="宋体" w:eastAsia="宋体" w:cs="宋体"/>
                <w:sz w:val="18"/>
                <w:szCs w:val="18"/>
              </w:rPr>
            </w:pPr>
          </w:p>
        </w:tc>
        <w:tc>
          <w:tcPr>
            <w:tcW w:w="2039" w:type="dxa"/>
            <w:noWrap w:val="0"/>
            <w:vAlign w:val="center"/>
          </w:tcPr>
          <w:p w14:paraId="73D0BFFE">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标称放电电流(8/20uS)</w:t>
            </w:r>
          </w:p>
        </w:tc>
        <w:tc>
          <w:tcPr>
            <w:tcW w:w="4391" w:type="dxa"/>
            <w:noWrap w:val="0"/>
            <w:vAlign w:val="center"/>
          </w:tcPr>
          <w:p w14:paraId="3B07DF9D">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40kA</w:t>
            </w:r>
          </w:p>
        </w:tc>
      </w:tr>
      <w:tr w14:paraId="23517D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02946F8C">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370EF337">
            <w:pPr>
              <w:widowControl/>
              <w:jc w:val="left"/>
              <w:rPr>
                <w:rFonts w:hint="eastAsia" w:ascii="宋体" w:hAnsi="宋体" w:eastAsia="宋体" w:cs="宋体"/>
                <w:sz w:val="18"/>
                <w:szCs w:val="18"/>
              </w:rPr>
            </w:pPr>
          </w:p>
        </w:tc>
        <w:tc>
          <w:tcPr>
            <w:tcW w:w="2039" w:type="dxa"/>
            <w:noWrap w:val="0"/>
            <w:vAlign w:val="top"/>
          </w:tcPr>
          <w:p w14:paraId="432E8852">
            <w:pPr>
              <w:adjustRightInd w:val="0"/>
              <w:snapToGrid w:val="0"/>
              <w:jc w:val="left"/>
              <w:rPr>
                <w:rFonts w:hint="eastAsia" w:ascii="宋体" w:hAnsi="宋体" w:eastAsia="宋体" w:cs="宋体"/>
                <w:sz w:val="18"/>
                <w:szCs w:val="18"/>
              </w:rPr>
            </w:pPr>
            <w:r>
              <w:rPr>
                <w:rFonts w:hint="eastAsia" w:ascii="宋体" w:hAnsi="宋体" w:eastAsia="宋体" w:cs="宋体"/>
                <w:sz w:val="18"/>
                <w:szCs w:val="18"/>
              </w:rPr>
              <w:t>电压保护水平（kV）</w:t>
            </w:r>
          </w:p>
        </w:tc>
        <w:tc>
          <w:tcPr>
            <w:tcW w:w="4391" w:type="dxa"/>
            <w:noWrap w:val="0"/>
            <w:vAlign w:val="center"/>
          </w:tcPr>
          <w:p w14:paraId="55707558">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（供货方提供）</w:t>
            </w:r>
          </w:p>
        </w:tc>
      </w:tr>
      <w:tr w14:paraId="7BE240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restart"/>
            <w:noWrap w:val="0"/>
            <w:vAlign w:val="center"/>
          </w:tcPr>
          <w:p w14:paraId="2226FDB5">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10</w:t>
            </w:r>
          </w:p>
        </w:tc>
        <w:tc>
          <w:tcPr>
            <w:tcW w:w="1302" w:type="dxa"/>
            <w:vMerge w:val="restart"/>
            <w:noWrap w:val="0"/>
            <w:vAlign w:val="center"/>
          </w:tcPr>
          <w:p w14:paraId="2C64AC92">
            <w:pPr>
              <w:topLinePunct/>
              <w:snapToGrid w:val="0"/>
              <w:spacing w:before="65" w:after="65"/>
              <w:jc w:val="left"/>
              <w:rPr>
                <w:rFonts w:hint="eastAsia" w:ascii="宋体" w:hAnsi="宋体" w:eastAsia="宋体" w:cs="宋体"/>
                <w:sz w:val="18"/>
                <w:szCs w:val="18"/>
              </w:rPr>
            </w:pPr>
            <w:r>
              <w:rPr>
                <w:rFonts w:hint="eastAsia" w:ascii="宋体" w:hAnsi="宋体" w:eastAsia="宋体" w:cs="宋体"/>
                <w:sz w:val="18"/>
                <w:szCs w:val="18"/>
              </w:rPr>
              <w:t>柜体</w:t>
            </w:r>
          </w:p>
        </w:tc>
        <w:tc>
          <w:tcPr>
            <w:tcW w:w="2039" w:type="dxa"/>
            <w:noWrap w:val="0"/>
            <w:vAlign w:val="center"/>
          </w:tcPr>
          <w:p w14:paraId="4CC76D25">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 xml:space="preserve">宽度（mm） </w:t>
            </w:r>
          </w:p>
        </w:tc>
        <w:tc>
          <w:tcPr>
            <w:tcW w:w="4391" w:type="dxa"/>
            <w:noWrap w:val="0"/>
            <w:vAlign w:val="center"/>
          </w:tcPr>
          <w:p w14:paraId="5FCD1F4F">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1000</w:t>
            </w:r>
          </w:p>
        </w:tc>
      </w:tr>
      <w:tr w14:paraId="4421BB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2E06A1BC">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514A201A">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4C87AAE4">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深度（mm）</w:t>
            </w:r>
          </w:p>
        </w:tc>
        <w:tc>
          <w:tcPr>
            <w:tcW w:w="4391" w:type="dxa"/>
            <w:noWrap w:val="0"/>
            <w:vAlign w:val="center"/>
          </w:tcPr>
          <w:p w14:paraId="2DB6F63D">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1000</w:t>
            </w:r>
          </w:p>
        </w:tc>
      </w:tr>
      <w:tr w14:paraId="79C392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588D4738">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68EC6FE3">
            <w:pPr>
              <w:topLinePunct/>
              <w:snapToGrid w:val="0"/>
              <w:spacing w:before="65" w:after="65"/>
              <w:jc w:val="left"/>
              <w:rPr>
                <w:rFonts w:hint="eastAsia" w:ascii="宋体" w:hAnsi="宋体" w:eastAsia="宋体" w:cs="宋体"/>
                <w:sz w:val="18"/>
                <w:szCs w:val="18"/>
              </w:rPr>
            </w:pPr>
          </w:p>
        </w:tc>
        <w:tc>
          <w:tcPr>
            <w:tcW w:w="2039" w:type="dxa"/>
            <w:noWrap w:val="0"/>
            <w:vAlign w:val="center"/>
          </w:tcPr>
          <w:p w14:paraId="6ACC5B0A">
            <w:pPr>
              <w:topLinePunct/>
              <w:snapToGrid w:val="0"/>
              <w:spacing w:before="64" w:after="63"/>
              <w:jc w:val="left"/>
              <w:rPr>
                <w:rFonts w:hint="eastAsia" w:ascii="宋体" w:hAnsi="宋体" w:eastAsia="宋体" w:cs="宋体"/>
                <w:sz w:val="18"/>
                <w:szCs w:val="18"/>
              </w:rPr>
            </w:pPr>
            <w:r>
              <w:rPr>
                <w:rFonts w:hint="eastAsia" w:ascii="宋体" w:hAnsi="宋体" w:eastAsia="宋体" w:cs="宋体"/>
                <w:sz w:val="18"/>
                <w:szCs w:val="18"/>
              </w:rPr>
              <w:t>高度（mm）</w:t>
            </w:r>
          </w:p>
        </w:tc>
        <w:tc>
          <w:tcPr>
            <w:tcW w:w="4391" w:type="dxa"/>
            <w:noWrap w:val="0"/>
            <w:vAlign w:val="center"/>
          </w:tcPr>
          <w:p w14:paraId="29F2A8BD">
            <w:pPr>
              <w:topLinePunct/>
              <w:snapToGrid w:val="0"/>
              <w:spacing w:before="65" w:after="65"/>
              <w:jc w:val="center"/>
              <w:rPr>
                <w:rFonts w:hint="eastAsia" w:ascii="宋体" w:hAnsi="宋体" w:eastAsia="宋体" w:cs="宋体"/>
                <w:sz w:val="18"/>
                <w:szCs w:val="18"/>
              </w:rPr>
            </w:pPr>
            <w:r>
              <w:rPr>
                <w:rFonts w:hint="eastAsia" w:ascii="宋体" w:hAnsi="宋体" w:eastAsia="宋体" w:cs="宋体"/>
                <w:sz w:val="18"/>
                <w:szCs w:val="18"/>
              </w:rPr>
              <w:t>2200</w:t>
            </w:r>
          </w:p>
        </w:tc>
      </w:tr>
      <w:tr w14:paraId="52749A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6" w:type="dxa"/>
            <w:vMerge w:val="continue"/>
            <w:noWrap w:val="0"/>
            <w:vAlign w:val="center"/>
          </w:tcPr>
          <w:p w14:paraId="6C688A99">
            <w:pPr>
              <w:topLinePunct/>
              <w:snapToGrid w:val="0"/>
              <w:spacing w:before="65" w:after="65"/>
              <w:jc w:val="center"/>
              <w:rPr>
                <w:rFonts w:hint="eastAsia" w:ascii="宋体" w:hAnsi="宋体" w:eastAsia="宋体" w:cs="宋体"/>
                <w:sz w:val="18"/>
                <w:szCs w:val="18"/>
              </w:rPr>
            </w:pPr>
          </w:p>
        </w:tc>
        <w:tc>
          <w:tcPr>
            <w:tcW w:w="1302" w:type="dxa"/>
            <w:vMerge w:val="continue"/>
            <w:noWrap w:val="0"/>
            <w:vAlign w:val="center"/>
          </w:tcPr>
          <w:p w14:paraId="7D87F09F">
            <w:pPr>
              <w:topLinePunct/>
              <w:snapToGrid w:val="0"/>
              <w:spacing w:before="50" w:after="51"/>
              <w:jc w:val="left"/>
              <w:rPr>
                <w:rFonts w:hint="eastAsia" w:ascii="宋体" w:hAnsi="宋体" w:eastAsia="宋体" w:cs="宋体"/>
                <w:sz w:val="18"/>
                <w:szCs w:val="18"/>
              </w:rPr>
            </w:pPr>
          </w:p>
        </w:tc>
        <w:tc>
          <w:tcPr>
            <w:tcW w:w="2039" w:type="dxa"/>
            <w:noWrap w:val="0"/>
            <w:vAlign w:val="center"/>
          </w:tcPr>
          <w:p w14:paraId="00F7C2D7">
            <w:pPr>
              <w:topLinePunct/>
              <w:snapToGrid w:val="0"/>
              <w:spacing w:before="50" w:after="51"/>
              <w:jc w:val="left"/>
              <w:rPr>
                <w:rFonts w:hint="eastAsia" w:ascii="宋体" w:hAnsi="宋体" w:eastAsia="宋体" w:cs="宋体"/>
                <w:sz w:val="18"/>
                <w:szCs w:val="18"/>
              </w:rPr>
            </w:pPr>
            <w:r>
              <w:rPr>
                <w:rFonts w:hint="eastAsia" w:ascii="宋体" w:hAnsi="宋体" w:eastAsia="宋体" w:cs="宋体"/>
                <w:sz w:val="18"/>
                <w:szCs w:val="18"/>
              </w:rPr>
              <w:t>防护等级</w:t>
            </w:r>
          </w:p>
        </w:tc>
        <w:tc>
          <w:tcPr>
            <w:tcW w:w="4391" w:type="dxa"/>
            <w:noWrap w:val="0"/>
            <w:vAlign w:val="center"/>
          </w:tcPr>
          <w:p w14:paraId="72507C50">
            <w:pPr>
              <w:topLinePunct/>
              <w:snapToGrid w:val="0"/>
              <w:spacing w:before="50" w:after="51"/>
              <w:jc w:val="center"/>
              <w:rPr>
                <w:rFonts w:hint="eastAsia" w:ascii="宋体" w:hAnsi="宋体" w:eastAsia="宋体" w:cs="宋体"/>
                <w:sz w:val="18"/>
                <w:szCs w:val="18"/>
              </w:rPr>
            </w:pPr>
            <w:r>
              <w:rPr>
                <w:rFonts w:hint="eastAsia" w:ascii="宋体" w:hAnsi="宋体" w:eastAsia="宋体" w:cs="宋体"/>
                <w:sz w:val="18"/>
                <w:szCs w:val="18"/>
              </w:rPr>
              <w:t>IP31</w:t>
            </w:r>
          </w:p>
        </w:tc>
      </w:tr>
    </w:tbl>
    <w:p w14:paraId="69167024">
      <w:pPr>
        <w:pStyle w:val="37"/>
        <w:keepNext w:val="0"/>
        <w:keepLines w:val="0"/>
        <w:topLinePunct w:val="0"/>
        <w:outlineLvl w:val="0"/>
        <w:rPr>
          <w:rFonts w:hint="eastAsia" w:ascii="宋体" w:hAnsi="宋体" w:eastAsia="宋体" w:cs="宋体"/>
        </w:rPr>
      </w:pPr>
      <w:bookmarkStart w:id="69" w:name="_Toc446981692"/>
      <w:r>
        <w:rPr>
          <w:rFonts w:hint="eastAsia" w:ascii="宋体" w:hAnsi="宋体" w:eastAsia="宋体" w:cs="宋体"/>
          <w:lang w:eastAsia="zh-CN"/>
        </w:rPr>
        <w:t>4</w:t>
      </w:r>
      <w:r>
        <w:rPr>
          <w:rFonts w:hint="eastAsia" w:ascii="宋体" w:hAnsi="宋体" w:eastAsia="宋体" w:cs="宋体"/>
        </w:rPr>
        <w:t>　使用环境条件表</w:t>
      </w:r>
      <w:bookmarkEnd w:id="69"/>
    </w:p>
    <w:p w14:paraId="47DD6826">
      <w:pPr>
        <w:topLinePunct/>
        <w:spacing w:line="312" w:lineRule="exact"/>
        <w:ind w:firstLine="420"/>
        <w:rPr>
          <w:rFonts w:hint="eastAsia" w:ascii="宋体" w:hAnsi="宋体" w:eastAsia="宋体" w:cs="宋体"/>
          <w:szCs w:val="21"/>
        </w:rPr>
      </w:pPr>
      <w:r>
        <w:rPr>
          <w:rFonts w:hint="eastAsia" w:ascii="宋体" w:hAnsi="宋体" w:eastAsia="宋体" w:cs="宋体"/>
          <w:szCs w:val="21"/>
        </w:rPr>
        <w:t>使用环境条件见表5。特殊环境要求根据项目情况进行编制。</w:t>
      </w:r>
    </w:p>
    <w:p w14:paraId="54BE1B3C">
      <w:pPr>
        <w:jc w:val="center"/>
        <w:rPr>
          <w:rFonts w:hint="eastAsia" w:ascii="宋体" w:hAnsi="宋体" w:eastAsia="宋体" w:cs="宋体"/>
        </w:rPr>
      </w:pPr>
      <w:r>
        <w:rPr>
          <w:rFonts w:hint="eastAsia" w:ascii="宋体" w:hAnsi="宋体" w:eastAsia="宋体" w:cs="宋体"/>
        </w:rPr>
        <w:t>表5　使用环境条件表</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2298"/>
        <w:gridCol w:w="2298"/>
        <w:gridCol w:w="1282"/>
        <w:gridCol w:w="2891"/>
      </w:tblGrid>
      <w:tr w14:paraId="121B15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tcBorders>
              <w:top w:val="single" w:color="auto" w:sz="8" w:space="0"/>
            </w:tcBorders>
            <w:noWrap w:val="0"/>
            <w:vAlign w:val="center"/>
          </w:tcPr>
          <w:p w14:paraId="58F1DDEF">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序号</w:t>
            </w:r>
          </w:p>
        </w:tc>
        <w:tc>
          <w:tcPr>
            <w:tcW w:w="2340" w:type="pct"/>
            <w:gridSpan w:val="2"/>
            <w:tcBorders>
              <w:top w:val="single" w:color="auto" w:sz="8" w:space="0"/>
            </w:tcBorders>
            <w:noWrap w:val="0"/>
            <w:vAlign w:val="center"/>
          </w:tcPr>
          <w:p w14:paraId="231F1AF4">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名　　称</w:t>
            </w:r>
          </w:p>
        </w:tc>
        <w:tc>
          <w:tcPr>
            <w:tcW w:w="653" w:type="pct"/>
            <w:tcBorders>
              <w:top w:val="single" w:color="auto" w:sz="8" w:space="0"/>
            </w:tcBorders>
            <w:noWrap w:val="0"/>
            <w:vAlign w:val="center"/>
          </w:tcPr>
          <w:p w14:paraId="5DA0488F">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单位</w:t>
            </w:r>
          </w:p>
        </w:tc>
        <w:tc>
          <w:tcPr>
            <w:tcW w:w="1472" w:type="pct"/>
            <w:tcBorders>
              <w:top w:val="single" w:color="auto" w:sz="8" w:space="0"/>
            </w:tcBorders>
            <w:noWrap w:val="0"/>
            <w:vAlign w:val="center"/>
          </w:tcPr>
          <w:p w14:paraId="41C69C43">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项目需求值</w:t>
            </w:r>
          </w:p>
        </w:tc>
      </w:tr>
      <w:tr w14:paraId="5CAE07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restart"/>
            <w:noWrap w:val="0"/>
            <w:vAlign w:val="center"/>
          </w:tcPr>
          <w:p w14:paraId="34810B6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1170" w:type="pct"/>
            <w:vMerge w:val="restart"/>
            <w:noWrap w:val="0"/>
            <w:vAlign w:val="center"/>
          </w:tcPr>
          <w:p w14:paraId="1E10411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周围空气温度</w:t>
            </w:r>
          </w:p>
        </w:tc>
        <w:tc>
          <w:tcPr>
            <w:tcW w:w="1170" w:type="pct"/>
            <w:noWrap w:val="0"/>
            <w:vAlign w:val="center"/>
          </w:tcPr>
          <w:p w14:paraId="3388E84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最高气温</w:t>
            </w:r>
          </w:p>
        </w:tc>
        <w:tc>
          <w:tcPr>
            <w:tcW w:w="653" w:type="pct"/>
            <w:vMerge w:val="restart"/>
            <w:noWrap w:val="0"/>
            <w:vAlign w:val="center"/>
          </w:tcPr>
          <w:p w14:paraId="7D5A905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1472" w:type="pct"/>
            <w:noWrap w:val="0"/>
            <w:vAlign w:val="center"/>
          </w:tcPr>
          <w:p w14:paraId="626590A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+45</w:t>
            </w:r>
          </w:p>
        </w:tc>
      </w:tr>
      <w:tr w14:paraId="75ED5A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continue"/>
            <w:noWrap w:val="0"/>
            <w:vAlign w:val="center"/>
          </w:tcPr>
          <w:p w14:paraId="49157B6A">
            <w:pPr>
              <w:topLinePunct/>
              <w:snapToGrid w:val="0"/>
              <w:spacing w:before="60" w:after="60"/>
              <w:jc w:val="center"/>
              <w:rPr>
                <w:rFonts w:hint="eastAsia" w:ascii="宋体" w:hAnsi="宋体" w:eastAsia="宋体" w:cs="宋体"/>
                <w:sz w:val="18"/>
                <w:szCs w:val="21"/>
              </w:rPr>
            </w:pPr>
          </w:p>
        </w:tc>
        <w:tc>
          <w:tcPr>
            <w:tcW w:w="1170" w:type="pct"/>
            <w:vMerge w:val="continue"/>
            <w:noWrap w:val="0"/>
            <w:vAlign w:val="center"/>
          </w:tcPr>
          <w:p w14:paraId="1A44B23D">
            <w:pPr>
              <w:topLinePunct/>
              <w:snapToGrid w:val="0"/>
              <w:spacing w:before="60" w:after="60"/>
              <w:jc w:val="center"/>
              <w:rPr>
                <w:rFonts w:hint="eastAsia" w:ascii="宋体" w:hAnsi="宋体" w:eastAsia="宋体" w:cs="宋体"/>
                <w:sz w:val="18"/>
                <w:szCs w:val="21"/>
              </w:rPr>
            </w:pPr>
          </w:p>
        </w:tc>
        <w:tc>
          <w:tcPr>
            <w:tcW w:w="1170" w:type="pct"/>
            <w:noWrap w:val="0"/>
            <w:vAlign w:val="center"/>
          </w:tcPr>
          <w:p w14:paraId="205518B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最低气温</w:t>
            </w:r>
          </w:p>
        </w:tc>
        <w:tc>
          <w:tcPr>
            <w:tcW w:w="653" w:type="pct"/>
            <w:vMerge w:val="continue"/>
            <w:noWrap w:val="0"/>
            <w:vAlign w:val="center"/>
          </w:tcPr>
          <w:p w14:paraId="60A8937B">
            <w:pPr>
              <w:topLinePunct/>
              <w:snapToGrid w:val="0"/>
              <w:spacing w:before="60" w:after="60"/>
              <w:jc w:val="center"/>
              <w:rPr>
                <w:rFonts w:hint="eastAsia" w:ascii="宋体" w:hAnsi="宋体" w:eastAsia="宋体" w:cs="宋体"/>
                <w:sz w:val="18"/>
                <w:szCs w:val="21"/>
              </w:rPr>
            </w:pPr>
          </w:p>
        </w:tc>
        <w:tc>
          <w:tcPr>
            <w:tcW w:w="1472" w:type="pct"/>
            <w:noWrap w:val="0"/>
            <w:vAlign w:val="center"/>
          </w:tcPr>
          <w:p w14:paraId="7335A9A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25</w:t>
            </w:r>
          </w:p>
        </w:tc>
      </w:tr>
      <w:tr w14:paraId="1A206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continue"/>
            <w:noWrap w:val="0"/>
            <w:vAlign w:val="center"/>
          </w:tcPr>
          <w:p w14:paraId="4D6EE91E">
            <w:pPr>
              <w:topLinePunct/>
              <w:snapToGrid w:val="0"/>
              <w:spacing w:before="60" w:after="60"/>
              <w:jc w:val="center"/>
              <w:rPr>
                <w:rFonts w:hint="eastAsia" w:ascii="宋体" w:hAnsi="宋体" w:eastAsia="宋体" w:cs="宋体"/>
                <w:sz w:val="18"/>
                <w:szCs w:val="21"/>
              </w:rPr>
            </w:pPr>
          </w:p>
        </w:tc>
        <w:tc>
          <w:tcPr>
            <w:tcW w:w="1170" w:type="pct"/>
            <w:vMerge w:val="continue"/>
            <w:noWrap w:val="0"/>
            <w:vAlign w:val="center"/>
          </w:tcPr>
          <w:p w14:paraId="661C0413">
            <w:pPr>
              <w:topLinePunct/>
              <w:snapToGrid w:val="0"/>
              <w:spacing w:before="60" w:after="60"/>
              <w:jc w:val="center"/>
              <w:rPr>
                <w:rFonts w:hint="eastAsia" w:ascii="宋体" w:hAnsi="宋体" w:eastAsia="宋体" w:cs="宋体"/>
                <w:sz w:val="18"/>
                <w:szCs w:val="21"/>
              </w:rPr>
            </w:pPr>
          </w:p>
        </w:tc>
        <w:tc>
          <w:tcPr>
            <w:tcW w:w="1170" w:type="pct"/>
            <w:noWrap w:val="0"/>
            <w:vAlign w:val="center"/>
          </w:tcPr>
          <w:p w14:paraId="49D134C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最大日温差</w:t>
            </w:r>
          </w:p>
        </w:tc>
        <w:tc>
          <w:tcPr>
            <w:tcW w:w="653" w:type="pct"/>
            <w:noWrap w:val="0"/>
            <w:vAlign w:val="center"/>
          </w:tcPr>
          <w:p w14:paraId="36914F6F">
            <w:pPr>
              <w:pStyle w:val="5"/>
              <w:keepNext w:val="0"/>
              <w:keepLines w:val="0"/>
              <w:topLinePunct/>
              <w:snapToGrid w:val="0"/>
              <w:spacing w:before="60" w:after="60" w:line="240" w:lineRule="auto"/>
              <w:jc w:val="center"/>
              <w:rPr>
                <w:rFonts w:hint="eastAsia" w:ascii="宋体" w:hAnsi="宋体" w:eastAsia="宋体" w:cs="宋体"/>
                <w:b w:val="0"/>
                <w:bCs w:val="0"/>
                <w:sz w:val="18"/>
                <w:szCs w:val="21"/>
              </w:rPr>
            </w:pPr>
            <w:r>
              <w:rPr>
                <w:rFonts w:hint="eastAsia" w:ascii="宋体" w:hAnsi="宋体" w:eastAsia="宋体" w:cs="宋体"/>
                <w:b w:val="0"/>
                <w:sz w:val="18"/>
                <w:szCs w:val="21"/>
              </w:rPr>
              <w:t>K</w:t>
            </w:r>
          </w:p>
        </w:tc>
        <w:tc>
          <w:tcPr>
            <w:tcW w:w="1472" w:type="pct"/>
            <w:noWrap w:val="0"/>
            <w:vAlign w:val="center"/>
          </w:tcPr>
          <w:p w14:paraId="3FF602F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30</w:t>
            </w:r>
          </w:p>
        </w:tc>
      </w:tr>
      <w:tr w14:paraId="1A7E5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noWrap w:val="0"/>
            <w:vAlign w:val="center"/>
          </w:tcPr>
          <w:p w14:paraId="51D5418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2340" w:type="pct"/>
            <w:gridSpan w:val="2"/>
            <w:noWrap w:val="0"/>
            <w:vAlign w:val="center"/>
          </w:tcPr>
          <w:p w14:paraId="47C87DA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海拔</w:t>
            </w:r>
          </w:p>
        </w:tc>
        <w:tc>
          <w:tcPr>
            <w:tcW w:w="653" w:type="pct"/>
            <w:noWrap w:val="0"/>
            <w:vAlign w:val="center"/>
          </w:tcPr>
          <w:p w14:paraId="6840828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w:t>
            </w:r>
          </w:p>
        </w:tc>
        <w:tc>
          <w:tcPr>
            <w:tcW w:w="1472" w:type="pct"/>
            <w:noWrap w:val="0"/>
            <w:vAlign w:val="center"/>
          </w:tcPr>
          <w:p w14:paraId="024F570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≤1000</w:t>
            </w:r>
          </w:p>
        </w:tc>
      </w:tr>
      <w:tr w14:paraId="06B4E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noWrap w:val="0"/>
            <w:vAlign w:val="center"/>
          </w:tcPr>
          <w:p w14:paraId="7420701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2340" w:type="pct"/>
            <w:gridSpan w:val="2"/>
            <w:noWrap w:val="0"/>
            <w:vAlign w:val="center"/>
          </w:tcPr>
          <w:p w14:paraId="20C2BAB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太阳辐射强度</w:t>
            </w:r>
          </w:p>
        </w:tc>
        <w:tc>
          <w:tcPr>
            <w:tcW w:w="653" w:type="pct"/>
            <w:noWrap w:val="0"/>
            <w:vAlign w:val="center"/>
          </w:tcPr>
          <w:p w14:paraId="1BDC1E8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W/cm</w:t>
            </w:r>
            <w:r>
              <w:rPr>
                <w:rFonts w:hint="eastAsia" w:ascii="宋体" w:hAnsi="宋体" w:eastAsia="宋体" w:cs="宋体"/>
                <w:sz w:val="18"/>
                <w:szCs w:val="21"/>
                <w:vertAlign w:val="superscript"/>
              </w:rPr>
              <w:t>2</w:t>
            </w:r>
          </w:p>
        </w:tc>
        <w:tc>
          <w:tcPr>
            <w:tcW w:w="1472" w:type="pct"/>
            <w:noWrap w:val="0"/>
            <w:vAlign w:val="center"/>
          </w:tcPr>
          <w:p w14:paraId="3A6C115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0.1</w:t>
            </w:r>
          </w:p>
        </w:tc>
      </w:tr>
      <w:tr w14:paraId="0F150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noWrap w:val="0"/>
            <w:vAlign w:val="center"/>
          </w:tcPr>
          <w:p w14:paraId="1A3984C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2340" w:type="pct"/>
            <w:gridSpan w:val="2"/>
            <w:noWrap w:val="0"/>
            <w:vAlign w:val="center"/>
          </w:tcPr>
          <w:p w14:paraId="3F6C995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污秽等级</w:t>
            </w:r>
          </w:p>
        </w:tc>
        <w:tc>
          <w:tcPr>
            <w:tcW w:w="653" w:type="pct"/>
            <w:noWrap w:val="0"/>
            <w:vAlign w:val="center"/>
          </w:tcPr>
          <w:p w14:paraId="51B77F98">
            <w:pPr>
              <w:topLinePunct/>
              <w:snapToGrid w:val="0"/>
              <w:spacing w:before="60" w:after="60"/>
              <w:jc w:val="center"/>
              <w:rPr>
                <w:rFonts w:hint="eastAsia" w:ascii="宋体" w:hAnsi="宋体" w:eastAsia="宋体" w:cs="宋体"/>
                <w:sz w:val="18"/>
                <w:szCs w:val="21"/>
              </w:rPr>
            </w:pPr>
          </w:p>
        </w:tc>
        <w:tc>
          <w:tcPr>
            <w:tcW w:w="1472" w:type="pct"/>
            <w:noWrap w:val="0"/>
            <w:vAlign w:val="center"/>
          </w:tcPr>
          <w:p w14:paraId="2FD37B2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Ⅲ</w:t>
            </w:r>
          </w:p>
        </w:tc>
      </w:tr>
      <w:tr w14:paraId="6E176A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noWrap w:val="0"/>
            <w:vAlign w:val="center"/>
          </w:tcPr>
          <w:p w14:paraId="2689995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2340" w:type="pct"/>
            <w:gridSpan w:val="2"/>
            <w:noWrap w:val="0"/>
            <w:vAlign w:val="center"/>
          </w:tcPr>
          <w:p w14:paraId="77DAF51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覆冰厚度</w:t>
            </w:r>
          </w:p>
        </w:tc>
        <w:tc>
          <w:tcPr>
            <w:tcW w:w="653" w:type="pct"/>
            <w:noWrap w:val="0"/>
            <w:vAlign w:val="center"/>
          </w:tcPr>
          <w:p w14:paraId="0BA57EC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mm</w:t>
            </w:r>
          </w:p>
        </w:tc>
        <w:tc>
          <w:tcPr>
            <w:tcW w:w="1472" w:type="pct"/>
            <w:noWrap w:val="0"/>
            <w:vAlign w:val="center"/>
          </w:tcPr>
          <w:p w14:paraId="3FA9671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w:t>
            </w:r>
          </w:p>
        </w:tc>
      </w:tr>
      <w:tr w14:paraId="09F226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restart"/>
            <w:noWrap w:val="0"/>
            <w:vAlign w:val="center"/>
          </w:tcPr>
          <w:p w14:paraId="24F2150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w:t>
            </w:r>
          </w:p>
        </w:tc>
        <w:tc>
          <w:tcPr>
            <w:tcW w:w="1170" w:type="pct"/>
            <w:vMerge w:val="restart"/>
            <w:noWrap w:val="0"/>
            <w:vAlign w:val="center"/>
          </w:tcPr>
          <w:p w14:paraId="3CDC88E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湿度</w:t>
            </w:r>
          </w:p>
        </w:tc>
        <w:tc>
          <w:tcPr>
            <w:tcW w:w="1170" w:type="pct"/>
            <w:noWrap w:val="0"/>
            <w:vAlign w:val="center"/>
          </w:tcPr>
          <w:p w14:paraId="066831C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日相对湿度平均值</w:t>
            </w:r>
          </w:p>
        </w:tc>
        <w:tc>
          <w:tcPr>
            <w:tcW w:w="653" w:type="pct"/>
            <w:vMerge w:val="restart"/>
            <w:noWrap w:val="0"/>
            <w:vAlign w:val="center"/>
          </w:tcPr>
          <w:p w14:paraId="073FB95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1472" w:type="pct"/>
            <w:noWrap w:val="0"/>
            <w:vAlign w:val="center"/>
          </w:tcPr>
          <w:p w14:paraId="058BA2A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≤95</w:t>
            </w:r>
          </w:p>
        </w:tc>
      </w:tr>
      <w:tr w14:paraId="5603FA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continue"/>
            <w:noWrap w:val="0"/>
            <w:vAlign w:val="center"/>
          </w:tcPr>
          <w:p w14:paraId="67B732AC">
            <w:pPr>
              <w:topLinePunct/>
              <w:snapToGrid w:val="0"/>
              <w:spacing w:before="60" w:after="60"/>
              <w:jc w:val="center"/>
              <w:rPr>
                <w:rFonts w:hint="eastAsia" w:ascii="宋体" w:hAnsi="宋体" w:eastAsia="宋体" w:cs="宋体"/>
                <w:sz w:val="18"/>
                <w:szCs w:val="21"/>
              </w:rPr>
            </w:pPr>
          </w:p>
        </w:tc>
        <w:tc>
          <w:tcPr>
            <w:tcW w:w="1170" w:type="pct"/>
            <w:vMerge w:val="continue"/>
            <w:noWrap w:val="0"/>
            <w:vAlign w:val="center"/>
          </w:tcPr>
          <w:p w14:paraId="6834756D">
            <w:pPr>
              <w:topLinePunct/>
              <w:snapToGrid w:val="0"/>
              <w:spacing w:before="60" w:after="60"/>
              <w:jc w:val="center"/>
              <w:rPr>
                <w:rFonts w:hint="eastAsia" w:ascii="宋体" w:hAnsi="宋体" w:eastAsia="宋体" w:cs="宋体"/>
                <w:sz w:val="18"/>
                <w:szCs w:val="21"/>
              </w:rPr>
            </w:pPr>
          </w:p>
        </w:tc>
        <w:tc>
          <w:tcPr>
            <w:tcW w:w="1170" w:type="pct"/>
            <w:noWrap w:val="0"/>
            <w:vAlign w:val="center"/>
          </w:tcPr>
          <w:p w14:paraId="7FA9CF8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月相对湿度平均值</w:t>
            </w:r>
          </w:p>
        </w:tc>
        <w:tc>
          <w:tcPr>
            <w:tcW w:w="653" w:type="pct"/>
            <w:vMerge w:val="continue"/>
            <w:noWrap w:val="0"/>
            <w:vAlign w:val="center"/>
          </w:tcPr>
          <w:p w14:paraId="6A32181D">
            <w:pPr>
              <w:topLinePunct/>
              <w:snapToGrid w:val="0"/>
              <w:spacing w:before="60" w:after="60"/>
              <w:jc w:val="center"/>
              <w:rPr>
                <w:rFonts w:hint="eastAsia" w:ascii="宋体" w:hAnsi="宋体" w:eastAsia="宋体" w:cs="宋体"/>
                <w:sz w:val="18"/>
                <w:szCs w:val="21"/>
              </w:rPr>
            </w:pPr>
          </w:p>
        </w:tc>
        <w:tc>
          <w:tcPr>
            <w:tcW w:w="1472" w:type="pct"/>
            <w:noWrap w:val="0"/>
            <w:vAlign w:val="center"/>
          </w:tcPr>
          <w:p w14:paraId="101DE50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≤90</w:t>
            </w:r>
          </w:p>
        </w:tc>
      </w:tr>
      <w:tr w14:paraId="2A5243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restart"/>
            <w:noWrap w:val="0"/>
            <w:vAlign w:val="center"/>
          </w:tcPr>
          <w:p w14:paraId="5E704D6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w:t>
            </w:r>
          </w:p>
        </w:tc>
        <w:tc>
          <w:tcPr>
            <w:tcW w:w="1170" w:type="pct"/>
            <w:vMerge w:val="restart"/>
            <w:noWrap w:val="0"/>
            <w:vAlign w:val="center"/>
          </w:tcPr>
          <w:p w14:paraId="0A864E1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耐受地震能力</w:t>
            </w:r>
          </w:p>
        </w:tc>
        <w:tc>
          <w:tcPr>
            <w:tcW w:w="1170" w:type="pct"/>
            <w:noWrap w:val="0"/>
            <w:vAlign w:val="center"/>
          </w:tcPr>
          <w:p w14:paraId="742B9B7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水平加速度</w:t>
            </w:r>
          </w:p>
        </w:tc>
        <w:tc>
          <w:tcPr>
            <w:tcW w:w="653" w:type="pct"/>
            <w:noWrap w:val="0"/>
            <w:vAlign w:val="center"/>
          </w:tcPr>
          <w:p w14:paraId="0A6C2BC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m/s</w:t>
            </w:r>
            <w:r>
              <w:rPr>
                <w:rFonts w:hint="eastAsia" w:ascii="宋体" w:hAnsi="宋体" w:eastAsia="宋体" w:cs="宋体"/>
                <w:sz w:val="18"/>
                <w:szCs w:val="21"/>
                <w:vertAlign w:val="superscript"/>
              </w:rPr>
              <w:t>2</w:t>
            </w:r>
          </w:p>
        </w:tc>
        <w:tc>
          <w:tcPr>
            <w:tcW w:w="1472" w:type="pct"/>
            <w:noWrap w:val="0"/>
            <w:vAlign w:val="center"/>
          </w:tcPr>
          <w:p w14:paraId="0A342C3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3.0</w:t>
            </w:r>
          </w:p>
        </w:tc>
      </w:tr>
      <w:tr w14:paraId="0A4E5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5" w:type="pct"/>
            <w:vMerge w:val="continue"/>
            <w:noWrap w:val="0"/>
            <w:vAlign w:val="center"/>
          </w:tcPr>
          <w:p w14:paraId="2233CD9C">
            <w:pPr>
              <w:topLinePunct/>
              <w:snapToGrid w:val="0"/>
              <w:spacing w:before="60" w:after="60"/>
              <w:jc w:val="center"/>
              <w:rPr>
                <w:rFonts w:hint="eastAsia" w:ascii="宋体" w:hAnsi="宋体" w:eastAsia="宋体" w:cs="宋体"/>
                <w:sz w:val="18"/>
                <w:szCs w:val="21"/>
              </w:rPr>
            </w:pPr>
          </w:p>
        </w:tc>
        <w:tc>
          <w:tcPr>
            <w:tcW w:w="1170" w:type="pct"/>
            <w:vMerge w:val="continue"/>
            <w:noWrap w:val="0"/>
            <w:vAlign w:val="center"/>
          </w:tcPr>
          <w:p w14:paraId="4A3D9D4F">
            <w:pPr>
              <w:topLinePunct/>
              <w:snapToGrid w:val="0"/>
              <w:spacing w:before="60" w:after="60"/>
              <w:jc w:val="center"/>
              <w:rPr>
                <w:rFonts w:hint="eastAsia" w:ascii="宋体" w:hAnsi="宋体" w:eastAsia="宋体" w:cs="宋体"/>
                <w:sz w:val="18"/>
                <w:szCs w:val="21"/>
              </w:rPr>
            </w:pPr>
          </w:p>
        </w:tc>
        <w:tc>
          <w:tcPr>
            <w:tcW w:w="1170" w:type="pct"/>
            <w:noWrap w:val="0"/>
            <w:vAlign w:val="center"/>
          </w:tcPr>
          <w:p w14:paraId="1F6B8703">
            <w:pPr>
              <w:topLinePunct/>
              <w:snapToGrid w:val="0"/>
              <w:spacing w:before="60" w:after="60"/>
              <w:jc w:val="center"/>
              <w:rPr>
                <w:rFonts w:hint="eastAsia" w:ascii="宋体" w:hAnsi="宋体" w:eastAsia="宋体" w:cs="宋体"/>
                <w:sz w:val="18"/>
                <w:szCs w:val="18"/>
              </w:rPr>
            </w:pPr>
            <w:r>
              <w:rPr>
                <w:rFonts w:hint="eastAsia" w:ascii="宋体" w:hAnsi="宋体" w:eastAsia="宋体" w:cs="宋体"/>
                <w:sz w:val="18"/>
                <w:szCs w:val="18"/>
              </w:rPr>
              <w:t>垂直加速度</w:t>
            </w:r>
          </w:p>
        </w:tc>
        <w:tc>
          <w:tcPr>
            <w:tcW w:w="653" w:type="pct"/>
            <w:noWrap w:val="0"/>
            <w:vAlign w:val="center"/>
          </w:tcPr>
          <w:p w14:paraId="541DC90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m/s</w:t>
            </w:r>
            <w:r>
              <w:rPr>
                <w:rFonts w:hint="eastAsia" w:ascii="宋体" w:hAnsi="宋体" w:eastAsia="宋体" w:cs="宋体"/>
                <w:sz w:val="18"/>
                <w:szCs w:val="21"/>
                <w:vertAlign w:val="superscript"/>
              </w:rPr>
              <w:t>2</w:t>
            </w:r>
          </w:p>
        </w:tc>
        <w:tc>
          <w:tcPr>
            <w:tcW w:w="1472" w:type="pct"/>
            <w:noWrap w:val="0"/>
            <w:vAlign w:val="center"/>
          </w:tcPr>
          <w:p w14:paraId="5E4E046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1.5</w:t>
            </w:r>
          </w:p>
        </w:tc>
      </w:tr>
      <w:tr w14:paraId="72D0BF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5" w:type="pct"/>
            <w:noWrap w:val="0"/>
            <w:vAlign w:val="center"/>
          </w:tcPr>
          <w:p w14:paraId="3D98540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8</w:t>
            </w:r>
          </w:p>
        </w:tc>
        <w:tc>
          <w:tcPr>
            <w:tcW w:w="2340" w:type="pct"/>
            <w:gridSpan w:val="2"/>
            <w:noWrap w:val="0"/>
            <w:vAlign w:val="center"/>
          </w:tcPr>
          <w:p w14:paraId="6874B55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由于主回路中的开合操作在辅助和控制</w:t>
            </w:r>
            <w:r>
              <w:rPr>
                <w:rFonts w:hint="eastAsia" w:ascii="宋体" w:hAnsi="宋体" w:eastAsia="宋体" w:cs="宋体"/>
                <w:sz w:val="18"/>
                <w:szCs w:val="21"/>
              </w:rPr>
              <w:br w:type="textWrapping"/>
            </w:r>
            <w:r>
              <w:rPr>
                <w:rFonts w:hint="eastAsia" w:ascii="宋体" w:hAnsi="宋体" w:eastAsia="宋体" w:cs="宋体"/>
                <w:sz w:val="18"/>
                <w:szCs w:val="21"/>
              </w:rPr>
              <w:t>回路上所感应的共模电压的幅值</w:t>
            </w:r>
          </w:p>
        </w:tc>
        <w:tc>
          <w:tcPr>
            <w:tcW w:w="653" w:type="pct"/>
            <w:noWrap w:val="0"/>
            <w:vAlign w:val="center"/>
          </w:tcPr>
          <w:p w14:paraId="01B9739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1472" w:type="pct"/>
            <w:noWrap w:val="0"/>
            <w:vAlign w:val="center"/>
          </w:tcPr>
          <w:p w14:paraId="2BE64B2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≤1.6</w:t>
            </w:r>
          </w:p>
        </w:tc>
      </w:tr>
      <w:tr w14:paraId="655DC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bottom w:val="single" w:color="auto" w:sz="8" w:space="0"/>
            </w:tcBorders>
            <w:noWrap w:val="0"/>
            <w:vAlign w:val="center"/>
          </w:tcPr>
          <w:p w14:paraId="5953F660">
            <w:pPr>
              <w:topLinePunct/>
              <w:snapToGrid w:val="0"/>
              <w:spacing w:before="60" w:after="60"/>
              <w:ind w:left="510" w:hanging="340"/>
              <w:rPr>
                <w:rFonts w:hint="eastAsia" w:ascii="宋体" w:hAnsi="宋体" w:eastAsia="宋体" w:cs="宋体"/>
                <w:sz w:val="18"/>
                <w:szCs w:val="18"/>
              </w:rPr>
            </w:pPr>
            <w:r>
              <w:rPr>
                <w:rFonts w:hint="eastAsia" w:ascii="宋体" w:hAnsi="宋体" w:eastAsia="宋体" w:cs="宋体"/>
                <w:sz w:val="18"/>
                <w:szCs w:val="18"/>
              </w:rPr>
              <w:t>注：表中“项目需求值”为正常使用条件，超出此值时为特殊使用条件，项目单位可根据工程实际使用条件进行修改。</w:t>
            </w:r>
          </w:p>
        </w:tc>
      </w:tr>
    </w:tbl>
    <w:p w14:paraId="23ECAE03">
      <w:pPr>
        <w:pStyle w:val="37"/>
        <w:keepNext w:val="0"/>
        <w:keepLines w:val="0"/>
        <w:topLinePunct w:val="0"/>
        <w:outlineLvl w:val="0"/>
        <w:rPr>
          <w:rFonts w:hint="eastAsia" w:ascii="宋体" w:hAnsi="宋体" w:eastAsia="宋体" w:cs="宋体"/>
        </w:rPr>
      </w:pPr>
      <w:bookmarkStart w:id="70" w:name="_Toc446981693"/>
      <w:r>
        <w:rPr>
          <w:rFonts w:hint="eastAsia" w:ascii="宋体" w:hAnsi="宋体" w:eastAsia="宋体" w:cs="宋体"/>
          <w:lang w:eastAsia="zh-CN"/>
        </w:rPr>
        <w:t>5</w:t>
      </w:r>
      <w:r>
        <w:rPr>
          <w:rFonts w:hint="eastAsia" w:ascii="宋体" w:hAnsi="宋体" w:eastAsia="宋体" w:cs="宋体"/>
        </w:rPr>
        <w:t>　试验</w:t>
      </w:r>
      <w:bookmarkEnd w:id="67"/>
      <w:bookmarkEnd w:id="68"/>
      <w:bookmarkEnd w:id="70"/>
    </w:p>
    <w:p w14:paraId="540FCFD2">
      <w:pPr>
        <w:pStyle w:val="44"/>
        <w:numPr>
          <w:ilvl w:val="0"/>
          <w:numId w:val="0"/>
        </w:numPr>
        <w:spacing w:beforeLines="0" w:afterLines="0"/>
        <w:rPr>
          <w:rFonts w:hint="eastAsia" w:ascii="宋体" w:hAnsi="宋体" w:eastAsia="宋体" w:cs="宋体"/>
          <w:kern w:val="2"/>
          <w:szCs w:val="21"/>
        </w:rPr>
      </w:pPr>
      <w:r>
        <w:rPr>
          <w:rFonts w:hint="eastAsia" w:ascii="宋体" w:hAnsi="宋体" w:eastAsia="宋体" w:cs="宋体"/>
          <w:kern w:val="2"/>
          <w:szCs w:val="21"/>
        </w:rPr>
        <w:t>5.1试验内容及要求</w:t>
      </w:r>
    </w:p>
    <w:p w14:paraId="4175D0B3">
      <w:pPr>
        <w:topLinePunct/>
        <w:spacing w:line="320" w:lineRule="exact"/>
        <w:rPr>
          <w:rFonts w:hint="eastAsia" w:ascii="宋体" w:hAnsi="宋体" w:eastAsia="宋体" w:cs="宋体"/>
          <w:bCs/>
          <w:spacing w:val="3"/>
          <w:szCs w:val="21"/>
        </w:rPr>
      </w:pPr>
      <w:r>
        <w:rPr>
          <w:rFonts w:hint="eastAsia" w:ascii="宋体" w:hAnsi="宋体" w:eastAsia="宋体" w:cs="宋体"/>
          <w:szCs w:val="21"/>
        </w:rPr>
        <w:t xml:space="preserve">5.1.1  </w:t>
      </w:r>
      <w:r>
        <w:rPr>
          <w:rFonts w:hint="eastAsia" w:ascii="宋体" w:hAnsi="宋体" w:eastAsia="宋体" w:cs="宋体"/>
          <w:bCs/>
          <w:spacing w:val="3"/>
          <w:szCs w:val="21"/>
        </w:rPr>
        <w:t>根据国家标准（GB）和最新版的IEC标准进行试验。试验中，要遵循并执行下列附加要求和IEC的补充说明，并应提供供货范围内主要元件的型式试验和出厂试验报告。现场交接试验应符合标准的要求。</w:t>
      </w:r>
    </w:p>
    <w:p w14:paraId="4684D8E7">
      <w:pPr>
        <w:pStyle w:val="40"/>
        <w:numPr>
          <w:ilvl w:val="0"/>
          <w:numId w:val="0"/>
        </w:numPr>
        <w:spacing w:beforeLines="0" w:afterLines="0"/>
        <w:rPr>
          <w:rFonts w:hint="eastAsia" w:ascii="宋体" w:hAnsi="宋体" w:eastAsia="宋体" w:cs="宋体"/>
          <w:bCs/>
          <w:spacing w:val="3"/>
        </w:rPr>
      </w:pPr>
      <w:r>
        <w:rPr>
          <w:rFonts w:hint="eastAsia" w:ascii="宋体" w:hAnsi="宋体" w:eastAsia="宋体" w:cs="宋体"/>
        </w:rPr>
        <w:t xml:space="preserve">5.1.2  </w:t>
      </w:r>
      <w:r>
        <w:rPr>
          <w:rFonts w:hint="eastAsia" w:ascii="宋体" w:hAnsi="宋体" w:eastAsia="宋体" w:cs="宋体"/>
          <w:bCs/>
          <w:spacing w:val="3"/>
        </w:rPr>
        <w:t>低压电容器柜进行随机抽样检验。</w:t>
      </w:r>
    </w:p>
    <w:p w14:paraId="0B31A522">
      <w:pPr>
        <w:pStyle w:val="33"/>
        <w:tabs>
          <w:tab w:val="center" w:pos="4201"/>
          <w:tab w:val="right" w:leader="dot" w:pos="9298"/>
        </w:tabs>
        <w:ind w:firstLine="0" w:firstLineChars="0"/>
        <w:rPr>
          <w:rFonts w:hint="eastAsia" w:ascii="宋体" w:hAnsi="宋体" w:eastAsia="宋体" w:cs="宋体"/>
        </w:rPr>
      </w:pPr>
      <w:r>
        <w:rPr>
          <w:rFonts w:hint="eastAsia" w:ascii="宋体" w:hAnsi="宋体" w:eastAsia="宋体" w:cs="宋体"/>
          <w:szCs w:val="21"/>
        </w:rPr>
        <w:t xml:space="preserve">5.1.3  </w:t>
      </w:r>
      <w:r>
        <w:rPr>
          <w:rFonts w:hint="eastAsia" w:ascii="宋体" w:hAnsi="宋体" w:eastAsia="宋体" w:cs="宋体"/>
          <w:bCs/>
          <w:spacing w:val="3"/>
          <w:szCs w:val="21"/>
        </w:rPr>
        <w:t>型式试验、抽检试验、出厂试验和现场交接试验的试验项目见表6：</w:t>
      </w:r>
    </w:p>
    <w:p w14:paraId="4C88D5D1">
      <w:pPr>
        <w:pStyle w:val="39"/>
        <w:numPr>
          <w:ilvl w:val="0"/>
          <w:numId w:val="0"/>
        </w:numPr>
        <w:spacing w:beforeLines="0" w:afterLines="0"/>
        <w:rPr>
          <w:rFonts w:hint="eastAsia" w:ascii="宋体" w:hAnsi="宋体" w:eastAsia="宋体" w:cs="宋体"/>
        </w:rPr>
      </w:pPr>
      <w:r>
        <w:rPr>
          <w:rFonts w:hint="eastAsia" w:ascii="宋体" w:hAnsi="宋体" w:eastAsia="宋体" w:cs="宋体"/>
        </w:rPr>
        <w:t>表6  型式试验、抽检试验、出厂试验和现场交接试验的试验项目</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6"/>
        <w:gridCol w:w="2738"/>
        <w:gridCol w:w="1514"/>
        <w:gridCol w:w="1513"/>
        <w:gridCol w:w="1513"/>
        <w:gridCol w:w="1344"/>
      </w:tblGrid>
      <w:tr w14:paraId="7C5B4E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27019A1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序号</w:t>
            </w:r>
          </w:p>
        </w:tc>
        <w:tc>
          <w:tcPr>
            <w:tcW w:w="2738" w:type="dxa"/>
            <w:noWrap w:val="0"/>
            <w:vAlign w:val="top"/>
          </w:tcPr>
          <w:p w14:paraId="52E35D8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试验项目</w:t>
            </w:r>
          </w:p>
        </w:tc>
        <w:tc>
          <w:tcPr>
            <w:tcW w:w="1514" w:type="dxa"/>
            <w:noWrap w:val="0"/>
            <w:vAlign w:val="top"/>
          </w:tcPr>
          <w:p w14:paraId="54058E4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型式试验</w:t>
            </w:r>
          </w:p>
        </w:tc>
        <w:tc>
          <w:tcPr>
            <w:tcW w:w="1513" w:type="dxa"/>
            <w:noWrap w:val="0"/>
            <w:vAlign w:val="top"/>
          </w:tcPr>
          <w:p w14:paraId="5C71E52A">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出厂试验</w:t>
            </w:r>
          </w:p>
        </w:tc>
        <w:tc>
          <w:tcPr>
            <w:tcW w:w="1513" w:type="dxa"/>
            <w:noWrap w:val="0"/>
            <w:vAlign w:val="top"/>
          </w:tcPr>
          <w:p w14:paraId="17680A9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交接试验</w:t>
            </w:r>
          </w:p>
        </w:tc>
        <w:tc>
          <w:tcPr>
            <w:tcW w:w="1344" w:type="dxa"/>
            <w:noWrap w:val="0"/>
            <w:vAlign w:val="top"/>
          </w:tcPr>
          <w:p w14:paraId="0905E82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抽检试验</w:t>
            </w:r>
          </w:p>
        </w:tc>
      </w:tr>
      <w:tr w14:paraId="6E3F7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4236561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w:t>
            </w:r>
          </w:p>
        </w:tc>
        <w:tc>
          <w:tcPr>
            <w:tcW w:w="2738" w:type="dxa"/>
            <w:noWrap w:val="0"/>
            <w:vAlign w:val="top"/>
          </w:tcPr>
          <w:p w14:paraId="56406772">
            <w:pPr>
              <w:pStyle w:val="33"/>
              <w:tabs>
                <w:tab w:val="center" w:pos="4201"/>
                <w:tab w:val="right" w:leader="dot" w:pos="9298"/>
              </w:tabs>
              <w:ind w:firstLine="0" w:firstLineChars="0"/>
              <w:rPr>
                <w:rFonts w:hint="eastAsia" w:ascii="宋体" w:hAnsi="宋体" w:eastAsia="宋体" w:cs="宋体"/>
                <w:kern w:val="2"/>
                <w:sz w:val="18"/>
                <w:szCs w:val="18"/>
              </w:rPr>
            </w:pPr>
            <w:r>
              <w:rPr>
                <w:rFonts w:hint="eastAsia" w:ascii="宋体" w:hAnsi="宋体" w:eastAsia="宋体" w:cs="宋体"/>
                <w:kern w:val="2"/>
                <w:sz w:val="18"/>
                <w:szCs w:val="18"/>
              </w:rPr>
              <w:t>一般检查</w:t>
            </w:r>
          </w:p>
        </w:tc>
        <w:tc>
          <w:tcPr>
            <w:tcW w:w="1514" w:type="dxa"/>
            <w:noWrap w:val="0"/>
            <w:vAlign w:val="top"/>
          </w:tcPr>
          <w:p w14:paraId="7F75B74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147C0C6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25F684C4">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noWrap w:val="0"/>
            <w:vAlign w:val="top"/>
          </w:tcPr>
          <w:p w14:paraId="25DDFC0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038B8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67081FB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w:t>
            </w:r>
          </w:p>
        </w:tc>
        <w:tc>
          <w:tcPr>
            <w:tcW w:w="2738" w:type="dxa"/>
            <w:noWrap w:val="0"/>
            <w:vAlign w:val="top"/>
          </w:tcPr>
          <w:p w14:paraId="100EAFD2">
            <w:pPr>
              <w:pStyle w:val="33"/>
              <w:tabs>
                <w:tab w:val="center" w:pos="4201"/>
                <w:tab w:val="right" w:leader="dot" w:pos="9298"/>
              </w:tabs>
              <w:ind w:firstLine="0" w:firstLineChars="0"/>
              <w:rPr>
                <w:rFonts w:hint="eastAsia" w:ascii="宋体" w:hAnsi="宋体" w:eastAsia="宋体" w:cs="宋体"/>
                <w:kern w:val="2"/>
                <w:sz w:val="18"/>
                <w:szCs w:val="18"/>
              </w:rPr>
            </w:pPr>
            <w:r>
              <w:rPr>
                <w:rFonts w:hint="eastAsia" w:ascii="宋体" w:hAnsi="宋体" w:eastAsia="宋体" w:cs="宋体"/>
                <w:kern w:val="2"/>
                <w:sz w:val="18"/>
                <w:szCs w:val="18"/>
              </w:rPr>
              <w:t>绝缘电阻验证</w:t>
            </w:r>
          </w:p>
        </w:tc>
        <w:tc>
          <w:tcPr>
            <w:tcW w:w="1514" w:type="dxa"/>
            <w:noWrap w:val="0"/>
            <w:vAlign w:val="top"/>
          </w:tcPr>
          <w:p w14:paraId="22915BEA">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6F211B7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362D18E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noWrap w:val="0"/>
            <w:vAlign w:val="top"/>
          </w:tcPr>
          <w:p w14:paraId="15FB210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6D2963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58C71FA4">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w:t>
            </w:r>
          </w:p>
        </w:tc>
        <w:tc>
          <w:tcPr>
            <w:tcW w:w="2738" w:type="dxa"/>
            <w:noWrap w:val="0"/>
            <w:vAlign w:val="top"/>
          </w:tcPr>
          <w:p w14:paraId="54FB700E">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介电性能验证</w:t>
            </w:r>
          </w:p>
        </w:tc>
        <w:tc>
          <w:tcPr>
            <w:tcW w:w="1514" w:type="dxa"/>
            <w:noWrap w:val="0"/>
            <w:vAlign w:val="top"/>
          </w:tcPr>
          <w:p w14:paraId="18CB8BA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321BB5B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0D82C87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noWrap w:val="0"/>
            <w:vAlign w:val="top"/>
          </w:tcPr>
          <w:p w14:paraId="1058B7C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1CED0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093C861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4</w:t>
            </w:r>
          </w:p>
        </w:tc>
        <w:tc>
          <w:tcPr>
            <w:tcW w:w="2738" w:type="dxa"/>
            <w:noWrap w:val="0"/>
            <w:vAlign w:val="top"/>
          </w:tcPr>
          <w:p w14:paraId="50701525">
            <w:pPr>
              <w:pStyle w:val="33"/>
              <w:tabs>
                <w:tab w:val="center" w:pos="4201"/>
                <w:tab w:val="right" w:leader="dot" w:pos="9298"/>
              </w:tabs>
              <w:ind w:firstLine="0" w:firstLineChars="0"/>
              <w:rPr>
                <w:rFonts w:hint="eastAsia" w:ascii="宋体" w:hAnsi="宋体" w:eastAsia="宋体" w:cs="宋体"/>
                <w:kern w:val="2"/>
                <w:sz w:val="18"/>
                <w:szCs w:val="18"/>
              </w:rPr>
            </w:pPr>
            <w:r>
              <w:rPr>
                <w:rFonts w:hint="eastAsia" w:ascii="宋体" w:hAnsi="宋体" w:eastAsia="宋体" w:cs="宋体"/>
                <w:sz w:val="18"/>
                <w:szCs w:val="18"/>
              </w:rPr>
              <w:t>通电操作试验</w:t>
            </w:r>
          </w:p>
        </w:tc>
        <w:tc>
          <w:tcPr>
            <w:tcW w:w="1514" w:type="dxa"/>
            <w:noWrap w:val="0"/>
            <w:vAlign w:val="top"/>
          </w:tcPr>
          <w:p w14:paraId="45A027E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2B6E4391">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7B18835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noWrap w:val="0"/>
            <w:vAlign w:val="top"/>
          </w:tcPr>
          <w:p w14:paraId="176D842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368D5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32558FA1">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5</w:t>
            </w:r>
          </w:p>
        </w:tc>
        <w:tc>
          <w:tcPr>
            <w:tcW w:w="2738" w:type="dxa"/>
            <w:noWrap w:val="0"/>
            <w:vAlign w:val="top"/>
          </w:tcPr>
          <w:p w14:paraId="3C8BCBBF">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接地连续性试验</w:t>
            </w:r>
          </w:p>
        </w:tc>
        <w:tc>
          <w:tcPr>
            <w:tcW w:w="1514" w:type="dxa"/>
            <w:noWrap w:val="0"/>
            <w:vAlign w:val="top"/>
          </w:tcPr>
          <w:p w14:paraId="612D0138">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29C445A1">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6B728A9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344" w:type="dxa"/>
            <w:noWrap w:val="0"/>
            <w:vAlign w:val="top"/>
          </w:tcPr>
          <w:p w14:paraId="1151E7C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5BD42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693AEE0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6</w:t>
            </w:r>
          </w:p>
        </w:tc>
        <w:tc>
          <w:tcPr>
            <w:tcW w:w="2738" w:type="dxa"/>
            <w:noWrap w:val="0"/>
            <w:vAlign w:val="top"/>
          </w:tcPr>
          <w:p w14:paraId="4C3E3F80">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kern w:val="2"/>
                <w:sz w:val="18"/>
                <w:szCs w:val="18"/>
              </w:rPr>
              <w:t>温升极限的验证</w:t>
            </w:r>
          </w:p>
        </w:tc>
        <w:tc>
          <w:tcPr>
            <w:tcW w:w="1514" w:type="dxa"/>
            <w:noWrap w:val="0"/>
            <w:vAlign w:val="top"/>
          </w:tcPr>
          <w:p w14:paraId="60ECF64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0498C802">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135FE3B3">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0A841C81">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5597B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2301AA0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7</w:t>
            </w:r>
          </w:p>
        </w:tc>
        <w:tc>
          <w:tcPr>
            <w:tcW w:w="2738" w:type="dxa"/>
            <w:noWrap w:val="0"/>
            <w:vAlign w:val="top"/>
          </w:tcPr>
          <w:p w14:paraId="1EAAACAC">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短路耐受强度验证</w:t>
            </w:r>
          </w:p>
        </w:tc>
        <w:tc>
          <w:tcPr>
            <w:tcW w:w="1514" w:type="dxa"/>
            <w:noWrap w:val="0"/>
            <w:vAlign w:val="top"/>
          </w:tcPr>
          <w:p w14:paraId="526E7BE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442AC920">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1C24FB1C">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29E340F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20E82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5D6FC30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8</w:t>
            </w:r>
          </w:p>
        </w:tc>
        <w:tc>
          <w:tcPr>
            <w:tcW w:w="2738" w:type="dxa"/>
            <w:noWrap w:val="0"/>
            <w:vAlign w:val="top"/>
          </w:tcPr>
          <w:p w14:paraId="675E5F30">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保护电路有效性验证</w:t>
            </w:r>
          </w:p>
        </w:tc>
        <w:tc>
          <w:tcPr>
            <w:tcW w:w="1514" w:type="dxa"/>
            <w:noWrap w:val="0"/>
            <w:vAlign w:val="top"/>
          </w:tcPr>
          <w:p w14:paraId="01F56E21">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14AA9F6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6A002F0E">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76098678">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580B2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47566C3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9</w:t>
            </w:r>
          </w:p>
        </w:tc>
        <w:tc>
          <w:tcPr>
            <w:tcW w:w="2738" w:type="dxa"/>
            <w:noWrap w:val="0"/>
            <w:vAlign w:val="top"/>
          </w:tcPr>
          <w:p w14:paraId="403FDF8A">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电气间隙和爬电距离验证</w:t>
            </w:r>
          </w:p>
        </w:tc>
        <w:tc>
          <w:tcPr>
            <w:tcW w:w="1514" w:type="dxa"/>
            <w:noWrap w:val="0"/>
            <w:vAlign w:val="top"/>
          </w:tcPr>
          <w:p w14:paraId="7A63C39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53983C2C">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1A9CBBE1">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4392204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2E754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600698D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10</w:t>
            </w:r>
          </w:p>
        </w:tc>
        <w:tc>
          <w:tcPr>
            <w:tcW w:w="2738" w:type="dxa"/>
            <w:noWrap w:val="0"/>
            <w:vAlign w:val="top"/>
          </w:tcPr>
          <w:p w14:paraId="441CEE2C">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lang w:val="zh-CN"/>
              </w:rPr>
              <w:t>电容放电试验</w:t>
            </w:r>
          </w:p>
        </w:tc>
        <w:tc>
          <w:tcPr>
            <w:tcW w:w="1514" w:type="dxa"/>
            <w:noWrap w:val="0"/>
            <w:vAlign w:val="top"/>
          </w:tcPr>
          <w:p w14:paraId="4E7F76E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3519DD14">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198543DB">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3BACEBF5">
            <w:pPr>
              <w:pStyle w:val="33"/>
              <w:tabs>
                <w:tab w:val="center" w:pos="4201"/>
                <w:tab w:val="right" w:leader="dot" w:pos="9298"/>
              </w:tabs>
              <w:ind w:firstLine="0" w:firstLineChars="0"/>
              <w:jc w:val="center"/>
              <w:rPr>
                <w:rFonts w:hint="eastAsia" w:ascii="宋体" w:hAnsi="宋体" w:eastAsia="宋体" w:cs="宋体"/>
                <w:sz w:val="18"/>
                <w:szCs w:val="18"/>
              </w:rPr>
            </w:pPr>
          </w:p>
        </w:tc>
      </w:tr>
      <w:tr w14:paraId="23831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13B7968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11</w:t>
            </w:r>
          </w:p>
        </w:tc>
        <w:tc>
          <w:tcPr>
            <w:tcW w:w="2738" w:type="dxa"/>
            <w:noWrap w:val="0"/>
            <w:vAlign w:val="top"/>
          </w:tcPr>
          <w:p w14:paraId="36E4802A">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lang w:val="zh-CN"/>
              </w:rPr>
              <w:t>涌流试验</w:t>
            </w:r>
          </w:p>
        </w:tc>
        <w:tc>
          <w:tcPr>
            <w:tcW w:w="1514" w:type="dxa"/>
            <w:noWrap w:val="0"/>
            <w:vAlign w:val="top"/>
          </w:tcPr>
          <w:p w14:paraId="73A50C3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569A395A">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6A1992B0">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3FE22347">
            <w:pPr>
              <w:pStyle w:val="33"/>
              <w:tabs>
                <w:tab w:val="center" w:pos="4201"/>
                <w:tab w:val="right" w:leader="dot" w:pos="9298"/>
              </w:tabs>
              <w:ind w:firstLine="0" w:firstLineChars="0"/>
              <w:jc w:val="center"/>
              <w:rPr>
                <w:rFonts w:hint="eastAsia" w:ascii="宋体" w:hAnsi="宋体" w:eastAsia="宋体" w:cs="宋体"/>
                <w:sz w:val="18"/>
                <w:szCs w:val="18"/>
              </w:rPr>
            </w:pPr>
          </w:p>
        </w:tc>
      </w:tr>
      <w:tr w14:paraId="41F43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4F67E8D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12</w:t>
            </w:r>
          </w:p>
        </w:tc>
        <w:tc>
          <w:tcPr>
            <w:tcW w:w="2738" w:type="dxa"/>
            <w:noWrap w:val="0"/>
            <w:vAlign w:val="top"/>
          </w:tcPr>
          <w:p w14:paraId="516B0F7C">
            <w:pPr>
              <w:pStyle w:val="33"/>
              <w:tabs>
                <w:tab w:val="center" w:pos="4201"/>
                <w:tab w:val="right" w:leader="dot" w:pos="9298"/>
              </w:tabs>
              <w:ind w:firstLine="0" w:firstLineChars="0"/>
              <w:rPr>
                <w:rFonts w:hint="eastAsia" w:ascii="宋体" w:hAnsi="宋体" w:eastAsia="宋体" w:cs="宋体"/>
                <w:sz w:val="18"/>
                <w:szCs w:val="18"/>
                <w:lang w:val="zh-CN"/>
              </w:rPr>
            </w:pPr>
            <w:r>
              <w:rPr>
                <w:rFonts w:hint="eastAsia" w:ascii="宋体" w:hAnsi="宋体" w:eastAsia="宋体" w:cs="宋体"/>
                <w:sz w:val="18"/>
                <w:szCs w:val="18"/>
                <w:lang w:val="zh-CN"/>
              </w:rPr>
              <w:t>响应时间检测</w:t>
            </w:r>
          </w:p>
        </w:tc>
        <w:tc>
          <w:tcPr>
            <w:tcW w:w="1514" w:type="dxa"/>
            <w:noWrap w:val="0"/>
            <w:vAlign w:val="top"/>
          </w:tcPr>
          <w:p w14:paraId="0701708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674D8A5E">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4C715B1C">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47112DE9">
            <w:pPr>
              <w:pStyle w:val="33"/>
              <w:tabs>
                <w:tab w:val="center" w:pos="4201"/>
                <w:tab w:val="right" w:leader="dot" w:pos="9298"/>
              </w:tabs>
              <w:ind w:firstLine="0" w:firstLineChars="0"/>
              <w:jc w:val="center"/>
              <w:rPr>
                <w:rFonts w:hint="eastAsia" w:ascii="宋体" w:hAnsi="宋体" w:eastAsia="宋体" w:cs="宋体"/>
                <w:sz w:val="18"/>
                <w:szCs w:val="18"/>
              </w:rPr>
            </w:pPr>
          </w:p>
        </w:tc>
      </w:tr>
      <w:tr w14:paraId="14B43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45800FB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13</w:t>
            </w:r>
          </w:p>
        </w:tc>
        <w:tc>
          <w:tcPr>
            <w:tcW w:w="2738" w:type="dxa"/>
            <w:noWrap w:val="0"/>
            <w:vAlign w:val="top"/>
          </w:tcPr>
          <w:p w14:paraId="0F65CA6E">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工频过电压保护试验</w:t>
            </w:r>
          </w:p>
        </w:tc>
        <w:tc>
          <w:tcPr>
            <w:tcW w:w="1514" w:type="dxa"/>
            <w:noWrap w:val="0"/>
            <w:vAlign w:val="top"/>
          </w:tcPr>
          <w:p w14:paraId="77AD918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5820F4DB">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4BEF9301">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2B7F3610">
            <w:pPr>
              <w:pStyle w:val="33"/>
              <w:tabs>
                <w:tab w:val="center" w:pos="4201"/>
                <w:tab w:val="right" w:leader="dot" w:pos="9298"/>
              </w:tabs>
              <w:ind w:firstLine="0" w:firstLineChars="0"/>
              <w:jc w:val="center"/>
              <w:rPr>
                <w:rFonts w:hint="eastAsia" w:ascii="宋体" w:hAnsi="宋体" w:eastAsia="宋体" w:cs="宋体"/>
                <w:sz w:val="18"/>
                <w:szCs w:val="18"/>
              </w:rPr>
            </w:pPr>
          </w:p>
        </w:tc>
      </w:tr>
      <w:tr w14:paraId="32DDB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2EDE06CA">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14</w:t>
            </w:r>
          </w:p>
        </w:tc>
        <w:tc>
          <w:tcPr>
            <w:tcW w:w="2738" w:type="dxa"/>
            <w:noWrap w:val="0"/>
            <w:vAlign w:val="top"/>
          </w:tcPr>
          <w:p w14:paraId="43A7A30F">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电磁兼容性</w:t>
            </w:r>
            <w:r>
              <w:rPr>
                <w:rFonts w:hint="eastAsia" w:ascii="宋体" w:hAnsi="宋体" w:eastAsia="宋体" w:cs="宋体"/>
                <w:sz w:val="18"/>
                <w:szCs w:val="18"/>
                <w:lang w:val="zh-CN"/>
              </w:rPr>
              <w:t>验证</w:t>
            </w:r>
          </w:p>
        </w:tc>
        <w:tc>
          <w:tcPr>
            <w:tcW w:w="1514" w:type="dxa"/>
            <w:noWrap w:val="0"/>
            <w:vAlign w:val="top"/>
          </w:tcPr>
          <w:p w14:paraId="70EAC2D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28B6E4AF">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44161EBA">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2907BD35">
            <w:pPr>
              <w:pStyle w:val="33"/>
              <w:tabs>
                <w:tab w:val="center" w:pos="4201"/>
                <w:tab w:val="right" w:leader="dot" w:pos="9298"/>
              </w:tabs>
              <w:ind w:firstLine="0" w:firstLineChars="0"/>
              <w:jc w:val="center"/>
              <w:rPr>
                <w:rFonts w:hint="eastAsia" w:ascii="宋体" w:hAnsi="宋体" w:eastAsia="宋体" w:cs="宋体"/>
                <w:sz w:val="18"/>
                <w:szCs w:val="18"/>
              </w:rPr>
            </w:pPr>
          </w:p>
        </w:tc>
      </w:tr>
      <w:tr w14:paraId="7CDC6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262DC1A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15</w:t>
            </w:r>
          </w:p>
        </w:tc>
        <w:tc>
          <w:tcPr>
            <w:tcW w:w="2738" w:type="dxa"/>
            <w:noWrap w:val="0"/>
            <w:vAlign w:val="top"/>
          </w:tcPr>
          <w:p w14:paraId="22689671">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机械操作验证</w:t>
            </w:r>
          </w:p>
        </w:tc>
        <w:tc>
          <w:tcPr>
            <w:tcW w:w="1514" w:type="dxa"/>
            <w:noWrap w:val="0"/>
            <w:vAlign w:val="top"/>
          </w:tcPr>
          <w:p w14:paraId="63790C3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2DBDB77A">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44EBE073">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5CA5490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r>
      <w:tr w14:paraId="6808D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noWrap w:val="0"/>
            <w:vAlign w:val="top"/>
          </w:tcPr>
          <w:p w14:paraId="6B655B85">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16</w:t>
            </w:r>
          </w:p>
        </w:tc>
        <w:tc>
          <w:tcPr>
            <w:tcW w:w="2738" w:type="dxa"/>
            <w:noWrap w:val="0"/>
            <w:vAlign w:val="top"/>
          </w:tcPr>
          <w:p w14:paraId="22B15BE8">
            <w:pPr>
              <w:pStyle w:val="33"/>
              <w:tabs>
                <w:tab w:val="center" w:pos="4201"/>
                <w:tab w:val="right" w:leader="dot" w:pos="9298"/>
              </w:tabs>
              <w:ind w:firstLine="0" w:firstLineChars="0"/>
              <w:rPr>
                <w:rFonts w:hint="eastAsia" w:ascii="宋体" w:hAnsi="宋体" w:eastAsia="宋体" w:cs="宋体"/>
                <w:sz w:val="18"/>
                <w:szCs w:val="18"/>
              </w:rPr>
            </w:pPr>
            <w:r>
              <w:rPr>
                <w:rFonts w:hint="eastAsia" w:ascii="宋体" w:hAnsi="宋体" w:eastAsia="宋体" w:cs="宋体"/>
                <w:sz w:val="18"/>
                <w:szCs w:val="18"/>
              </w:rPr>
              <w:t>防护等级验证</w:t>
            </w:r>
          </w:p>
        </w:tc>
        <w:tc>
          <w:tcPr>
            <w:tcW w:w="1514" w:type="dxa"/>
            <w:noWrap w:val="0"/>
            <w:vAlign w:val="top"/>
          </w:tcPr>
          <w:p w14:paraId="39094EA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w:t>
            </w:r>
          </w:p>
        </w:tc>
        <w:tc>
          <w:tcPr>
            <w:tcW w:w="1513" w:type="dxa"/>
            <w:noWrap w:val="0"/>
            <w:vAlign w:val="top"/>
          </w:tcPr>
          <w:p w14:paraId="08B3C3F6">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513" w:type="dxa"/>
            <w:noWrap w:val="0"/>
            <w:vAlign w:val="top"/>
          </w:tcPr>
          <w:p w14:paraId="72ABFD1A">
            <w:pPr>
              <w:pStyle w:val="33"/>
              <w:tabs>
                <w:tab w:val="center" w:pos="4201"/>
                <w:tab w:val="right" w:leader="dot" w:pos="9298"/>
              </w:tabs>
              <w:ind w:firstLine="0" w:firstLineChars="0"/>
              <w:jc w:val="center"/>
              <w:rPr>
                <w:rFonts w:hint="eastAsia" w:ascii="宋体" w:hAnsi="宋体" w:eastAsia="宋体" w:cs="宋体"/>
                <w:sz w:val="18"/>
                <w:szCs w:val="18"/>
              </w:rPr>
            </w:pPr>
          </w:p>
        </w:tc>
        <w:tc>
          <w:tcPr>
            <w:tcW w:w="1344" w:type="dxa"/>
            <w:noWrap w:val="0"/>
            <w:vAlign w:val="top"/>
          </w:tcPr>
          <w:p w14:paraId="2ADF1ABB">
            <w:pPr>
              <w:pStyle w:val="33"/>
              <w:tabs>
                <w:tab w:val="center" w:pos="4201"/>
                <w:tab w:val="right" w:leader="dot" w:pos="9298"/>
              </w:tabs>
              <w:ind w:firstLine="0" w:firstLineChars="0"/>
              <w:jc w:val="center"/>
              <w:rPr>
                <w:rFonts w:hint="eastAsia" w:ascii="宋体" w:hAnsi="宋体" w:eastAsia="宋体" w:cs="宋体"/>
                <w:sz w:val="18"/>
                <w:szCs w:val="18"/>
              </w:rPr>
            </w:pPr>
          </w:p>
        </w:tc>
      </w:tr>
    </w:tbl>
    <w:p w14:paraId="2C76695C">
      <w:pPr>
        <w:pStyle w:val="40"/>
        <w:numPr>
          <w:ilvl w:val="0"/>
          <w:numId w:val="0"/>
        </w:numPr>
        <w:spacing w:beforeLines="0" w:afterLines="0"/>
        <w:rPr>
          <w:rFonts w:hint="eastAsia" w:ascii="宋体" w:hAnsi="宋体" w:eastAsia="宋体" w:cs="宋体"/>
          <w:kern w:val="2"/>
        </w:rPr>
      </w:pPr>
      <w:r>
        <w:rPr>
          <w:rFonts w:hint="eastAsia" w:ascii="宋体" w:hAnsi="宋体" w:eastAsia="宋体" w:cs="宋体"/>
          <w:kern w:val="2"/>
        </w:rPr>
        <w:t>5.2型式试验、出厂试验、交接试验、抽检试验的试验方法及要求</w:t>
      </w:r>
    </w:p>
    <w:p w14:paraId="33FA023A">
      <w:pPr>
        <w:pStyle w:val="43"/>
        <w:tabs>
          <w:tab w:val="left" w:pos="1440"/>
        </w:tabs>
        <w:spacing w:before="156" w:after="156"/>
        <w:ind w:left="0" w:firstLine="0"/>
        <w:rPr>
          <w:rFonts w:hint="eastAsia" w:ascii="宋体" w:hAnsi="宋体" w:eastAsia="宋体" w:cs="宋体"/>
          <w:kern w:val="2"/>
        </w:rPr>
      </w:pPr>
      <w:r>
        <w:rPr>
          <w:rFonts w:hint="eastAsia" w:ascii="宋体" w:hAnsi="宋体" w:eastAsia="宋体" w:cs="宋体"/>
          <w:kern w:val="2"/>
        </w:rPr>
        <w:t>5.2.1一般检查</w:t>
      </w:r>
    </w:p>
    <w:p w14:paraId="6ECE0B74">
      <w:pPr>
        <w:pStyle w:val="41"/>
        <w:numPr>
          <w:ilvl w:val="0"/>
          <w:numId w:val="0"/>
        </w:numPr>
        <w:tabs>
          <w:tab w:val="left" w:pos="1440"/>
        </w:tabs>
        <w:rPr>
          <w:rFonts w:hint="eastAsia" w:ascii="宋体" w:hAnsi="宋体" w:eastAsia="宋体" w:cs="宋体"/>
          <w:kern w:val="2"/>
        </w:rPr>
      </w:pPr>
      <w:r>
        <w:rPr>
          <w:rFonts w:hint="eastAsia" w:ascii="宋体" w:hAnsi="宋体" w:eastAsia="宋体" w:cs="宋体"/>
        </w:rPr>
        <w:t>a）</w:t>
      </w:r>
      <w:r>
        <w:rPr>
          <w:rFonts w:hint="eastAsia" w:ascii="宋体" w:hAnsi="宋体" w:eastAsia="宋体" w:cs="宋体"/>
          <w:kern w:val="2"/>
        </w:rPr>
        <w:t>对开关的机械操作元器件，连锁，锁扣等部件的有效性进行检查，机械操作试验</w:t>
      </w:r>
    </w:p>
    <w:p w14:paraId="5BD01EDD">
      <w:pPr>
        <w:pStyle w:val="33"/>
        <w:tabs>
          <w:tab w:val="center" w:pos="4201"/>
          <w:tab w:val="right" w:leader="dot" w:pos="9298"/>
        </w:tabs>
        <w:ind w:firstLine="0" w:firstLineChars="0"/>
        <w:rPr>
          <w:rFonts w:hint="eastAsia" w:ascii="宋体" w:hAnsi="宋体" w:eastAsia="宋体" w:cs="宋体"/>
          <w:kern w:val="2"/>
          <w:szCs w:val="21"/>
        </w:rPr>
      </w:pPr>
      <w:r>
        <w:rPr>
          <w:rFonts w:hint="eastAsia" w:ascii="宋体" w:hAnsi="宋体" w:eastAsia="宋体" w:cs="宋体"/>
          <w:kern w:val="2"/>
          <w:szCs w:val="21"/>
        </w:rPr>
        <w:t>试验结果判定：正常分合，灵活可靠，无卡滞及操作力过大现象，装置手动操作的部件5次，机构动作可靠。</w:t>
      </w:r>
    </w:p>
    <w:p w14:paraId="62B04C3C">
      <w:pPr>
        <w:pStyle w:val="41"/>
        <w:numPr>
          <w:ilvl w:val="0"/>
          <w:numId w:val="0"/>
        </w:numPr>
        <w:tabs>
          <w:tab w:val="left" w:pos="1440"/>
        </w:tabs>
        <w:rPr>
          <w:rFonts w:hint="eastAsia" w:ascii="宋体" w:hAnsi="宋体" w:eastAsia="宋体" w:cs="宋体"/>
          <w:bCs/>
          <w:kern w:val="2"/>
        </w:rPr>
      </w:pPr>
      <w:r>
        <w:rPr>
          <w:rFonts w:hint="eastAsia" w:ascii="宋体" w:hAnsi="宋体" w:eastAsia="宋体" w:cs="宋体"/>
        </w:rPr>
        <w:t>b）</w:t>
      </w:r>
      <w:r>
        <w:rPr>
          <w:rFonts w:hint="eastAsia" w:ascii="宋体" w:hAnsi="宋体" w:eastAsia="宋体" w:cs="宋体"/>
          <w:bCs/>
          <w:kern w:val="2"/>
        </w:rPr>
        <w:t>检查导线、电缆布置是否符合要求</w:t>
      </w:r>
    </w:p>
    <w:p w14:paraId="0DE0DA7C">
      <w:pPr>
        <w:pStyle w:val="41"/>
        <w:numPr>
          <w:ilvl w:val="0"/>
          <w:numId w:val="0"/>
        </w:numPr>
        <w:tabs>
          <w:tab w:val="left" w:pos="1440"/>
        </w:tabs>
        <w:ind w:firstLine="413" w:firstLineChars="197"/>
        <w:rPr>
          <w:rFonts w:hint="eastAsia" w:ascii="宋体" w:hAnsi="宋体" w:eastAsia="宋体" w:cs="宋体"/>
          <w:bCs/>
          <w:kern w:val="2"/>
        </w:rPr>
      </w:pPr>
      <w:r>
        <w:rPr>
          <w:rFonts w:hint="eastAsia" w:ascii="宋体" w:hAnsi="宋体" w:eastAsia="宋体" w:cs="宋体"/>
          <w:bCs/>
          <w:kern w:val="2"/>
        </w:rPr>
        <w:t>试验结果判定：主辅电器接线与接线图和技术数据相符，导体截面、颜色、标志及相序应符合要求。</w:t>
      </w:r>
    </w:p>
    <w:p w14:paraId="7E2952C2">
      <w:pPr>
        <w:pStyle w:val="41"/>
        <w:numPr>
          <w:ilvl w:val="0"/>
          <w:numId w:val="0"/>
        </w:numPr>
        <w:tabs>
          <w:tab w:val="left" w:pos="1440"/>
        </w:tabs>
        <w:rPr>
          <w:rFonts w:hint="eastAsia" w:ascii="宋体" w:hAnsi="宋体" w:eastAsia="宋体" w:cs="宋体"/>
          <w:bCs/>
          <w:kern w:val="2"/>
        </w:rPr>
      </w:pPr>
      <w:r>
        <w:rPr>
          <w:rFonts w:hint="eastAsia" w:ascii="宋体" w:hAnsi="宋体" w:eastAsia="宋体" w:cs="宋体"/>
        </w:rPr>
        <w:t>c）</w:t>
      </w:r>
      <w:r>
        <w:rPr>
          <w:rFonts w:hint="eastAsia" w:ascii="宋体" w:hAnsi="宋体" w:eastAsia="宋体" w:cs="宋体"/>
          <w:bCs/>
          <w:spacing w:val="3"/>
        </w:rPr>
        <w:t>防护等级是否符合IP30</w:t>
      </w:r>
    </w:p>
    <w:p w14:paraId="7E5B699E">
      <w:pPr>
        <w:pStyle w:val="41"/>
        <w:numPr>
          <w:ilvl w:val="0"/>
          <w:numId w:val="0"/>
        </w:numPr>
        <w:tabs>
          <w:tab w:val="left" w:pos="1440"/>
        </w:tabs>
        <w:ind w:firstLine="413" w:firstLineChars="197"/>
        <w:rPr>
          <w:rFonts w:hint="eastAsia" w:ascii="宋体" w:hAnsi="宋体" w:eastAsia="宋体" w:cs="宋体"/>
          <w:bCs/>
          <w:kern w:val="2"/>
        </w:rPr>
      </w:pPr>
      <w:r>
        <w:rPr>
          <w:rFonts w:hint="eastAsia" w:ascii="宋体" w:hAnsi="宋体" w:eastAsia="宋体" w:cs="宋体"/>
          <w:bCs/>
          <w:kern w:val="2"/>
        </w:rPr>
        <w:t>试验结果判定：用φ2.5mm直硬钢丝作试验，不能进入壳内。</w:t>
      </w:r>
    </w:p>
    <w:p w14:paraId="03AD7388">
      <w:pPr>
        <w:pStyle w:val="41"/>
        <w:numPr>
          <w:ilvl w:val="0"/>
          <w:numId w:val="0"/>
        </w:numPr>
        <w:tabs>
          <w:tab w:val="left" w:pos="1440"/>
        </w:tabs>
        <w:rPr>
          <w:rFonts w:hint="eastAsia" w:ascii="宋体" w:hAnsi="宋体" w:eastAsia="宋体" w:cs="宋体"/>
          <w:bCs/>
          <w:kern w:val="2"/>
        </w:rPr>
      </w:pPr>
      <w:r>
        <w:rPr>
          <w:rFonts w:hint="eastAsia" w:ascii="宋体" w:hAnsi="宋体" w:eastAsia="宋体" w:cs="宋体"/>
        </w:rPr>
        <w:t>d）</w:t>
      </w:r>
      <w:r>
        <w:rPr>
          <w:rFonts w:hint="eastAsia" w:ascii="宋体" w:hAnsi="宋体" w:eastAsia="宋体" w:cs="宋体"/>
          <w:bCs/>
          <w:kern w:val="2"/>
        </w:rPr>
        <w:t>标志是否符合要求</w:t>
      </w:r>
    </w:p>
    <w:p w14:paraId="05296E8C">
      <w:pPr>
        <w:pStyle w:val="41"/>
        <w:numPr>
          <w:ilvl w:val="0"/>
          <w:numId w:val="0"/>
        </w:numPr>
        <w:tabs>
          <w:tab w:val="left" w:pos="1440"/>
        </w:tabs>
        <w:ind w:firstLine="413" w:firstLineChars="197"/>
        <w:rPr>
          <w:rFonts w:hint="eastAsia" w:ascii="宋体" w:hAnsi="宋体" w:eastAsia="宋体" w:cs="宋体"/>
          <w:bCs/>
          <w:kern w:val="2"/>
        </w:rPr>
      </w:pPr>
      <w:r>
        <w:rPr>
          <w:rFonts w:hint="eastAsia" w:ascii="宋体" w:hAnsi="宋体" w:eastAsia="宋体" w:cs="宋体"/>
          <w:bCs/>
          <w:kern w:val="2"/>
        </w:rPr>
        <w:t>试验结果判定：是否有主接地点和接地标志。</w:t>
      </w:r>
    </w:p>
    <w:p w14:paraId="62889180">
      <w:pPr>
        <w:pStyle w:val="41"/>
        <w:numPr>
          <w:ilvl w:val="0"/>
          <w:numId w:val="0"/>
        </w:numPr>
        <w:tabs>
          <w:tab w:val="left" w:pos="1440"/>
        </w:tabs>
        <w:rPr>
          <w:rFonts w:hint="eastAsia" w:ascii="宋体" w:hAnsi="宋体" w:eastAsia="宋体" w:cs="宋体"/>
          <w:highlight w:val="yellow"/>
        </w:rPr>
      </w:pPr>
      <w:r>
        <w:rPr>
          <w:rFonts w:hint="eastAsia" w:ascii="宋体" w:hAnsi="宋体" w:eastAsia="宋体" w:cs="宋体"/>
        </w:rPr>
        <w:t>e）</w:t>
      </w:r>
      <w:r>
        <w:rPr>
          <w:rFonts w:hint="eastAsia" w:ascii="宋体" w:hAnsi="宋体" w:eastAsia="宋体" w:cs="宋体"/>
          <w:bCs/>
          <w:kern w:val="2"/>
        </w:rPr>
        <w:t>铭牌检查</w:t>
      </w:r>
    </w:p>
    <w:p w14:paraId="0F6A5BA5">
      <w:pPr>
        <w:pStyle w:val="33"/>
        <w:tabs>
          <w:tab w:val="center" w:pos="4201"/>
          <w:tab w:val="right" w:leader="dot" w:pos="9298"/>
        </w:tabs>
        <w:rPr>
          <w:rFonts w:hint="eastAsia" w:ascii="宋体" w:hAnsi="宋体" w:eastAsia="宋体" w:cs="宋体"/>
          <w:bCs/>
          <w:kern w:val="2"/>
          <w:szCs w:val="21"/>
        </w:rPr>
      </w:pPr>
      <w:r>
        <w:rPr>
          <w:rFonts w:hint="eastAsia" w:ascii="宋体" w:hAnsi="宋体" w:eastAsia="宋体" w:cs="宋体"/>
          <w:bCs/>
          <w:kern w:val="2"/>
          <w:szCs w:val="21"/>
        </w:rPr>
        <w:t>试验结果判定：铭牌应清晰、牢固、壳体外表面涂层应协调。</w:t>
      </w:r>
    </w:p>
    <w:p w14:paraId="1809C0DC">
      <w:pPr>
        <w:pStyle w:val="41"/>
        <w:numPr>
          <w:ilvl w:val="0"/>
          <w:numId w:val="0"/>
        </w:numPr>
        <w:tabs>
          <w:tab w:val="left" w:pos="1440"/>
        </w:tabs>
        <w:rPr>
          <w:rFonts w:hint="eastAsia" w:ascii="宋体" w:hAnsi="宋体" w:eastAsia="宋体" w:cs="宋体"/>
          <w:highlight w:val="yellow"/>
        </w:rPr>
      </w:pPr>
      <w:r>
        <w:rPr>
          <w:rFonts w:hint="eastAsia" w:ascii="宋体" w:hAnsi="宋体" w:eastAsia="宋体" w:cs="宋体"/>
        </w:rPr>
        <w:t>f）</w:t>
      </w:r>
      <w:r>
        <w:rPr>
          <w:rFonts w:hint="eastAsia" w:ascii="宋体" w:hAnsi="宋体" w:eastAsia="宋体" w:cs="宋体"/>
          <w:bCs/>
          <w:kern w:val="2"/>
        </w:rPr>
        <w:t>母线检查</w:t>
      </w:r>
    </w:p>
    <w:p w14:paraId="572F23A9">
      <w:pPr>
        <w:pStyle w:val="33"/>
        <w:tabs>
          <w:tab w:val="center" w:pos="4201"/>
          <w:tab w:val="right" w:leader="dot" w:pos="9298"/>
        </w:tabs>
        <w:rPr>
          <w:rFonts w:hint="eastAsia" w:ascii="宋体" w:hAnsi="宋体" w:eastAsia="宋体" w:cs="宋体"/>
          <w:szCs w:val="21"/>
          <w:highlight w:val="yellow"/>
        </w:rPr>
      </w:pPr>
      <w:r>
        <w:rPr>
          <w:rFonts w:hint="eastAsia" w:ascii="宋体" w:hAnsi="宋体" w:eastAsia="宋体" w:cs="宋体"/>
          <w:bCs/>
          <w:kern w:val="2"/>
          <w:szCs w:val="21"/>
        </w:rPr>
        <w:t>试验结果判定：母线应平整光滑、无毛刺、锤痕。</w:t>
      </w:r>
    </w:p>
    <w:p w14:paraId="2D8A3DCB">
      <w:pPr>
        <w:pStyle w:val="41"/>
        <w:numPr>
          <w:ilvl w:val="0"/>
          <w:numId w:val="0"/>
        </w:numPr>
        <w:tabs>
          <w:tab w:val="left" w:pos="1440"/>
        </w:tabs>
        <w:rPr>
          <w:rFonts w:hint="eastAsia" w:ascii="宋体" w:hAnsi="宋体" w:eastAsia="宋体" w:cs="宋体"/>
          <w:highlight w:val="yellow"/>
        </w:rPr>
      </w:pPr>
      <w:r>
        <w:rPr>
          <w:rFonts w:hint="eastAsia" w:ascii="宋体" w:hAnsi="宋体" w:eastAsia="宋体" w:cs="宋体"/>
        </w:rPr>
        <w:t>g）</w:t>
      </w:r>
      <w:r>
        <w:rPr>
          <w:rFonts w:hint="eastAsia" w:ascii="宋体" w:hAnsi="宋体" w:eastAsia="宋体" w:cs="宋体"/>
          <w:bCs/>
          <w:kern w:val="2"/>
        </w:rPr>
        <w:t>是否安装了保护性设施</w:t>
      </w:r>
    </w:p>
    <w:p w14:paraId="2046EF28">
      <w:pPr>
        <w:pStyle w:val="33"/>
        <w:tabs>
          <w:tab w:val="center" w:pos="4201"/>
          <w:tab w:val="right" w:leader="dot" w:pos="9298"/>
        </w:tabs>
        <w:rPr>
          <w:rFonts w:hint="eastAsia" w:ascii="宋体" w:hAnsi="宋体" w:eastAsia="宋体" w:cs="宋体"/>
          <w:bCs/>
          <w:kern w:val="2"/>
          <w:szCs w:val="21"/>
        </w:rPr>
      </w:pPr>
      <w:r>
        <w:rPr>
          <w:rFonts w:hint="eastAsia" w:ascii="宋体" w:hAnsi="宋体" w:eastAsia="宋体" w:cs="宋体"/>
          <w:bCs/>
          <w:kern w:val="2"/>
          <w:szCs w:val="21"/>
        </w:rPr>
        <w:t>试验结果判定：是否安装避雷器。</w:t>
      </w:r>
    </w:p>
    <w:p w14:paraId="3A5F5C7E">
      <w:pPr>
        <w:pStyle w:val="41"/>
        <w:numPr>
          <w:ilvl w:val="0"/>
          <w:numId w:val="0"/>
        </w:numPr>
        <w:tabs>
          <w:tab w:val="left" w:pos="1440"/>
        </w:tabs>
        <w:rPr>
          <w:rFonts w:hint="eastAsia" w:ascii="宋体" w:hAnsi="宋体" w:eastAsia="宋体" w:cs="宋体"/>
          <w:bCs/>
          <w:spacing w:val="3"/>
        </w:rPr>
      </w:pPr>
      <w:r>
        <w:rPr>
          <w:rFonts w:hint="eastAsia" w:ascii="宋体" w:hAnsi="宋体" w:eastAsia="宋体" w:cs="宋体"/>
        </w:rPr>
        <w:t>h）</w:t>
      </w:r>
      <w:r>
        <w:rPr>
          <w:rFonts w:hint="eastAsia" w:ascii="宋体" w:hAnsi="宋体" w:eastAsia="宋体" w:cs="宋体"/>
        </w:rPr>
        <w:tab/>
      </w:r>
      <w:r>
        <w:rPr>
          <w:rFonts w:hint="eastAsia" w:ascii="宋体" w:hAnsi="宋体" w:eastAsia="宋体" w:cs="宋体"/>
          <w:bCs/>
          <w:spacing w:val="3"/>
        </w:rPr>
        <w:t>电气间隙测量</w:t>
      </w:r>
    </w:p>
    <w:p w14:paraId="26B08DD1">
      <w:pPr>
        <w:pStyle w:val="33"/>
        <w:tabs>
          <w:tab w:val="center" w:pos="4201"/>
          <w:tab w:val="right" w:leader="dot" w:pos="9298"/>
        </w:tabs>
        <w:ind w:firstLine="419" w:firstLineChars="194"/>
        <w:rPr>
          <w:rFonts w:hint="eastAsia" w:ascii="宋体" w:hAnsi="宋体" w:eastAsia="宋体" w:cs="宋体"/>
          <w:bCs/>
          <w:spacing w:val="3"/>
          <w:szCs w:val="21"/>
        </w:rPr>
      </w:pPr>
      <w:r>
        <w:rPr>
          <w:rFonts w:hint="eastAsia" w:ascii="宋体" w:hAnsi="宋体" w:eastAsia="宋体" w:cs="宋体"/>
          <w:bCs/>
          <w:spacing w:val="3"/>
          <w:szCs w:val="21"/>
        </w:rPr>
        <w:t>试验结果判定：大于等于10.0mm。</w:t>
      </w:r>
    </w:p>
    <w:p w14:paraId="5AE0BE66">
      <w:pPr>
        <w:pStyle w:val="41"/>
        <w:numPr>
          <w:ilvl w:val="0"/>
          <w:numId w:val="0"/>
        </w:numPr>
        <w:tabs>
          <w:tab w:val="left" w:pos="1440"/>
        </w:tabs>
        <w:rPr>
          <w:rFonts w:hint="eastAsia" w:ascii="宋体" w:hAnsi="宋体" w:eastAsia="宋体" w:cs="宋体"/>
          <w:bCs/>
          <w:spacing w:val="3"/>
        </w:rPr>
      </w:pPr>
      <w:r>
        <w:rPr>
          <w:rFonts w:hint="eastAsia" w:ascii="宋体" w:hAnsi="宋体" w:eastAsia="宋体" w:cs="宋体"/>
        </w:rPr>
        <w:t>i）</w:t>
      </w:r>
      <w:r>
        <w:rPr>
          <w:rFonts w:hint="eastAsia" w:ascii="宋体" w:hAnsi="宋体" w:eastAsia="宋体" w:cs="宋体"/>
        </w:rPr>
        <w:tab/>
      </w:r>
      <w:r>
        <w:rPr>
          <w:rFonts w:hint="eastAsia" w:ascii="宋体" w:hAnsi="宋体" w:eastAsia="宋体" w:cs="宋体"/>
          <w:bCs/>
          <w:spacing w:val="3"/>
        </w:rPr>
        <w:t>爬电距离测量</w:t>
      </w:r>
    </w:p>
    <w:p w14:paraId="069B0AA1">
      <w:pPr>
        <w:pStyle w:val="33"/>
        <w:tabs>
          <w:tab w:val="center" w:pos="4201"/>
          <w:tab w:val="right" w:leader="dot" w:pos="9298"/>
        </w:tabs>
        <w:ind w:firstLine="419" w:firstLineChars="194"/>
        <w:rPr>
          <w:rFonts w:hint="eastAsia" w:ascii="宋体" w:hAnsi="宋体" w:eastAsia="宋体" w:cs="宋体"/>
          <w:bCs/>
          <w:spacing w:val="3"/>
          <w:szCs w:val="21"/>
        </w:rPr>
      </w:pPr>
      <w:r>
        <w:rPr>
          <w:rFonts w:hint="eastAsia" w:ascii="宋体" w:hAnsi="宋体" w:eastAsia="宋体" w:cs="宋体"/>
          <w:bCs/>
          <w:spacing w:val="3"/>
          <w:szCs w:val="21"/>
        </w:rPr>
        <w:t>试验结果判定：大于等于14.0mm。</w:t>
      </w:r>
    </w:p>
    <w:p w14:paraId="166D7512">
      <w:pPr>
        <w:pStyle w:val="43"/>
        <w:tabs>
          <w:tab w:val="left" w:pos="1440"/>
        </w:tabs>
        <w:spacing w:before="156" w:after="156"/>
        <w:ind w:left="0" w:firstLine="0"/>
        <w:rPr>
          <w:rFonts w:hint="eastAsia" w:ascii="宋体" w:hAnsi="宋体" w:eastAsia="宋体" w:cs="宋体"/>
        </w:rPr>
      </w:pPr>
      <w:r>
        <w:rPr>
          <w:rFonts w:hint="eastAsia" w:ascii="宋体" w:hAnsi="宋体" w:eastAsia="宋体" w:cs="宋体"/>
        </w:rPr>
        <w:t>5.2.2  绝缘电阻验证</w:t>
      </w:r>
    </w:p>
    <w:p w14:paraId="3FB1D4E5">
      <w:pPr>
        <w:pStyle w:val="33"/>
        <w:tabs>
          <w:tab w:val="center" w:pos="4201"/>
          <w:tab w:val="right" w:leader="dot" w:pos="9298"/>
        </w:tabs>
        <w:rPr>
          <w:rFonts w:hint="eastAsia" w:ascii="宋体" w:hAnsi="宋体" w:eastAsia="宋体" w:cs="宋体"/>
          <w:bCs/>
          <w:kern w:val="2"/>
          <w:szCs w:val="21"/>
        </w:rPr>
      </w:pPr>
      <w:r>
        <w:rPr>
          <w:rFonts w:hint="eastAsia" w:ascii="宋体" w:hAnsi="宋体" w:eastAsia="宋体" w:cs="宋体"/>
          <w:bCs/>
          <w:kern w:val="2"/>
          <w:szCs w:val="21"/>
        </w:rPr>
        <w:t>应用电压至少为500V的绝缘测量仪器，对带电体之间、带电体与裸露导电部件之间、带电体对地的绝缘电阻进行测量。试验结果判定：带电体之间、带电体与裸露导电部件之间、带电体对地的绝缘电阻不小于1000Ω/V（标称电压），则此项试验通过。</w:t>
      </w:r>
    </w:p>
    <w:p w14:paraId="3E210BD6">
      <w:pPr>
        <w:pStyle w:val="43"/>
        <w:tabs>
          <w:tab w:val="left" w:pos="1440"/>
        </w:tabs>
        <w:spacing w:before="156" w:after="156"/>
        <w:ind w:left="0" w:firstLine="0"/>
        <w:rPr>
          <w:rFonts w:hint="eastAsia" w:ascii="宋体" w:hAnsi="宋体" w:eastAsia="宋体" w:cs="宋体"/>
          <w:highlight w:val="yellow"/>
        </w:rPr>
      </w:pPr>
      <w:r>
        <w:rPr>
          <w:rFonts w:hint="eastAsia" w:ascii="宋体" w:hAnsi="宋体" w:eastAsia="宋体" w:cs="宋体"/>
        </w:rPr>
        <w:t>5.2.3</w:t>
      </w:r>
      <w:r>
        <w:rPr>
          <w:rFonts w:hint="eastAsia" w:ascii="宋体" w:hAnsi="宋体" w:eastAsia="宋体" w:cs="宋体"/>
          <w:bCs/>
          <w:kern w:val="2"/>
        </w:rPr>
        <w:t>工频耐压试验</w:t>
      </w:r>
    </w:p>
    <w:p w14:paraId="18FF7CE6">
      <w:pPr>
        <w:pStyle w:val="43"/>
        <w:tabs>
          <w:tab w:val="left" w:pos="1440"/>
        </w:tabs>
        <w:spacing w:before="156" w:after="156"/>
        <w:ind w:left="0" w:firstLine="0"/>
        <w:rPr>
          <w:rFonts w:hint="eastAsia" w:ascii="宋体" w:hAnsi="宋体" w:eastAsia="宋体" w:cs="宋体"/>
          <w:kern w:val="2"/>
        </w:rPr>
      </w:pPr>
      <w:r>
        <w:rPr>
          <w:rFonts w:hint="eastAsia" w:ascii="宋体" w:hAnsi="宋体" w:eastAsia="宋体" w:cs="宋体"/>
        </w:rPr>
        <w:t>1）</w:t>
      </w:r>
      <w:r>
        <w:rPr>
          <w:rFonts w:hint="eastAsia" w:ascii="宋体" w:hAnsi="宋体" w:eastAsia="宋体" w:cs="宋体"/>
          <w:bCs/>
          <w:kern w:val="2"/>
        </w:rPr>
        <w:t>主回路与主回路直接相连的辅助电路应能耐受表7规定的工频耐压试验电压。</w:t>
      </w:r>
    </w:p>
    <w:p w14:paraId="6857A329">
      <w:pPr>
        <w:pStyle w:val="39"/>
        <w:numPr>
          <w:ilvl w:val="0"/>
          <w:numId w:val="0"/>
        </w:numPr>
        <w:spacing w:beforeLines="0" w:afterLines="0"/>
        <w:rPr>
          <w:rFonts w:hint="eastAsia" w:ascii="宋体" w:hAnsi="宋体" w:eastAsia="宋体" w:cs="宋体"/>
        </w:rPr>
      </w:pPr>
      <w:r>
        <w:rPr>
          <w:rFonts w:hint="eastAsia" w:ascii="宋体" w:hAnsi="宋体" w:eastAsia="宋体" w:cs="宋体"/>
        </w:rPr>
        <w:t>表7  试验电压值</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47"/>
        <w:gridCol w:w="4641"/>
      </w:tblGrid>
      <w:tr w14:paraId="4E8BD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noWrap w:val="0"/>
            <w:vAlign w:val="top"/>
          </w:tcPr>
          <w:p w14:paraId="2E4A03A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额定绝缘电压Ui/V</w:t>
            </w:r>
          </w:p>
        </w:tc>
        <w:tc>
          <w:tcPr>
            <w:tcW w:w="4641" w:type="dxa"/>
            <w:noWrap w:val="0"/>
            <w:vAlign w:val="top"/>
          </w:tcPr>
          <w:p w14:paraId="1D118B0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试验电压（交流方均根值）/V</w:t>
            </w:r>
          </w:p>
        </w:tc>
      </w:tr>
      <w:tr w14:paraId="02CAC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noWrap w:val="0"/>
            <w:vAlign w:val="top"/>
          </w:tcPr>
          <w:p w14:paraId="01FF01B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Ui≤60</w:t>
            </w:r>
          </w:p>
        </w:tc>
        <w:tc>
          <w:tcPr>
            <w:tcW w:w="4641" w:type="dxa"/>
            <w:noWrap w:val="0"/>
            <w:vAlign w:val="top"/>
          </w:tcPr>
          <w:p w14:paraId="5E0F3CE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1000</w:t>
            </w:r>
          </w:p>
        </w:tc>
      </w:tr>
      <w:tr w14:paraId="5039C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noWrap w:val="0"/>
            <w:vAlign w:val="top"/>
          </w:tcPr>
          <w:p w14:paraId="35114FF7">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60＜Ui≤300</w:t>
            </w:r>
          </w:p>
        </w:tc>
        <w:tc>
          <w:tcPr>
            <w:tcW w:w="4641" w:type="dxa"/>
            <w:noWrap w:val="0"/>
            <w:vAlign w:val="top"/>
          </w:tcPr>
          <w:p w14:paraId="7DA4CAD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2000</w:t>
            </w:r>
          </w:p>
        </w:tc>
      </w:tr>
      <w:tr w14:paraId="23AEC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noWrap w:val="0"/>
            <w:vAlign w:val="top"/>
          </w:tcPr>
          <w:p w14:paraId="5E298394">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300＜Ui≤690</w:t>
            </w:r>
          </w:p>
        </w:tc>
        <w:tc>
          <w:tcPr>
            <w:tcW w:w="4641" w:type="dxa"/>
            <w:noWrap w:val="0"/>
            <w:vAlign w:val="top"/>
          </w:tcPr>
          <w:p w14:paraId="3A1EB8A6">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2500</w:t>
            </w:r>
          </w:p>
        </w:tc>
      </w:tr>
      <w:tr w14:paraId="6EFAB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47" w:type="dxa"/>
            <w:noWrap w:val="0"/>
            <w:vAlign w:val="top"/>
          </w:tcPr>
          <w:p w14:paraId="655D935E">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690＜Ui≤800</w:t>
            </w:r>
          </w:p>
        </w:tc>
        <w:tc>
          <w:tcPr>
            <w:tcW w:w="4641" w:type="dxa"/>
            <w:noWrap w:val="0"/>
            <w:vAlign w:val="top"/>
          </w:tcPr>
          <w:p w14:paraId="7BCAFF4D">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3000</w:t>
            </w:r>
          </w:p>
        </w:tc>
      </w:tr>
      <w:tr w14:paraId="517DB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1" w:hRule="atLeast"/>
        </w:trPr>
        <w:tc>
          <w:tcPr>
            <w:tcW w:w="4647" w:type="dxa"/>
            <w:noWrap w:val="0"/>
            <w:vAlign w:val="top"/>
          </w:tcPr>
          <w:p w14:paraId="081E564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800＜Ui≤1000（或1140）</w:t>
            </w:r>
          </w:p>
        </w:tc>
        <w:tc>
          <w:tcPr>
            <w:tcW w:w="4641" w:type="dxa"/>
            <w:noWrap w:val="0"/>
            <w:vAlign w:val="top"/>
          </w:tcPr>
          <w:p w14:paraId="72DAD9E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3500</w:t>
            </w:r>
          </w:p>
        </w:tc>
      </w:tr>
    </w:tbl>
    <w:p w14:paraId="4A13839F">
      <w:pPr>
        <w:pStyle w:val="43"/>
        <w:tabs>
          <w:tab w:val="left" w:pos="1440"/>
        </w:tabs>
        <w:spacing w:before="156" w:after="156"/>
        <w:ind w:left="0" w:firstLine="0"/>
        <w:rPr>
          <w:rFonts w:hint="eastAsia" w:ascii="宋体" w:hAnsi="宋体" w:eastAsia="宋体" w:cs="宋体"/>
          <w:kern w:val="2"/>
        </w:rPr>
      </w:pPr>
      <w:r>
        <w:rPr>
          <w:rFonts w:hint="eastAsia" w:ascii="宋体" w:hAnsi="宋体" w:eastAsia="宋体" w:cs="宋体"/>
        </w:rPr>
        <w:t>2）</w:t>
      </w:r>
      <w:r>
        <w:rPr>
          <w:rFonts w:hint="eastAsia" w:ascii="宋体" w:hAnsi="宋体" w:eastAsia="宋体" w:cs="宋体"/>
          <w:bCs/>
          <w:kern w:val="2"/>
        </w:rPr>
        <w:t>不与主回路直接相连的辅助电路应能耐受表8规定的工频耐压试验电压</w:t>
      </w:r>
    </w:p>
    <w:p w14:paraId="36E585AD">
      <w:pPr>
        <w:pStyle w:val="39"/>
        <w:numPr>
          <w:ilvl w:val="0"/>
          <w:numId w:val="0"/>
        </w:numPr>
        <w:spacing w:beforeLines="0" w:afterLines="0"/>
        <w:rPr>
          <w:rFonts w:hint="eastAsia" w:ascii="宋体" w:hAnsi="宋体" w:eastAsia="宋体" w:cs="宋体"/>
        </w:rPr>
      </w:pPr>
      <w:r>
        <w:rPr>
          <w:rFonts w:hint="eastAsia" w:ascii="宋体" w:hAnsi="宋体" w:eastAsia="宋体" w:cs="宋体"/>
          <w:kern w:val="2"/>
        </w:rPr>
        <w:t>表8  不由主回路直接供电的辅助电路试验电压值</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32"/>
        <w:gridCol w:w="4656"/>
      </w:tblGrid>
      <w:tr w14:paraId="37709F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noWrap w:val="0"/>
            <w:vAlign w:val="top"/>
          </w:tcPr>
          <w:p w14:paraId="48AB2B4F">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额定绝缘电压Ui/V</w:t>
            </w:r>
          </w:p>
        </w:tc>
        <w:tc>
          <w:tcPr>
            <w:tcW w:w="4656" w:type="dxa"/>
            <w:noWrap w:val="0"/>
            <w:vAlign w:val="top"/>
          </w:tcPr>
          <w:p w14:paraId="3A41632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试验电压（交流方均根值）/V</w:t>
            </w:r>
          </w:p>
        </w:tc>
      </w:tr>
      <w:tr w14:paraId="4CE2FC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noWrap w:val="0"/>
            <w:vAlign w:val="top"/>
          </w:tcPr>
          <w:p w14:paraId="3E1BC659">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Ui≤12</w:t>
            </w:r>
          </w:p>
        </w:tc>
        <w:tc>
          <w:tcPr>
            <w:tcW w:w="4656" w:type="dxa"/>
            <w:noWrap w:val="0"/>
            <w:vAlign w:val="top"/>
          </w:tcPr>
          <w:p w14:paraId="1F313673">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250</w:t>
            </w:r>
          </w:p>
        </w:tc>
      </w:tr>
      <w:tr w14:paraId="2B9D4C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noWrap w:val="0"/>
            <w:vAlign w:val="top"/>
          </w:tcPr>
          <w:p w14:paraId="2C3BD032">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12＜Ui≤60</w:t>
            </w:r>
          </w:p>
        </w:tc>
        <w:tc>
          <w:tcPr>
            <w:tcW w:w="4656" w:type="dxa"/>
            <w:noWrap w:val="0"/>
            <w:vAlign w:val="top"/>
          </w:tcPr>
          <w:p w14:paraId="5A652BCC">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500</w:t>
            </w:r>
          </w:p>
        </w:tc>
      </w:tr>
      <w:tr w14:paraId="30121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32" w:type="dxa"/>
            <w:noWrap w:val="0"/>
            <w:vAlign w:val="top"/>
          </w:tcPr>
          <w:p w14:paraId="76394900">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Ui＞60</w:t>
            </w:r>
          </w:p>
        </w:tc>
        <w:tc>
          <w:tcPr>
            <w:tcW w:w="4656" w:type="dxa"/>
            <w:noWrap w:val="0"/>
            <w:vAlign w:val="top"/>
          </w:tcPr>
          <w:p w14:paraId="2ACAB50B">
            <w:pPr>
              <w:pStyle w:val="33"/>
              <w:tabs>
                <w:tab w:val="center" w:pos="4201"/>
                <w:tab w:val="right" w:leader="dot" w:pos="9298"/>
              </w:tabs>
              <w:ind w:firstLine="0" w:firstLineChars="0"/>
              <w:jc w:val="center"/>
              <w:rPr>
                <w:rFonts w:hint="eastAsia" w:ascii="宋体" w:hAnsi="宋体" w:eastAsia="宋体" w:cs="宋体"/>
                <w:sz w:val="18"/>
                <w:szCs w:val="18"/>
              </w:rPr>
            </w:pPr>
            <w:r>
              <w:rPr>
                <w:rFonts w:hint="eastAsia" w:ascii="宋体" w:hAnsi="宋体" w:eastAsia="宋体" w:cs="宋体"/>
                <w:sz w:val="18"/>
                <w:szCs w:val="18"/>
              </w:rPr>
              <w:t>2Ui+1000，但不小于1500</w:t>
            </w:r>
          </w:p>
        </w:tc>
      </w:tr>
    </w:tbl>
    <w:p w14:paraId="73198B52">
      <w:pPr>
        <w:pStyle w:val="41"/>
        <w:numPr>
          <w:ilvl w:val="0"/>
          <w:numId w:val="0"/>
        </w:numPr>
        <w:tabs>
          <w:tab w:val="left" w:pos="1440"/>
        </w:tabs>
        <w:rPr>
          <w:rFonts w:hint="eastAsia" w:ascii="宋体" w:hAnsi="宋体" w:eastAsia="宋体" w:cs="宋体"/>
          <w:bCs/>
          <w:kern w:val="2"/>
        </w:rPr>
      </w:pPr>
      <w:r>
        <w:rPr>
          <w:rFonts w:hint="eastAsia" w:ascii="宋体" w:hAnsi="宋体" w:eastAsia="宋体" w:cs="宋体"/>
        </w:rPr>
        <w:t>5.2.4</w:t>
      </w:r>
      <w:r>
        <w:rPr>
          <w:rFonts w:hint="eastAsia" w:ascii="宋体" w:hAnsi="宋体" w:eastAsia="宋体" w:cs="宋体"/>
          <w:bCs/>
          <w:kern w:val="2"/>
        </w:rPr>
        <w:t>通电操作试验</w:t>
      </w:r>
    </w:p>
    <w:p w14:paraId="43AE8C78">
      <w:pPr>
        <w:pStyle w:val="33"/>
        <w:tabs>
          <w:tab w:val="center" w:pos="4201"/>
          <w:tab w:val="right" w:leader="dot" w:pos="9298"/>
        </w:tabs>
        <w:rPr>
          <w:rFonts w:hint="eastAsia" w:ascii="宋体" w:hAnsi="宋体" w:eastAsia="宋体" w:cs="宋体"/>
          <w:bCs/>
          <w:kern w:val="2"/>
          <w:szCs w:val="21"/>
        </w:rPr>
      </w:pPr>
      <w:r>
        <w:rPr>
          <w:rFonts w:hint="eastAsia" w:ascii="宋体" w:hAnsi="宋体" w:eastAsia="宋体" w:cs="宋体"/>
          <w:bCs/>
          <w:kern w:val="2"/>
          <w:szCs w:val="21"/>
        </w:rPr>
        <w:t>检查装置的内部接线正确无误后，在辅助电路分别通以额定电压的85%和110%，各操作5次。试验结果判定：电器元器件的动作显示均应符合相应要求，且各操作器件动作灵活。</w:t>
      </w:r>
    </w:p>
    <w:p w14:paraId="0C098CAF">
      <w:pPr>
        <w:pStyle w:val="33"/>
        <w:tabs>
          <w:tab w:val="center" w:pos="4201"/>
          <w:tab w:val="right" w:leader="dot" w:pos="9298"/>
        </w:tabs>
        <w:ind w:left="420" w:hanging="420" w:hangingChars="200"/>
        <w:jc w:val="left"/>
        <w:rPr>
          <w:rFonts w:hint="eastAsia" w:ascii="宋体" w:hAnsi="宋体" w:eastAsia="宋体" w:cs="宋体"/>
          <w:bCs/>
          <w:kern w:val="2"/>
          <w:szCs w:val="21"/>
        </w:rPr>
      </w:pPr>
      <w:r>
        <w:rPr>
          <w:rFonts w:hint="eastAsia" w:ascii="宋体" w:hAnsi="宋体" w:eastAsia="宋体" w:cs="宋体"/>
          <w:bCs/>
          <w:kern w:val="2"/>
          <w:szCs w:val="21"/>
        </w:rPr>
        <w:t>5.2.5 温升极限的验证 按GB7251.1-2005中8.2.1的规定。试验结果判定：测试结果应符合GB7251.1-2005中8.2.1.7的规定。</w:t>
      </w:r>
    </w:p>
    <w:p w14:paraId="48556C75">
      <w:pPr>
        <w:pStyle w:val="33"/>
        <w:tabs>
          <w:tab w:val="center" w:pos="4201"/>
          <w:tab w:val="right" w:leader="dot" w:pos="9298"/>
        </w:tabs>
        <w:ind w:firstLine="0" w:firstLineChars="0"/>
        <w:rPr>
          <w:rFonts w:hint="eastAsia" w:ascii="宋体" w:hAnsi="宋体" w:eastAsia="宋体" w:cs="宋体"/>
          <w:bCs/>
          <w:kern w:val="2"/>
        </w:rPr>
      </w:pPr>
      <w:r>
        <w:rPr>
          <w:rFonts w:hint="eastAsia" w:ascii="宋体" w:hAnsi="宋体" w:eastAsia="宋体" w:cs="宋体"/>
          <w:bCs/>
          <w:kern w:val="2"/>
        </w:rPr>
        <w:t>5.2.6 短路耐受强度验证</w:t>
      </w:r>
    </w:p>
    <w:p w14:paraId="3FE4932E">
      <w:pPr>
        <w:pStyle w:val="45"/>
        <w:numPr>
          <w:ilvl w:val="0"/>
          <w:numId w:val="0"/>
        </w:numPr>
        <w:ind w:firstLine="420" w:firstLineChars="200"/>
        <w:rPr>
          <w:rFonts w:hint="eastAsia" w:ascii="宋体" w:hAnsi="宋体" w:eastAsia="宋体" w:cs="宋体"/>
        </w:rPr>
      </w:pPr>
      <w:r>
        <w:rPr>
          <w:rFonts w:hint="eastAsia" w:ascii="宋体" w:hAnsi="宋体" w:eastAsia="宋体" w:cs="宋体"/>
        </w:rPr>
        <w:t>按GB 7251.1-2005中8.2.3的规定。试验结果判定：测试结果应符合GB 7251.1-2005中8.2.3.2.5的规定。</w:t>
      </w:r>
    </w:p>
    <w:p w14:paraId="24CEB8F1">
      <w:pPr>
        <w:pStyle w:val="45"/>
        <w:numPr>
          <w:ilvl w:val="0"/>
          <w:numId w:val="0"/>
        </w:numPr>
        <w:rPr>
          <w:rFonts w:hint="eastAsia" w:ascii="宋体" w:hAnsi="宋体" w:eastAsia="宋体" w:cs="宋体"/>
          <w:kern w:val="2"/>
        </w:rPr>
      </w:pPr>
      <w:r>
        <w:rPr>
          <w:rFonts w:hint="eastAsia" w:ascii="宋体" w:hAnsi="宋体" w:eastAsia="宋体" w:cs="宋体"/>
        </w:rPr>
        <w:t>5.2.7保护电路有效性验证</w:t>
      </w:r>
    </w:p>
    <w:p w14:paraId="00223951">
      <w:pPr>
        <w:pStyle w:val="45"/>
        <w:numPr>
          <w:ilvl w:val="0"/>
          <w:numId w:val="0"/>
        </w:numPr>
        <w:ind w:firstLine="525" w:firstLineChars="250"/>
        <w:rPr>
          <w:rFonts w:hint="eastAsia" w:ascii="宋体" w:hAnsi="宋体" w:eastAsia="宋体" w:cs="宋体"/>
        </w:rPr>
      </w:pPr>
      <w:r>
        <w:rPr>
          <w:rFonts w:hint="eastAsia" w:ascii="宋体" w:hAnsi="宋体" w:eastAsia="宋体" w:cs="宋体"/>
        </w:rPr>
        <w:t>按GB 7251.1-2005中8.2.4的规定。试验结果判定：测试结果应符合GB 7251.1-2005中8.2.4.3的规定。</w:t>
      </w:r>
    </w:p>
    <w:p w14:paraId="3719A3DF">
      <w:pPr>
        <w:pStyle w:val="45"/>
        <w:numPr>
          <w:ilvl w:val="0"/>
          <w:numId w:val="0"/>
        </w:numPr>
        <w:ind w:left="420" w:hanging="420" w:hangingChars="200"/>
        <w:rPr>
          <w:rFonts w:hint="eastAsia" w:ascii="宋体" w:hAnsi="宋体" w:eastAsia="宋体" w:cs="宋体"/>
        </w:rPr>
      </w:pPr>
      <w:r>
        <w:rPr>
          <w:rFonts w:hint="eastAsia" w:ascii="宋体" w:hAnsi="宋体" w:eastAsia="宋体" w:cs="宋体"/>
        </w:rPr>
        <w:t>5.2.8电气间隙和爬电距离验证</w:t>
      </w:r>
    </w:p>
    <w:p w14:paraId="0D3F00D6">
      <w:pPr>
        <w:pStyle w:val="45"/>
        <w:numPr>
          <w:ilvl w:val="0"/>
          <w:numId w:val="0"/>
        </w:numPr>
        <w:ind w:firstLine="525" w:firstLineChars="250"/>
        <w:rPr>
          <w:rFonts w:hint="eastAsia" w:ascii="宋体" w:hAnsi="宋体" w:eastAsia="宋体" w:cs="宋体"/>
        </w:rPr>
      </w:pPr>
      <w:r>
        <w:rPr>
          <w:rFonts w:hint="eastAsia" w:ascii="宋体" w:hAnsi="宋体" w:eastAsia="宋体" w:cs="宋体"/>
        </w:rPr>
        <w:t>按GB 7251.1-2005中8.2.5的规定。试验结果判定：测试结果应符合GB 7251.1-2005中7.1.2.1的规定。</w:t>
      </w:r>
    </w:p>
    <w:p w14:paraId="44D3EF37">
      <w:pPr>
        <w:pStyle w:val="45"/>
        <w:numPr>
          <w:ilvl w:val="0"/>
          <w:numId w:val="0"/>
        </w:numPr>
        <w:ind w:left="420" w:hanging="420" w:hangingChars="200"/>
        <w:rPr>
          <w:rFonts w:hint="eastAsia" w:ascii="宋体" w:hAnsi="宋体" w:eastAsia="宋体" w:cs="宋体"/>
        </w:rPr>
      </w:pPr>
      <w:r>
        <w:rPr>
          <w:rFonts w:hint="eastAsia" w:ascii="宋体" w:hAnsi="宋体" w:eastAsia="宋体" w:cs="宋体"/>
        </w:rPr>
        <w:t>5.2.9机械操作验证</w:t>
      </w:r>
    </w:p>
    <w:p w14:paraId="6F788559">
      <w:pPr>
        <w:pStyle w:val="45"/>
        <w:numPr>
          <w:ilvl w:val="0"/>
          <w:numId w:val="0"/>
        </w:numPr>
        <w:ind w:firstLine="525" w:firstLineChars="250"/>
        <w:rPr>
          <w:rFonts w:hint="eastAsia" w:ascii="宋体" w:hAnsi="宋体" w:eastAsia="宋体" w:cs="宋体"/>
        </w:rPr>
      </w:pPr>
      <w:r>
        <w:rPr>
          <w:rFonts w:hint="eastAsia" w:ascii="宋体" w:hAnsi="宋体" w:eastAsia="宋体" w:cs="宋体"/>
        </w:rPr>
        <w:t>按GB 7251.1-2005中8.2.6的规定。试验结果判定：如果器件、联锁机构等的工作条件未受影响，而且所要求的操作力与试验前一样，则认为通过了此项试验。</w:t>
      </w:r>
    </w:p>
    <w:p w14:paraId="2F4DE1EC">
      <w:pPr>
        <w:pStyle w:val="45"/>
        <w:numPr>
          <w:ilvl w:val="0"/>
          <w:numId w:val="0"/>
        </w:numPr>
        <w:ind w:left="420" w:hanging="420" w:hangingChars="200"/>
        <w:rPr>
          <w:rFonts w:hint="eastAsia" w:ascii="宋体" w:hAnsi="宋体" w:eastAsia="宋体" w:cs="宋体"/>
        </w:rPr>
      </w:pPr>
      <w:r>
        <w:rPr>
          <w:rFonts w:hint="eastAsia" w:ascii="宋体" w:hAnsi="宋体" w:eastAsia="宋体" w:cs="宋体"/>
        </w:rPr>
        <w:t>5.2.10防护等级验证</w:t>
      </w:r>
    </w:p>
    <w:p w14:paraId="0065EE35">
      <w:pPr>
        <w:tabs>
          <w:tab w:val="left" w:pos="845"/>
        </w:tabs>
        <w:topLinePunct/>
        <w:spacing w:line="312" w:lineRule="exact"/>
        <w:rPr>
          <w:rFonts w:hint="eastAsia" w:ascii="宋体" w:hAnsi="宋体" w:eastAsia="宋体" w:cs="宋体"/>
        </w:rPr>
      </w:pPr>
      <w:r>
        <w:rPr>
          <w:rFonts w:hint="eastAsia" w:ascii="宋体" w:hAnsi="宋体" w:eastAsia="宋体" w:cs="宋体"/>
        </w:rPr>
        <w:t xml:space="preserve">    按GB 7251.1-2005中8.2.7的规定。试验结果判定：测试结果应符合GB 7251.1-2005中7.2.1和7.7的规定。</w:t>
      </w:r>
    </w:p>
    <w:p w14:paraId="6E78CAB3">
      <w:pPr>
        <w:pStyle w:val="15"/>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lang w:val="en-US" w:eastAsia="zh-CN"/>
        </w:rPr>
      </w:pPr>
    </w:p>
    <w:sectPr>
      <w:footerReference r:id="rId7" w:type="default"/>
      <w:pgSz w:w="11906" w:h="16838"/>
      <w:pgMar w:top="1100" w:right="1179" w:bottom="1100" w:left="112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EU-F1">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4EEE1">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E323CC">
                          <w:pPr>
                            <w:pStyle w:val="1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8E323CC">
                    <w:pPr>
                      <w:pStyle w:val="10"/>
                    </w:pPr>
                    <w:r>
                      <w:fldChar w:fldCharType="begin"/>
                    </w:r>
                    <w:r>
                      <w:instrText xml:space="preserve"> PAGE  \* MERGEFORMAT </w:instrText>
                    </w:r>
                    <w:r>
                      <w:fldChar w:fldCharType="separate"/>
                    </w:r>
                    <w:r>
                      <w:t>8</w:t>
                    </w:r>
                    <w:r>
                      <w:fldChar w:fldCharType="end"/>
                    </w:r>
                  </w:p>
                </w:txbxContent>
              </v:textbox>
            </v:shape>
          </w:pict>
        </mc:Fallback>
      </mc:AlternateConten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1F309">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C3841">
                          <w:pPr>
                            <w:pStyle w:val="10"/>
                            <w:jc w:val="center"/>
                          </w:pPr>
                          <w:r>
                            <w:fldChar w:fldCharType="begin"/>
                          </w:r>
                          <w:r>
                            <w:instrText xml:space="preserve">PAGE   \* MERGEFORMAT</w:instrText>
                          </w:r>
                          <w:r>
                            <w:fldChar w:fldCharType="separate"/>
                          </w:r>
                          <w:r>
                            <w:rPr>
                              <w:lang w:val="zh-CN"/>
                            </w:rP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71C3841">
                    <w:pPr>
                      <w:pStyle w:val="10"/>
                      <w:jc w:val="center"/>
                    </w:pPr>
                    <w:r>
                      <w:fldChar w:fldCharType="begin"/>
                    </w:r>
                    <w:r>
                      <w:instrText xml:space="preserve">PAGE   \* MERGEFORMAT</w:instrText>
                    </w:r>
                    <w:r>
                      <w:fldChar w:fldCharType="separate"/>
                    </w:r>
                    <w:r>
                      <w:rPr>
                        <w:lang w:val="zh-CN"/>
                      </w:rPr>
                      <w:t>3</w:t>
                    </w:r>
                    <w:r>
                      <w:fldChar w:fldCharType="end"/>
                    </w:r>
                  </w:p>
                </w:txbxContent>
              </v:textbox>
            </v:shape>
          </w:pict>
        </mc:Fallback>
      </mc:AlternateContent>
    </w:r>
  </w:p>
  <w:p w14:paraId="520FD6E9">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3A910">
    <w:pPr>
      <w:pStyle w:val="1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ADF0F5">
                          <w:pPr>
                            <w:pStyle w:val="10"/>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5ADF0F5">
                    <w:pPr>
                      <w:pStyle w:val="10"/>
                    </w:pPr>
                    <w:r>
                      <w:fldChar w:fldCharType="begin"/>
                    </w:r>
                    <w:r>
                      <w:instrText xml:space="preserve"> PAGE  \* MERGEFORMAT </w:instrText>
                    </w:r>
                    <w:r>
                      <w:fldChar w:fldCharType="separate"/>
                    </w:r>
                    <w:r>
                      <w:t>16</w:t>
                    </w:r>
                    <w:r>
                      <w:fldChar w:fldCharType="end"/>
                    </w:r>
                  </w:p>
                </w:txbxContent>
              </v:textbox>
            </v:shape>
          </w:pict>
        </mc:Fallback>
      </mc:AlternateContent>
    </w:r>
  </w:p>
  <w:p w14:paraId="217B3CF5">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318">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5840"/>
                          </w:sdtPr>
                          <w:sdtContent>
                            <w:p w14:paraId="1763E9EC">
                              <w:pPr>
                                <w:pStyle w:val="10"/>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sdt>
                    <w:sdtPr>
                      <w:id w:val="147455840"/>
                    </w:sdtPr>
                    <w:sdtContent>
                      <w:p w14:paraId="1763E9EC">
                        <w:pPr>
                          <w:pStyle w:val="10"/>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v:textbox>
            </v:shape>
          </w:pict>
        </mc:Fallback>
      </mc:AlternateContent>
    </w:r>
  </w:p>
  <w:p w14:paraId="7A6960D1">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abstractNum w:abstractNumId="2">
    <w:nsid w:val="5D6062ED"/>
    <w:multiLevelType w:val="multilevel"/>
    <w:tmpl w:val="5D6062ED"/>
    <w:lvl w:ilvl="0" w:tentative="0">
      <w:start w:val="1"/>
      <w:numFmt w:val="decimal"/>
      <w:pStyle w:val="39"/>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3">
    <w:nsid w:val="70535EDD"/>
    <w:multiLevelType w:val="multilevel"/>
    <w:tmpl w:val="70535EDD"/>
    <w:lvl w:ilvl="0" w:tentative="0">
      <w:start w:val="1"/>
      <w:numFmt w:val="decimal"/>
      <w:pStyle w:val="44"/>
      <w:lvlText w:val="%1."/>
      <w:lvlJc w:val="left"/>
      <w:pPr>
        <w:ind w:left="360" w:hanging="360"/>
      </w:pPr>
      <w:rPr>
        <w:rFonts w:cs="Times New Roman"/>
      </w:rPr>
    </w:lvl>
    <w:lvl w:ilvl="1" w:tentative="0">
      <w:start w:val="1"/>
      <w:numFmt w:val="decimal"/>
      <w:pStyle w:val="40"/>
      <w:lvlText w:val="%2."/>
      <w:lvlJc w:val="left"/>
      <w:pPr>
        <w:tabs>
          <w:tab w:val="left" w:pos="1440"/>
        </w:tabs>
        <w:ind w:left="1440" w:hanging="360"/>
      </w:pPr>
    </w:lvl>
    <w:lvl w:ilvl="2" w:tentative="0">
      <w:start w:val="1"/>
      <w:numFmt w:val="lowerRoman"/>
      <w:pStyle w:val="45"/>
      <w:lvlText w:val="%3."/>
      <w:lvlJc w:val="right"/>
      <w:pPr>
        <w:ind w:left="1260" w:hanging="420"/>
      </w:pPr>
      <w:rPr>
        <w:rFonts w:cs="Times New Roman"/>
      </w:rPr>
    </w:lvl>
    <w:lvl w:ilvl="3" w:tentative="0">
      <w:start w:val="1"/>
      <w:numFmt w:val="decimal"/>
      <w:pStyle w:val="42"/>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8D73A9"/>
    <w:rsid w:val="08E150F4"/>
    <w:rsid w:val="091F0FEF"/>
    <w:rsid w:val="0BBF20B1"/>
    <w:rsid w:val="0C331EC8"/>
    <w:rsid w:val="0D7B4129"/>
    <w:rsid w:val="0E5350E3"/>
    <w:rsid w:val="11A9055E"/>
    <w:rsid w:val="121F524D"/>
    <w:rsid w:val="1478433A"/>
    <w:rsid w:val="14BB2301"/>
    <w:rsid w:val="16041350"/>
    <w:rsid w:val="1A24794A"/>
    <w:rsid w:val="1B28788F"/>
    <w:rsid w:val="1D8138E1"/>
    <w:rsid w:val="1F9472D4"/>
    <w:rsid w:val="20DD321B"/>
    <w:rsid w:val="22243E0C"/>
    <w:rsid w:val="24AD59F2"/>
    <w:rsid w:val="260C00C4"/>
    <w:rsid w:val="2B9F0C5F"/>
    <w:rsid w:val="2D0B1B45"/>
    <w:rsid w:val="2E3210E4"/>
    <w:rsid w:val="3104623F"/>
    <w:rsid w:val="322A2FB9"/>
    <w:rsid w:val="325356E2"/>
    <w:rsid w:val="32DC0FAC"/>
    <w:rsid w:val="34A92764"/>
    <w:rsid w:val="35851A01"/>
    <w:rsid w:val="35E20C8C"/>
    <w:rsid w:val="38133FA2"/>
    <w:rsid w:val="39276F80"/>
    <w:rsid w:val="3AFA3FAF"/>
    <w:rsid w:val="3B060054"/>
    <w:rsid w:val="3B5C5FA5"/>
    <w:rsid w:val="41B11ADD"/>
    <w:rsid w:val="42880842"/>
    <w:rsid w:val="43B9431B"/>
    <w:rsid w:val="43CC51CD"/>
    <w:rsid w:val="46382D6C"/>
    <w:rsid w:val="49487872"/>
    <w:rsid w:val="499B6B7C"/>
    <w:rsid w:val="4A3D6149"/>
    <w:rsid w:val="4AD351BA"/>
    <w:rsid w:val="4AF41787"/>
    <w:rsid w:val="4BC81014"/>
    <w:rsid w:val="4BF83138"/>
    <w:rsid w:val="4C3346A1"/>
    <w:rsid w:val="4DA90454"/>
    <w:rsid w:val="51AF590D"/>
    <w:rsid w:val="532E1C99"/>
    <w:rsid w:val="541E59ED"/>
    <w:rsid w:val="55D25BB9"/>
    <w:rsid w:val="58964825"/>
    <w:rsid w:val="5B512FA9"/>
    <w:rsid w:val="5BA97AFB"/>
    <w:rsid w:val="5C626C78"/>
    <w:rsid w:val="5D27671A"/>
    <w:rsid w:val="5F304902"/>
    <w:rsid w:val="5F421E8D"/>
    <w:rsid w:val="602837E7"/>
    <w:rsid w:val="607664FC"/>
    <w:rsid w:val="60BB5D97"/>
    <w:rsid w:val="60DE73E4"/>
    <w:rsid w:val="61DC10EB"/>
    <w:rsid w:val="620F53D7"/>
    <w:rsid w:val="64AB30F0"/>
    <w:rsid w:val="656478DF"/>
    <w:rsid w:val="662D5327"/>
    <w:rsid w:val="67A23F54"/>
    <w:rsid w:val="69E9259C"/>
    <w:rsid w:val="6B177178"/>
    <w:rsid w:val="6C6967BA"/>
    <w:rsid w:val="6C9A3FDC"/>
    <w:rsid w:val="6D134B60"/>
    <w:rsid w:val="6D5E1A98"/>
    <w:rsid w:val="6E1D0C30"/>
    <w:rsid w:val="6FCC466C"/>
    <w:rsid w:val="721B7E4A"/>
    <w:rsid w:val="72C75245"/>
    <w:rsid w:val="72F76BD8"/>
    <w:rsid w:val="72FA6E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opLinePunct/>
      <w:ind w:firstLine="420"/>
      <w:outlineLvl w:val="1"/>
    </w:pPr>
    <w:rPr>
      <w:rFonts w:eastAsia="黑体"/>
      <w:bCs/>
      <w:szCs w:val="21"/>
    </w:rPr>
  </w:style>
  <w:style w:type="paragraph" w:styleId="4">
    <w:name w:val="heading 3"/>
    <w:basedOn w:val="1"/>
    <w:next w:val="1"/>
    <w:qFormat/>
    <w:uiPriority w:val="0"/>
    <w:pPr>
      <w:keepNext/>
      <w:keepLines/>
      <w:spacing w:line="960" w:lineRule="auto"/>
      <w:jc w:val="center"/>
      <w:outlineLvl w:val="2"/>
    </w:pPr>
    <w:rPr>
      <w:rFonts w:eastAsia="黑体"/>
      <w:bCs/>
      <w:sz w:val="28"/>
      <w:szCs w:val="28"/>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semiHidden/>
    <w:qFormat/>
    <w:uiPriority w:val="0"/>
    <w:pPr>
      <w:ind w:firstLine="420"/>
    </w:pPr>
  </w:style>
  <w:style w:type="paragraph" w:styleId="7">
    <w:name w:val="Date"/>
    <w:basedOn w:val="1"/>
    <w:next w:val="1"/>
    <w:semiHidden/>
    <w:qFormat/>
    <w:uiPriority w:val="0"/>
  </w:style>
  <w:style w:type="paragraph" w:styleId="8">
    <w:name w:val="Body Text Indent 2"/>
    <w:basedOn w:val="1"/>
    <w:qFormat/>
    <w:uiPriority w:val="0"/>
    <w:pPr>
      <w:spacing w:after="120" w:line="480" w:lineRule="auto"/>
      <w:ind w:left="420"/>
    </w:pPr>
  </w:style>
  <w:style w:type="paragraph" w:styleId="9">
    <w:name w:val="Balloon Text"/>
    <w:basedOn w:val="1"/>
    <w:semiHidden/>
    <w:qFormat/>
    <w:uiPriority w:val="0"/>
    <w:rPr>
      <w:sz w:val="18"/>
      <w:szCs w:val="18"/>
    </w:rPr>
  </w:style>
  <w:style w:type="paragraph" w:styleId="10">
    <w:name w:val="footer"/>
    <w:basedOn w:val="1"/>
    <w:link w:val="20"/>
    <w:unhideWhenUsed/>
    <w:qFormat/>
    <w:uiPriority w:val="99"/>
    <w:pPr>
      <w:tabs>
        <w:tab w:val="center" w:pos="4153"/>
        <w:tab w:val="right" w:pos="8306"/>
      </w:tabs>
      <w:snapToGrid w:val="0"/>
      <w:jc w:val="left"/>
    </w:pPr>
    <w:rPr>
      <w:sz w:val="18"/>
      <w:szCs w:val="18"/>
    </w:rPr>
  </w:style>
  <w:style w:type="paragraph" w:styleId="11">
    <w:name w:val="header"/>
    <w:basedOn w:val="1"/>
    <w:link w:val="19"/>
    <w:unhideWhenUsed/>
    <w:qFormat/>
    <w:uiPriority w:val="99"/>
    <w:pP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paragraph" w:styleId="15">
    <w:name w:val="Body Text First Indent"/>
    <w:basedOn w:val="1"/>
    <w:unhideWhenUsed/>
    <w:qFormat/>
    <w:uiPriority w:val="0"/>
    <w:pPr>
      <w:ind w:firstLine="420" w:firstLineChars="100"/>
    </w:pPr>
  </w:style>
  <w:style w:type="character" w:styleId="18">
    <w:name w:val="Hyperlink"/>
    <w:qFormat/>
    <w:uiPriority w:val="99"/>
    <w:rPr>
      <w:rFonts w:hint="default" w:ascii="Times New Roman" w:hAnsi="Times New Roman" w:cs="Times New Roman"/>
      <w:color w:val="0000FF"/>
      <w:u w:val="single"/>
    </w:rPr>
  </w:style>
  <w:style w:type="character" w:customStyle="1" w:styleId="19">
    <w:name w:val="页眉 字符"/>
    <w:basedOn w:val="17"/>
    <w:link w:val="11"/>
    <w:qFormat/>
    <w:uiPriority w:val="99"/>
    <w:rPr>
      <w:sz w:val="18"/>
      <w:szCs w:val="18"/>
    </w:rPr>
  </w:style>
  <w:style w:type="character" w:customStyle="1" w:styleId="20">
    <w:name w:val="页脚 字符"/>
    <w:basedOn w:val="17"/>
    <w:link w:val="10"/>
    <w:qFormat/>
    <w:uiPriority w:val="99"/>
    <w:rPr>
      <w:sz w:val="18"/>
      <w:szCs w:val="18"/>
    </w:rPr>
  </w:style>
  <w:style w:type="paragraph" w:customStyle="1" w:styleId="21">
    <w:name w:val="Table Paragraph"/>
    <w:basedOn w:val="1"/>
    <w:qFormat/>
    <w:uiPriority w:val="1"/>
    <w:rPr>
      <w:rFonts w:ascii="宋体" w:hAnsi="宋体" w:eastAsia="宋体" w:cs="宋体"/>
    </w:rPr>
  </w:style>
  <w:style w:type="character" w:customStyle="1" w:styleId="22">
    <w:name w:val="标题 1 字符"/>
    <w:basedOn w:val="17"/>
    <w:link w:val="2"/>
    <w:qFormat/>
    <w:uiPriority w:val="9"/>
    <w:rPr>
      <w:b/>
      <w:bCs/>
      <w:kern w:val="44"/>
      <w:sz w:val="44"/>
      <w:szCs w:val="44"/>
    </w:rPr>
  </w:style>
  <w:style w:type="character" w:customStyle="1" w:styleId="23">
    <w:name w:val="font41"/>
    <w:basedOn w:val="17"/>
    <w:autoRedefine/>
    <w:qFormat/>
    <w:uiPriority w:val="0"/>
    <w:rPr>
      <w:rFonts w:hint="eastAsia" w:ascii="宋体" w:hAnsi="宋体" w:eastAsia="宋体" w:cs="宋体"/>
      <w:color w:val="000000"/>
      <w:sz w:val="20"/>
      <w:szCs w:val="20"/>
      <w:u w:val="none"/>
    </w:rPr>
  </w:style>
  <w:style w:type="paragraph" w:customStyle="1" w:styleId="24">
    <w:name w:val="样式 1"/>
    <w:basedOn w:val="2"/>
    <w:autoRedefine/>
    <w:qFormat/>
    <w:uiPriority w:val="0"/>
    <w:pPr>
      <w:keepNext w:val="0"/>
      <w:keepLines w:val="0"/>
      <w:spacing w:line="240" w:lineRule="auto"/>
      <w:ind w:firstLine="0"/>
    </w:pPr>
    <w:rPr>
      <w:rFonts w:ascii="EU-F1" w:eastAsia="黑体"/>
      <w:kern w:val="21"/>
      <w:sz w:val="21"/>
      <w:szCs w:val="21"/>
    </w:rPr>
  </w:style>
  <w:style w:type="paragraph" w:customStyle="1" w:styleId="25">
    <w:name w:val="样式 2"/>
    <w:basedOn w:val="3"/>
    <w:qFormat/>
    <w:uiPriority w:val="0"/>
    <w:pPr>
      <w:keepNext w:val="0"/>
      <w:keepLines w:val="0"/>
      <w:spacing w:line="312" w:lineRule="exact"/>
      <w:ind w:firstLine="0"/>
    </w:pPr>
    <w:rPr>
      <w:rFonts w:ascii="EU-F1"/>
    </w:rPr>
  </w:style>
  <w:style w:type="paragraph" w:customStyle="1" w:styleId="26">
    <w:name w:val="表头"/>
    <w:basedOn w:val="1"/>
    <w:qFormat/>
    <w:uiPriority w:val="0"/>
    <w:pPr>
      <w:topLinePunct/>
      <w:spacing w:before="160" w:after="60" w:line="312" w:lineRule="exact"/>
      <w:jc w:val="center"/>
    </w:pPr>
    <w:rPr>
      <w:rFonts w:ascii="EU-F1" w:eastAsia="黑体"/>
      <w:szCs w:val="21"/>
    </w:rPr>
  </w:style>
  <w:style w:type="paragraph" w:customStyle="1" w:styleId="27">
    <w:name w:val="jl 正文 Char Char"/>
    <w:basedOn w:val="1"/>
    <w:semiHidden/>
    <w:qFormat/>
    <w:uiPriority w:val="0"/>
    <w:pPr>
      <w:autoSpaceDE w:val="0"/>
      <w:autoSpaceDN w:val="0"/>
      <w:adjustRightInd w:val="0"/>
      <w:ind w:firstLine="200" w:firstLineChars="200"/>
      <w:jc w:val="left"/>
      <w:textAlignment w:val="baseline"/>
    </w:pPr>
    <w:rPr>
      <w:rFonts w:ascii="宋体"/>
      <w:sz w:val="24"/>
    </w:rPr>
  </w:style>
  <w:style w:type="paragraph" w:customStyle="1" w:styleId="28">
    <w:name w:val="朱1"/>
    <w:basedOn w:val="29"/>
    <w:qFormat/>
    <w:uiPriority w:val="0"/>
    <w:pPr>
      <w:keepLines w:val="0"/>
      <w:tabs>
        <w:tab w:val="left" w:pos="567"/>
        <w:tab w:val="left" w:pos="850"/>
      </w:tabs>
      <w:spacing w:line="240" w:lineRule="auto"/>
      <w:ind w:firstLine="0"/>
      <w:jc w:val="both"/>
      <w:textAlignment w:val="baseline"/>
      <w:outlineLvl w:val="0"/>
    </w:pPr>
    <w:rPr>
      <w:rFonts w:ascii="EU-F1" w:cs="Times New Roman"/>
      <w:b w:val="0"/>
      <w:bCs/>
      <w:kern w:val="21"/>
      <w:sz w:val="21"/>
      <w:szCs w:val="21"/>
    </w:rPr>
  </w:style>
  <w:style w:type="paragraph" w:customStyle="1" w:styleId="29">
    <w:name w:val="样式2"/>
    <w:basedOn w:val="3"/>
    <w:semiHidden/>
    <w:qFormat/>
    <w:uiPriority w:val="0"/>
    <w:pPr>
      <w:tabs>
        <w:tab w:val="left" w:pos="567"/>
        <w:tab w:val="left" w:pos="850"/>
      </w:tabs>
      <w:spacing w:line="960" w:lineRule="auto"/>
      <w:jc w:val="left"/>
    </w:pPr>
    <w:rPr>
      <w:rFonts w:cs="宋体"/>
      <w:b/>
      <w:bCs w:val="0"/>
      <w:kern w:val="44"/>
      <w:sz w:val="36"/>
      <w:szCs w:val="36"/>
    </w:rPr>
  </w:style>
  <w:style w:type="paragraph" w:customStyle="1" w:styleId="30">
    <w:name w:val="表头A"/>
    <w:basedOn w:val="26"/>
    <w:autoRedefine/>
    <w:qFormat/>
    <w:uiPriority w:val="0"/>
    <w:pPr>
      <w:topLinePunct w:val="0"/>
    </w:pPr>
    <w:rPr>
      <w:kern w:val="21"/>
    </w:rPr>
  </w:style>
  <w:style w:type="paragraph" w:customStyle="1" w:styleId="31">
    <w:name w:val="朱2"/>
    <w:basedOn w:val="29"/>
    <w:autoRedefine/>
    <w:qFormat/>
    <w:uiPriority w:val="0"/>
    <w:pPr>
      <w:keepLines w:val="0"/>
      <w:tabs>
        <w:tab w:val="clear" w:pos="567"/>
        <w:tab w:val="clear" w:pos="850"/>
      </w:tabs>
      <w:spacing w:line="312" w:lineRule="exact"/>
      <w:ind w:firstLine="0"/>
      <w:jc w:val="both"/>
      <w:textAlignment w:val="baseline"/>
      <w:outlineLvl w:val="0"/>
    </w:pPr>
    <w:rPr>
      <w:rFonts w:ascii="EU-F1" w:cs="Times New Roman"/>
      <w:b w:val="0"/>
      <w:bCs/>
      <w:kern w:val="21"/>
      <w:sz w:val="21"/>
      <w:szCs w:val="21"/>
    </w:rPr>
  </w:style>
  <w:style w:type="paragraph" w:customStyle="1" w:styleId="32">
    <w:name w:val="自控1"/>
    <w:basedOn w:val="33"/>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3">
    <w:name w:val="段"/>
    <w:autoRedefine/>
    <w:semiHidden/>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4">
    <w:name w:val="font51"/>
    <w:basedOn w:val="17"/>
    <w:qFormat/>
    <w:uiPriority w:val="0"/>
    <w:rPr>
      <w:rFonts w:hint="eastAsia" w:ascii="仿宋" w:hAnsi="仿宋" w:eastAsia="仿宋" w:cs="仿宋"/>
      <w:color w:val="000000"/>
      <w:sz w:val="20"/>
      <w:szCs w:val="20"/>
      <w:u w:val="none"/>
    </w:rPr>
  </w:style>
  <w:style w:type="paragraph" w:customStyle="1" w:styleId="35">
    <w:name w:val="_Style 4"/>
    <w:basedOn w:val="2"/>
    <w:next w:val="1"/>
    <w:qFormat/>
    <w:uiPriority w:val="0"/>
    <w:pPr>
      <w:outlineLvl w:val="9"/>
    </w:pPr>
  </w:style>
  <w:style w:type="paragraph" w:customStyle="1" w:styleId="36">
    <w:name w:val="样式6"/>
    <w:basedOn w:val="1"/>
    <w:qFormat/>
    <w:uiPriority w:val="0"/>
    <w:pPr>
      <w:topLinePunct/>
      <w:spacing w:before="460" w:after="460" w:line="480" w:lineRule="exact"/>
      <w:jc w:val="center"/>
    </w:pPr>
    <w:rPr>
      <w:rFonts w:eastAsia="黑体"/>
      <w:sz w:val="32"/>
      <w:szCs w:val="20"/>
    </w:rPr>
  </w:style>
  <w:style w:type="paragraph" w:customStyle="1" w:styleId="37">
    <w:name w:val="样式1"/>
    <w:qFormat/>
    <w:uiPriority w:val="0"/>
    <w:pPr>
      <w:spacing w:line="480" w:lineRule="auto"/>
    </w:pPr>
    <w:rPr>
      <w:rFonts w:ascii="EU-F1" w:hAnsi="Times New Roman" w:eastAsia="黑体" w:cs="Times New Roman"/>
      <w:color w:val="000000"/>
      <w:kern w:val="44"/>
      <w:sz w:val="21"/>
      <w:szCs w:val="21"/>
      <w:lang w:val="en-US" w:eastAsia="zh-CN" w:bidi="ar-SA"/>
    </w:rPr>
  </w:style>
  <w:style w:type="paragraph" w:customStyle="1" w:styleId="38">
    <w:name w:val="目次、标准名称标题"/>
    <w:basedOn w:val="1"/>
    <w:next w:val="1"/>
    <w:qFormat/>
    <w:uiPriority w:val="0"/>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9">
    <w:name w:val="正文表标题"/>
    <w:next w:val="33"/>
    <w:qFormat/>
    <w:uiPriority w:val="0"/>
    <w:pPr>
      <w:numPr>
        <w:ilvl w:val="0"/>
        <w:numId w:val="1"/>
      </w:numPr>
      <w:spacing w:beforeLines="50"/>
      <w:jc w:val="center"/>
    </w:pPr>
    <w:rPr>
      <w:rFonts w:ascii="黑体" w:hAnsi="Times New Roman" w:eastAsia="黑体" w:cs="Times New Roman"/>
      <w:sz w:val="21"/>
      <w:lang w:val="en-US" w:eastAsia="zh-CN" w:bidi="ar-SA"/>
    </w:rPr>
  </w:style>
  <w:style w:type="paragraph" w:customStyle="1" w:styleId="40">
    <w:name w:val="一级条标题"/>
    <w:next w:val="33"/>
    <w:qFormat/>
    <w:uiPriority w:val="0"/>
    <w:pPr>
      <w:numPr>
        <w:ilvl w:val="1"/>
        <w:numId w:val="2"/>
      </w:numPr>
      <w:spacing w:beforeLines="50"/>
      <w:outlineLvl w:val="2"/>
    </w:pPr>
    <w:rPr>
      <w:rFonts w:ascii="黑体" w:hAnsi="Calibri" w:eastAsia="黑体" w:cs="Times New Roman"/>
      <w:kern w:val="2"/>
      <w:sz w:val="21"/>
      <w:szCs w:val="21"/>
      <w:lang w:val="en-US" w:eastAsia="zh-CN" w:bidi="ar-SA"/>
    </w:rPr>
  </w:style>
  <w:style w:type="paragraph" w:customStyle="1" w:styleId="41">
    <w:name w:val="三级无"/>
    <w:basedOn w:val="42"/>
    <w:qFormat/>
    <w:uiPriority w:val="0"/>
    <w:pPr>
      <w:tabs>
        <w:tab w:val="left" w:pos="2880"/>
      </w:tabs>
      <w:ind w:left="2880" w:hanging="360"/>
    </w:pPr>
    <w:rPr>
      <w:rFonts w:ascii="宋体" w:eastAsia="宋体"/>
    </w:rPr>
  </w:style>
  <w:style w:type="paragraph" w:customStyle="1" w:styleId="42">
    <w:name w:val="三级条标题"/>
    <w:basedOn w:val="43"/>
    <w:next w:val="33"/>
    <w:qFormat/>
    <w:uiPriority w:val="0"/>
    <w:pPr>
      <w:numPr>
        <w:ilvl w:val="3"/>
        <w:numId w:val="2"/>
      </w:numPr>
      <w:outlineLvl w:val="4"/>
    </w:pPr>
  </w:style>
  <w:style w:type="paragraph" w:customStyle="1" w:styleId="43">
    <w:name w:val="二级条标题"/>
    <w:basedOn w:val="40"/>
    <w:next w:val="33"/>
    <w:qFormat/>
    <w:uiPriority w:val="0"/>
    <w:pPr>
      <w:numPr>
        <w:ilvl w:val="0"/>
        <w:numId w:val="0"/>
      </w:numPr>
      <w:tabs>
        <w:tab w:val="clear" w:pos="1440"/>
      </w:tabs>
      <w:spacing w:beforeLines="0"/>
      <w:ind w:left="1260" w:hanging="420"/>
      <w:outlineLvl w:val="3"/>
    </w:pPr>
  </w:style>
  <w:style w:type="paragraph" w:customStyle="1" w:styleId="44">
    <w:name w:val="章标题"/>
    <w:next w:val="33"/>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45">
    <w:name w:val="二级无"/>
    <w:basedOn w:val="43"/>
    <w:qFormat/>
    <w:uiPriority w:val="0"/>
    <w:pPr>
      <w:numPr>
        <w:ilvl w:val="2"/>
        <w:numId w:val="3"/>
      </w:numPr>
      <w:tabs>
        <w:tab w:val="left" w:pos="1440"/>
      </w:tabs>
    </w:pPr>
    <w:rPr>
      <w:rFonts w:ascii="宋体" w:eastAsia="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13039</Words>
  <Characters>14003</Characters>
  <Lines>14</Lines>
  <Paragraphs>4</Paragraphs>
  <TotalTime>3</TotalTime>
  <ScaleCrop>false</ScaleCrop>
  <LinksUpToDate>false</LinksUpToDate>
  <CharactersWithSpaces>14853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唐莉</cp:lastModifiedBy>
  <dcterms:modified xsi:type="dcterms:W3CDTF">2025-11-03T02:30:33Z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CAFFDCE21F064172B4BAFEAB2F5C0E5C_13</vt:lpwstr>
  </property>
  <property fmtid="{D5CDD505-2E9C-101B-9397-08002B2CF9AE}" pid="4" name="KSOTemplateDocerSaveRecord">
    <vt:lpwstr>eyJoZGlkIjoiMTNjYmNkNmYyYzQ5Y2I4M2UwMTliM2VjNmFlZjA5N2EiLCJ1c2VySWQiOiI0NDM5NDE1MTMifQ==</vt:lpwstr>
  </property>
</Properties>
</file>