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拟通过自主招标方式采购</w:t>
      </w:r>
      <w:r>
        <w:rPr>
          <w:rFonts w:hint="eastAsia" w:ascii="宋体" w:hAnsi="宋体" w:eastAsia="宋体" w:cs="宋体"/>
          <w:szCs w:val="21"/>
          <w:lang w:val="en-US" w:eastAsia="zh-CN"/>
        </w:rPr>
        <w:t>设备一批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设备规格型号和要求必须完全符合招标人要求，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49.5</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5A15D911">
      <w:pPr>
        <w:widowControl/>
        <w:spacing w:line="360" w:lineRule="auto"/>
        <w:jc w:val="left"/>
        <w:textAlignment w:val="center"/>
        <w:rPr>
          <w:rFonts w:hint="eastAsia" w:ascii="宋体" w:hAnsi="宋体" w:eastAsia="宋体" w:cs="宋体"/>
          <w:color w:val="FF0000"/>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eastAsia="zh-CN"/>
        </w:rPr>
        <w:t>、</w:t>
      </w:r>
      <w:r>
        <w:rPr>
          <w:rFonts w:hint="eastAsia" w:ascii="宋体" w:hAnsi="宋体" w:eastAsia="宋体" w:cs="宋体"/>
          <w:szCs w:val="21"/>
          <w:highlight w:val="none"/>
        </w:rPr>
        <w:t>投标人须是中华人民共和国境内正式注册并具有效独立法人资格的法人</w:t>
      </w:r>
      <w:r>
        <w:rPr>
          <w:rFonts w:hint="eastAsia" w:ascii="宋体" w:hAnsi="宋体" w:eastAsia="宋体" w:cs="宋体"/>
          <w:szCs w:val="21"/>
          <w:highlight w:val="none"/>
          <w:lang w:eastAsia="zh-CN"/>
        </w:rPr>
        <w:t>，</w:t>
      </w:r>
      <w:r>
        <w:rPr>
          <w:rFonts w:hint="eastAsia" w:ascii="宋体" w:hAnsi="宋体" w:eastAsia="宋体" w:cs="宋体"/>
          <w:color w:val="auto"/>
          <w:kern w:val="2"/>
          <w:sz w:val="21"/>
          <w:szCs w:val="21"/>
          <w:highlight w:val="none"/>
        </w:rPr>
        <w:t>投标人注册资金不得少于</w:t>
      </w:r>
      <w:r>
        <w:rPr>
          <w:rFonts w:hint="eastAsia" w:ascii="宋体" w:hAnsi="宋体" w:eastAsia="宋体" w:cs="宋体"/>
          <w:color w:val="auto"/>
          <w:kern w:val="2"/>
          <w:sz w:val="21"/>
          <w:szCs w:val="21"/>
          <w:highlight w:val="none"/>
          <w:lang w:val="en-US" w:eastAsia="zh-CN"/>
        </w:rPr>
        <w:t>200</w:t>
      </w:r>
      <w:r>
        <w:rPr>
          <w:rFonts w:hint="eastAsia" w:ascii="宋体" w:hAnsi="宋体" w:eastAsia="宋体" w:cs="宋体"/>
          <w:color w:val="auto"/>
          <w:kern w:val="2"/>
          <w:sz w:val="21"/>
          <w:szCs w:val="21"/>
          <w:highlight w:val="none"/>
        </w:rPr>
        <w:t>万元</w:t>
      </w:r>
      <w:r>
        <w:rPr>
          <w:rFonts w:hint="eastAsia" w:ascii="宋体" w:hAnsi="宋体" w:eastAsia="宋体" w:cs="宋体"/>
          <w:szCs w:val="21"/>
          <w:highlight w:val="none"/>
        </w:rPr>
        <w:t>。（需提供加</w:t>
      </w:r>
      <w:r>
        <w:rPr>
          <w:rFonts w:hint="eastAsia" w:ascii="宋体" w:hAnsi="宋体" w:eastAsia="宋体" w:cs="宋体"/>
          <w:color w:val="auto"/>
          <w:szCs w:val="21"/>
          <w:highlight w:val="none"/>
        </w:rPr>
        <w:t>盖公章的营业执照复印件）</w:t>
      </w:r>
    </w:p>
    <w:p w14:paraId="2D68B477">
      <w:pPr>
        <w:pStyle w:val="7"/>
        <w:widowControl/>
        <w:shd w:val="clear" w:color="auto" w:fill="FFFFFF"/>
        <w:spacing w:beforeAutospacing="0" w:afterAutospacing="0" w:line="360"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rPr>
        <w:t>2</w:t>
      </w:r>
      <w:r>
        <w:rPr>
          <w:rFonts w:hint="eastAsia" w:ascii="宋体" w:hAnsi="宋体" w:eastAsia="宋体" w:cs="宋体"/>
          <w:kern w:val="2"/>
          <w:sz w:val="21"/>
          <w:szCs w:val="21"/>
          <w:highlight w:val="none"/>
          <w:lang w:eastAsia="zh-CN"/>
        </w:rPr>
        <w:t>、</w:t>
      </w:r>
      <w:r>
        <w:rPr>
          <w:rFonts w:hint="eastAsia" w:ascii="宋体" w:hAnsi="宋体" w:eastAsia="宋体" w:cs="宋体"/>
          <w:kern w:val="2"/>
          <w:sz w:val="21"/>
          <w:szCs w:val="21"/>
          <w:highlight w:val="none"/>
        </w:rPr>
        <w:t>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14:paraId="753FCAFC">
      <w:pPr>
        <w:pStyle w:val="7"/>
        <w:widowControl/>
        <w:shd w:val="clear" w:color="auto" w:fill="FFFFFF"/>
        <w:spacing w:beforeAutospacing="0" w:afterAutospacing="0" w:line="360" w:lineRule="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3、投标人须提供2022年1月1日至本公告发布之日止类似采购合同。（单个金额不低于50万）（提供加盖公章的合同复印件，原件备查）。</w:t>
      </w:r>
    </w:p>
    <w:p w14:paraId="7DDEDD4A">
      <w:pPr>
        <w:pStyle w:val="7"/>
        <w:widowControl/>
        <w:shd w:val="clear" w:color="auto" w:fill="FFFFFF"/>
        <w:spacing w:beforeAutospacing="0" w:afterAutospacing="0" w:line="360" w:lineRule="auto"/>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kern w:val="2"/>
          <w:sz w:val="21"/>
          <w:szCs w:val="21"/>
          <w:highlight w:val="none"/>
          <w:lang w:val="en-US" w:eastAsia="zh-CN"/>
        </w:rPr>
        <w:t>提供近一年来公司财务报表或审计报告、人员社保证明和履约承诺函。</w:t>
      </w:r>
    </w:p>
    <w:p w14:paraId="701B71B2">
      <w:pPr>
        <w:pStyle w:val="7"/>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w:t>
      </w:r>
      <w:r>
        <w:rPr>
          <w:rFonts w:hint="eastAsia" w:ascii="宋体" w:hAnsi="宋体" w:eastAsia="宋体" w:cs="宋体"/>
          <w:szCs w:val="21"/>
          <w:lang w:val="en-US" w:eastAsia="zh-CN"/>
        </w:rPr>
        <w:t>硬件设备</w:t>
      </w:r>
      <w:r>
        <w:rPr>
          <w:rFonts w:hint="eastAsia" w:ascii="宋体" w:hAnsi="宋体" w:eastAsia="宋体" w:cs="宋体"/>
          <w:szCs w:val="21"/>
        </w:rPr>
        <w:t>数量如有所变化，在合同单价不变的基础上，招标人可对所增加或减少的产品作相应的费用调整。</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1、售后服务要求：卖方保证向我公司提供完善的售后服务，包括提供相应的技术资料及技术支持；响应及到场时间为</w:t>
      </w:r>
      <w:r>
        <w:rPr>
          <w:rFonts w:hint="eastAsia" w:ascii="宋体" w:hAnsi="宋体" w:eastAsia="宋体" w:cs="宋体"/>
          <w:color w:val="444444"/>
          <w:sz w:val="24"/>
          <w:shd w:val="clear" w:color="auto" w:fill="FFFFFF"/>
        </w:rPr>
        <w:t>2</w:t>
      </w:r>
      <w:r>
        <w:rPr>
          <w:rFonts w:hint="eastAsia" w:ascii="宋体" w:hAnsi="宋体" w:eastAsia="宋体" w:cs="宋体"/>
          <w:szCs w:val="21"/>
        </w:rPr>
        <w:t>小时内。</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w:t>
      </w:r>
      <w:r>
        <w:rPr>
          <w:rFonts w:hint="eastAsia" w:ascii="宋体" w:hAnsi="宋体" w:eastAsia="宋体" w:cs="宋体"/>
          <w:szCs w:val="21"/>
          <w:lang w:val="en-US" w:eastAsia="zh-CN"/>
        </w:rPr>
        <w:t>，</w:t>
      </w:r>
      <w:r>
        <w:rPr>
          <w:rFonts w:hint="eastAsia" w:ascii="宋体" w:hAnsi="宋体" w:eastAsia="宋体" w:cs="宋体"/>
          <w:szCs w:val="21"/>
        </w:rPr>
        <w:t>质保期自</w:t>
      </w:r>
      <w:r>
        <w:rPr>
          <w:rFonts w:hint="eastAsia" w:ascii="宋体" w:hAnsi="宋体" w:eastAsia="宋体" w:cs="宋体"/>
          <w:szCs w:val="21"/>
          <w:lang w:val="en-US" w:eastAsia="zh-CN"/>
        </w:rPr>
        <w:t>行业</w:t>
      </w:r>
      <w:r>
        <w:rPr>
          <w:rFonts w:hint="eastAsia" w:ascii="宋体" w:hAnsi="宋体" w:eastAsia="宋体" w:cs="宋体"/>
          <w:szCs w:val="21"/>
        </w:rPr>
        <w:t>验收</w:t>
      </w:r>
      <w:r>
        <w:rPr>
          <w:rFonts w:hint="eastAsia" w:ascii="宋体" w:hAnsi="宋体" w:eastAsia="宋体" w:cs="宋体"/>
          <w:szCs w:val="21"/>
          <w:lang w:val="en-US" w:eastAsia="zh-CN"/>
        </w:rPr>
        <w:t>合格</w:t>
      </w:r>
      <w:r>
        <w:rPr>
          <w:rFonts w:hint="eastAsia" w:ascii="宋体" w:hAnsi="宋体" w:eastAsia="宋体" w:cs="宋体"/>
          <w:szCs w:val="21"/>
        </w:rPr>
        <w:t>之日起计算。</w:t>
      </w:r>
    </w:p>
    <w:p w14:paraId="1EE01B20">
      <w:pPr>
        <w:kinsoku/>
        <w:wordWrap/>
        <w:overflowPunct/>
        <w:topLinePunct w:val="0"/>
        <w:bidi w:val="0"/>
        <w:spacing w:line="360" w:lineRule="auto"/>
        <w:rPr>
          <w:rFonts w:hint="default" w:ascii="宋体" w:hAnsi="宋体" w:eastAsia="宋体" w:cs="宋体"/>
          <w:szCs w:val="21"/>
          <w:lang w:val="en-US" w:eastAsia="zh-CN"/>
        </w:rPr>
      </w:pPr>
      <w:r>
        <w:rPr>
          <w:rFonts w:hint="eastAsia" w:ascii="宋体" w:hAnsi="宋体" w:eastAsia="宋体" w:cs="宋体"/>
          <w:szCs w:val="21"/>
          <w:lang w:val="en-US" w:eastAsia="zh-CN"/>
        </w:rPr>
        <w:t>4、投标人需要完全响应技术规格书。</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highlight w:val="none"/>
          <w:lang w:val="en-US" w:eastAsia="zh-CN"/>
        </w:rPr>
        <w:t>甲方指定地点</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14"/>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w:t>
      </w:r>
      <w:r>
        <w:rPr>
          <w:rFonts w:hint="eastAsia" w:cs="宋体"/>
          <w:color w:val="auto"/>
          <w:kern w:val="2"/>
          <w:sz w:val="21"/>
          <w:szCs w:val="21"/>
          <w:highlight w:val="none"/>
          <w:lang w:val="en-US" w:eastAsia="zh-CN" w:bidi="ar-SA"/>
        </w:rPr>
        <w:t>合理</w:t>
      </w:r>
      <w:r>
        <w:rPr>
          <w:rFonts w:hint="eastAsia" w:ascii="宋体" w:hAnsi="宋体" w:eastAsia="宋体" w:cs="宋体"/>
          <w:color w:val="auto"/>
          <w:kern w:val="2"/>
          <w:sz w:val="21"/>
          <w:szCs w:val="21"/>
          <w:highlight w:val="none"/>
          <w:lang w:val="en-US" w:eastAsia="zh-CN" w:bidi="ar-SA"/>
        </w:rPr>
        <w:t>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w:t>
      </w:r>
      <w:r>
        <w:rPr>
          <w:rFonts w:hint="eastAsia" w:ascii="宋体" w:hAnsi="宋体" w:eastAsia="宋体" w:cs="宋体"/>
          <w:szCs w:val="21"/>
          <w:lang w:val="en-US" w:eastAsia="zh-CN"/>
        </w:rPr>
        <w:t>贰</w:t>
      </w:r>
      <w:r>
        <w:rPr>
          <w:rFonts w:hint="eastAsia" w:ascii="宋体" w:hAnsi="宋体" w:eastAsia="宋体" w:cs="宋体"/>
          <w:szCs w:val="21"/>
        </w:rPr>
        <w:t>份（正本壹本、副本壹本），</w:t>
      </w:r>
      <w:r>
        <w:rPr>
          <w:rFonts w:hint="eastAsia" w:ascii="宋体" w:hAnsi="宋体" w:eastAsia="宋体" w:cs="宋体"/>
          <w:szCs w:val="21"/>
          <w:lang w:val="en-US" w:eastAsia="zh-CN"/>
        </w:rPr>
        <w:t>电子版壹份，</w:t>
      </w:r>
      <w:r>
        <w:rPr>
          <w:rFonts w:hint="eastAsia" w:ascii="宋体" w:hAnsi="宋体" w:eastAsia="宋体" w:cs="宋体"/>
          <w:szCs w:val="21"/>
        </w:rPr>
        <w:t>并明确表明“正本”</w:t>
      </w:r>
      <w:r>
        <w:rPr>
          <w:rFonts w:hint="eastAsia" w:ascii="宋体" w:hAnsi="宋体" w:eastAsia="宋体" w:cs="宋体"/>
          <w:szCs w:val="21"/>
          <w:lang w:val="en-US" w:eastAsia="zh-CN"/>
        </w:rPr>
        <w:t>和</w:t>
      </w:r>
      <w:r>
        <w:rPr>
          <w:rFonts w:hint="eastAsia" w:ascii="宋体" w:hAnsi="宋体" w:eastAsia="宋体" w:cs="宋体"/>
          <w:szCs w:val="21"/>
        </w:rPr>
        <w:t>“副本”，正、副本如有不同之处，以正本为准，密封后加盖公章，否则无效。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28</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KG2025-G021-ZB01</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唐莉</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21</w:t>
      </w:r>
      <w:bookmarkStart w:id="0" w:name="_GoBack"/>
      <w:bookmarkEnd w:id="0"/>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rPr>
        <w:t>营业执照</w:t>
      </w:r>
    </w:p>
    <w:p w14:paraId="060EE81A">
      <w:pPr>
        <w:pStyle w:val="3"/>
        <w:numPr>
          <w:ilvl w:val="0"/>
          <w:numId w:val="1"/>
        </w:numPr>
        <w:ind w:left="0" w:leftChars="0" w:firstLine="0" w:firstLineChars="0"/>
        <w:rPr>
          <w:rFonts w:hint="eastAsia" w:ascii="宋体" w:hAnsi="宋体" w:eastAsia="宋体" w:cs="宋体"/>
          <w:snapToGrid w:val="0"/>
          <w:kern w:val="2"/>
          <w:sz w:val="21"/>
          <w:szCs w:val="21"/>
          <w:lang w:val="en-US" w:eastAsia="zh-CN" w:bidi="ar-SA"/>
        </w:rPr>
      </w:pPr>
      <w:r>
        <w:rPr>
          <w:rFonts w:hint="eastAsia" w:ascii="宋体" w:hAnsi="宋体" w:eastAsia="宋体" w:cs="宋体"/>
          <w:snapToGrid w:val="0"/>
          <w:kern w:val="2"/>
          <w:sz w:val="21"/>
          <w:szCs w:val="21"/>
          <w:lang w:val="en-US" w:eastAsia="zh-CN" w:bidi="ar-SA"/>
        </w:rPr>
        <w:t>合同模板（具体条款中标后双方可协商修订）</w:t>
      </w: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val="0"/>
          <w:bCs w:val="0"/>
          <w:highlight w:val="none"/>
          <w:lang w:val="en-US" w:eastAsia="zh-CN"/>
        </w:rPr>
        <w:t xml:space="preserve"> 新建山东枣庄民用机场项目民航专业弱电工程合同</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2651F26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8A46979">
      <w:pPr>
        <w:rPr>
          <w:rFonts w:hint="eastAsia"/>
          <w:lang w:val="en-US" w:eastAsia="zh-CN"/>
        </w:rPr>
      </w:pPr>
      <w:r>
        <w:rPr>
          <w:rFonts w:hint="eastAsia"/>
          <w:lang w:val="en-US" w:eastAsia="zh-CN"/>
        </w:rPr>
        <w:br w:type="page"/>
      </w:r>
    </w:p>
    <w:p w14:paraId="3A8E87E3">
      <w:pPr>
        <w:rPr>
          <w:rFonts w:hint="eastAsia"/>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03B8C0C3">
      <w:pPr>
        <w:rPr>
          <w:rFonts w:hint="eastAsia" w:eastAsia="宋体"/>
          <w:b/>
          <w:bCs/>
          <w:lang w:val="en-US" w:eastAsia="zh-CN"/>
        </w:rPr>
      </w:pPr>
      <w:r>
        <w:rPr>
          <w:rFonts w:hint="eastAsia" w:eastAsia="宋体"/>
          <w:b/>
          <w:bCs/>
          <w:lang w:val="en-US" w:eastAsia="zh-CN"/>
        </w:rPr>
        <w:t>附件三：报价一览标</w:t>
      </w:r>
    </w:p>
    <w:p w14:paraId="64C0B3E4">
      <w:pPr>
        <w:rPr>
          <w:rFonts w:hint="default" w:eastAsia="宋体"/>
          <w:b/>
          <w:bCs/>
          <w:lang w:val="en-US" w:eastAsia="zh-CN"/>
        </w:rPr>
      </w:pPr>
    </w:p>
    <w:tbl>
      <w:tblPr>
        <w:tblStyle w:val="9"/>
        <w:tblW w:w="1474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771"/>
        <w:gridCol w:w="1607"/>
        <w:gridCol w:w="593"/>
        <w:gridCol w:w="696"/>
        <w:gridCol w:w="1061"/>
        <w:gridCol w:w="817"/>
        <w:gridCol w:w="800"/>
        <w:gridCol w:w="833"/>
        <w:gridCol w:w="1517"/>
        <w:gridCol w:w="1562"/>
        <w:gridCol w:w="3216"/>
        <w:gridCol w:w="578"/>
      </w:tblGrid>
      <w:tr w14:paraId="5DE05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blHeader/>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4B382"/>
            <w:vAlign w:val="center"/>
          </w:tcPr>
          <w:p w14:paraId="608A5297">
            <w:pPr>
              <w:keepNext w:val="0"/>
              <w:keepLines w:val="0"/>
              <w:widowControl/>
              <w:suppressLineNumbers w:val="0"/>
              <w:snapToGrid w:val="0"/>
              <w:ind w:left="0" w:leftChars="0" w:right="0" w:rightChars="0" w:firstLine="0" w:firstLineChars="0"/>
              <w:jc w:val="center"/>
              <w:textAlignment w:val="center"/>
              <w:rPr>
                <w:rFonts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序号</w:t>
            </w:r>
          </w:p>
        </w:tc>
        <w:tc>
          <w:tcPr>
            <w:tcW w:w="771" w:type="dxa"/>
            <w:tcBorders>
              <w:top w:val="single" w:color="000000" w:sz="4" w:space="0"/>
              <w:left w:val="single" w:color="000000" w:sz="4" w:space="0"/>
              <w:bottom w:val="single" w:color="000000" w:sz="4" w:space="0"/>
              <w:right w:val="single" w:color="000000" w:sz="4" w:space="0"/>
            </w:tcBorders>
            <w:shd w:val="clear" w:color="auto" w:fill="F4B382"/>
            <w:vAlign w:val="center"/>
          </w:tcPr>
          <w:p w14:paraId="2FCC6A46">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名称</w:t>
            </w:r>
          </w:p>
        </w:tc>
        <w:tc>
          <w:tcPr>
            <w:tcW w:w="1607" w:type="dxa"/>
            <w:tcBorders>
              <w:top w:val="single" w:color="000000" w:sz="4" w:space="0"/>
              <w:left w:val="single" w:color="000000" w:sz="4" w:space="0"/>
              <w:bottom w:val="single" w:color="000000" w:sz="4" w:space="0"/>
              <w:right w:val="single" w:color="000000" w:sz="4" w:space="0"/>
            </w:tcBorders>
            <w:shd w:val="clear" w:color="auto" w:fill="F4B382"/>
            <w:vAlign w:val="center"/>
          </w:tcPr>
          <w:p w14:paraId="71ADD8E0">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项目特征</w:t>
            </w:r>
          </w:p>
        </w:tc>
        <w:tc>
          <w:tcPr>
            <w:tcW w:w="593" w:type="dxa"/>
            <w:tcBorders>
              <w:top w:val="single" w:color="000000" w:sz="4" w:space="0"/>
              <w:left w:val="single" w:color="000000" w:sz="4" w:space="0"/>
              <w:bottom w:val="single" w:color="000000" w:sz="4" w:space="0"/>
              <w:right w:val="single" w:color="000000" w:sz="4" w:space="0"/>
            </w:tcBorders>
            <w:shd w:val="clear" w:color="auto" w:fill="F4B382"/>
            <w:vAlign w:val="center"/>
          </w:tcPr>
          <w:p w14:paraId="435281FA">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单位</w:t>
            </w:r>
          </w:p>
        </w:tc>
        <w:tc>
          <w:tcPr>
            <w:tcW w:w="696" w:type="dxa"/>
            <w:tcBorders>
              <w:top w:val="single" w:color="000000" w:sz="4" w:space="0"/>
              <w:left w:val="single" w:color="000000" w:sz="4" w:space="0"/>
              <w:bottom w:val="single" w:color="000000" w:sz="4" w:space="0"/>
              <w:right w:val="single" w:color="000000" w:sz="4" w:space="0"/>
            </w:tcBorders>
            <w:shd w:val="clear" w:color="auto" w:fill="F4B382"/>
            <w:vAlign w:val="center"/>
          </w:tcPr>
          <w:p w14:paraId="253C945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数量</w:t>
            </w:r>
          </w:p>
        </w:tc>
        <w:tc>
          <w:tcPr>
            <w:tcW w:w="1061" w:type="dxa"/>
            <w:tcBorders>
              <w:top w:val="single" w:color="000000" w:sz="4" w:space="0"/>
              <w:left w:val="single" w:color="000000" w:sz="4" w:space="0"/>
              <w:bottom w:val="single" w:color="000000" w:sz="4" w:space="0"/>
              <w:right w:val="single" w:color="000000" w:sz="4" w:space="0"/>
            </w:tcBorders>
            <w:shd w:val="clear" w:color="auto" w:fill="F4B382"/>
            <w:vAlign w:val="center"/>
          </w:tcPr>
          <w:p w14:paraId="1E0E2290">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所在系统</w:t>
            </w:r>
          </w:p>
        </w:tc>
        <w:tc>
          <w:tcPr>
            <w:tcW w:w="817" w:type="dxa"/>
            <w:tcBorders>
              <w:top w:val="single" w:color="000000" w:sz="4" w:space="0"/>
              <w:left w:val="single" w:color="000000" w:sz="4" w:space="0"/>
              <w:bottom w:val="single" w:color="000000" w:sz="4" w:space="0"/>
              <w:right w:val="single" w:color="000000" w:sz="4" w:space="0"/>
            </w:tcBorders>
            <w:shd w:val="clear" w:color="auto" w:fill="F4B382"/>
            <w:vAlign w:val="center"/>
          </w:tcPr>
          <w:p w14:paraId="72A29DC3">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子系统</w:t>
            </w:r>
          </w:p>
        </w:tc>
        <w:tc>
          <w:tcPr>
            <w:tcW w:w="800" w:type="dxa"/>
            <w:tcBorders>
              <w:top w:val="single" w:color="000000" w:sz="4" w:space="0"/>
              <w:left w:val="single" w:color="000000" w:sz="4" w:space="0"/>
              <w:bottom w:val="single" w:color="000000" w:sz="4" w:space="0"/>
              <w:right w:val="single" w:color="000000" w:sz="4" w:space="0"/>
            </w:tcBorders>
            <w:shd w:val="clear" w:color="auto" w:fill="F4B382"/>
            <w:vAlign w:val="center"/>
          </w:tcPr>
          <w:p w14:paraId="755DA996">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品牌</w:t>
            </w:r>
          </w:p>
        </w:tc>
        <w:tc>
          <w:tcPr>
            <w:tcW w:w="833" w:type="dxa"/>
            <w:tcBorders>
              <w:top w:val="single" w:color="000000" w:sz="4" w:space="0"/>
              <w:left w:val="single" w:color="000000" w:sz="4" w:space="0"/>
              <w:bottom w:val="single" w:color="000000" w:sz="4" w:space="0"/>
              <w:right w:val="single" w:color="000000" w:sz="4" w:space="0"/>
            </w:tcBorders>
            <w:shd w:val="clear" w:color="auto" w:fill="F4B382"/>
            <w:vAlign w:val="center"/>
          </w:tcPr>
          <w:p w14:paraId="7D29E3AD">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型号</w:t>
            </w:r>
          </w:p>
        </w:tc>
        <w:tc>
          <w:tcPr>
            <w:tcW w:w="1517" w:type="dxa"/>
            <w:tcBorders>
              <w:top w:val="single" w:color="000000" w:sz="4" w:space="0"/>
              <w:left w:val="single" w:color="000000" w:sz="4" w:space="0"/>
              <w:bottom w:val="single" w:color="000000" w:sz="4" w:space="0"/>
              <w:right w:val="single" w:color="000000" w:sz="4" w:space="0"/>
            </w:tcBorders>
            <w:shd w:val="clear" w:color="auto" w:fill="F4B382"/>
            <w:vAlign w:val="center"/>
          </w:tcPr>
          <w:p w14:paraId="306370A5">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单价</w:t>
            </w:r>
          </w:p>
        </w:tc>
        <w:tc>
          <w:tcPr>
            <w:tcW w:w="1562" w:type="dxa"/>
            <w:tcBorders>
              <w:top w:val="single" w:color="000000" w:sz="4" w:space="0"/>
              <w:left w:val="single" w:color="000000" w:sz="4" w:space="0"/>
              <w:bottom w:val="single" w:color="000000" w:sz="4" w:space="0"/>
              <w:right w:val="single" w:color="000000" w:sz="4" w:space="0"/>
            </w:tcBorders>
            <w:shd w:val="clear" w:color="auto" w:fill="F4B382"/>
            <w:vAlign w:val="center"/>
          </w:tcPr>
          <w:p w14:paraId="1C2C6198">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合价</w:t>
            </w:r>
          </w:p>
        </w:tc>
        <w:tc>
          <w:tcPr>
            <w:tcW w:w="3216" w:type="dxa"/>
            <w:tcBorders>
              <w:top w:val="single" w:color="000000" w:sz="4" w:space="0"/>
              <w:left w:val="single" w:color="000000" w:sz="4" w:space="0"/>
              <w:bottom w:val="single" w:color="000000" w:sz="4" w:space="0"/>
              <w:right w:val="single" w:color="000000" w:sz="4" w:space="0"/>
            </w:tcBorders>
            <w:shd w:val="clear" w:color="auto" w:fill="F4B382"/>
            <w:vAlign w:val="center"/>
          </w:tcPr>
          <w:p w14:paraId="4DDD4C12">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技术参数</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A3C66">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备注</w:t>
            </w:r>
          </w:p>
        </w:tc>
      </w:tr>
      <w:tr w14:paraId="776CA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54520B">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94452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管理应用服务器</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810231">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1.名称:管理应用服务器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2.规格、型号:2U机架式服务器，软硬件自主可控非OEM产品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2.接口连接</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3.操作系统安装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0D36AC">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2247F5">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4A1B6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326E82">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385190">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w:t>
            </w:r>
          </w:p>
        </w:tc>
        <w:tc>
          <w:tcPr>
            <w:tcW w:w="83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4818D1">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 UniServer R4900 G5</w:t>
            </w:r>
          </w:p>
        </w:tc>
        <w:tc>
          <w:tcPr>
            <w:tcW w:w="15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BEEBEB8">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8C49A0">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6C2ADE1">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1、2U机架式服务器，软硬件自主可控非OEM产品；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2、CPU：2颗4310(2.1GHz/12核）；</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3、内存：2*32GB DDR4；</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4、硬盘：配置≥12个3.5寸热插拔硬盘槽位，实配2*480GB SSD，6*8TB SATA；</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5、配置1块SAS RAID阵列卡，≥2GB缓存；</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6、配置≥1块 4端口GE网卡，≥6个USB接口，≥2 个VGA 接口，支持后部独立的管理端口；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7、配置800W 交流电源模块*2，满配风扇模块；</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66C93">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68DCD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C0391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6415E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数据库服务器</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8D237D">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1.名称:数据库服务器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2.规格、型号:2U机架式服务器，软硬件自主可控非OEM产品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2.接口连接</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3.操作系统安装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72005C">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1BDAA5">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28F41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ABD7A6">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187DAD2">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w:t>
            </w:r>
          </w:p>
        </w:tc>
        <w:tc>
          <w:tcPr>
            <w:tcW w:w="83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78ECA2">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 UniServer R4900 G5</w:t>
            </w:r>
          </w:p>
        </w:tc>
        <w:tc>
          <w:tcPr>
            <w:tcW w:w="15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CD4C86A">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C29FF5">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9D9A4D">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1、2U机架式服务器，软硬件自主可控非OEM产品；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2、CPU：2颗4310(2.1GHz/12核）；</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3、内存：2*32GB DDR4；</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4、硬盘：配置≥12个3.5寸热插拔硬盘槽位，实配2*480GB SSD，2*2.4TB SAS；</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5、配置1块SAS RAID阵列卡，≥2GB缓存；</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6、配置≥1块 4端口GE网卡，≥6个USB接口，≥2 个VGA 接口，支持后部独立的管理端口；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7、配置800W 交流电源模块*2，满配风扇模块；</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9DC14">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7A51E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311888">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A125FC">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冷备服务器</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ABC46E">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1.名称:冷备服务器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2.规格、型号:2U机架式服务器，软硬件自主可控非OEM产品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2.接口连接</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3.操作系统安装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515DB9">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CDC4C0">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67A9EB">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F39647">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356EEA0">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w:t>
            </w:r>
          </w:p>
        </w:tc>
        <w:tc>
          <w:tcPr>
            <w:tcW w:w="83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6ED725C">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 UniServer R4900 G5</w:t>
            </w:r>
          </w:p>
        </w:tc>
        <w:tc>
          <w:tcPr>
            <w:tcW w:w="15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F0C0491">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CF25E7">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61EA6A4">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1、2U机架式服务器，软硬件自主可控非OEM产品；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2、CPU：2颗4310(2.1GHz/12核）；</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3、内存：2*32GB DDR4；</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4、硬盘：配置≥12个3.5寸热插拔硬盘槽位，实配2*480GB SSD，6*8TB SATA；</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5、配置1块SAS RAID阵列卡，≥2GB缓存；</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6、配置≥1块 4端口GE网卡，≥6个USB接口，≥2 个VGA 接口，支持后部独立的管理端口；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7、配置800W 交流电源模块*2，满配风扇模块；</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09931">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46238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4AC132">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491F4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业务工作站</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99B36D">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1.名称:业务工作站</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2.规格、型号:I5 16G 1TB SSD，23英寸显示器.WIN10系统</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2.显示设备安装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3.接口连接</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4.操作系统安装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ED0306">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0A3EE6">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287D08">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58E662">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7C1B47">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HP</w:t>
            </w:r>
          </w:p>
        </w:tc>
        <w:tc>
          <w:tcPr>
            <w:tcW w:w="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CF1155">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HP 480G9</w:t>
            </w:r>
          </w:p>
        </w:tc>
        <w:tc>
          <w:tcPr>
            <w:tcW w:w="151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363236">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C7A145">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61390F">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I5-13500/16G/1T SSD/集成显卡/23.8寸显示器/原厂预装WIN11PRO 64位操作系统/双串口/</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B21A0">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70F85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55B16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118D6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计量工作站</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EC7E16">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1.名称:计量工作站</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2.规格、型号:I5 16G 1TB SSD，23英寸显示器.WIN10系统</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2.显示设备安装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3.接口连接</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4.操作系统安装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DA37B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1C127E">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C9351C">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C39643">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56C48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HP</w:t>
            </w:r>
          </w:p>
        </w:tc>
        <w:tc>
          <w:tcPr>
            <w:tcW w:w="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8E938C">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HP 480G9</w:t>
            </w:r>
          </w:p>
        </w:tc>
        <w:tc>
          <w:tcPr>
            <w:tcW w:w="151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8FEDDF">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3DD9FC">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C7ABA6">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I5-13500/16G/1T SSD/集成显卡/23.8寸显示器/原厂预装WIN11PRO 64位操作系统/双串口/</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BC42B">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5E0F5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463A96">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573A6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条码打印机</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50FEEC">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1.名称:条码打印机</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4E5656">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D252AD">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495A19">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1C10DB">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3B6670">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得力</w:t>
            </w:r>
          </w:p>
        </w:tc>
        <w:tc>
          <w:tcPr>
            <w:tcW w:w="8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92635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DL-720W</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14AE1B">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06A207">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91437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3寸，打印方式：热敏；分辨率：203dpi;碳带容量：300m；通讯接口：USB+蓝牙；打印宽度：80mm;</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0D69C">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0019F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021079">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A3F64">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针式打印机</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90B72">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1.名称:针式打印机</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77C01">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87FC0">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w:t>
            </w:r>
          </w:p>
        </w:tc>
        <w:tc>
          <w:tcPr>
            <w:tcW w:w="1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0BE2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44535">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AEC5E">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ESPON</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8F47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LQ-730K Ⅱ</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129C0">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5A8E0">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AD1EE">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列宽：82列；帧数：24针；复写能力：1+6；端口：USB,IEEE-1284双向并行接口</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9E5E3">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45285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C97705">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D9E41D">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身份证阅读器</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2F63EF">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1.名称:身份证阅读器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FF1EB3">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964DF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E5310E">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CBF4BA">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A7C7A0">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新中新</w:t>
            </w:r>
          </w:p>
        </w:tc>
        <w:tc>
          <w:tcPr>
            <w:tcW w:w="8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E975BD">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F200</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2668E0">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7D3DA7">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B9E2C7">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读卡距离：0-50mm；读卡时间:＜1s；调制方式：ASK和BPSK；通讯接口：RS232或USB通讯接口；工作频率：13.56Mhz</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94BD0">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53DBC4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8"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C80753">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660AEF">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手持终端</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319FBD">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1.名称:手持终端</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55752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BA9EC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360A17">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C283F0">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54513F">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辰想</w:t>
            </w:r>
          </w:p>
        </w:tc>
        <w:tc>
          <w:tcPr>
            <w:tcW w:w="8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F3A655">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A10ST</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B173B">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3E0BD9">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343A17">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1、高分高亮10英寸</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2、MT6771八核/8G内存/128G存储/4G</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3、网络/WIFI蓝牙/GPS北斗</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4、分辨率1920*1200/700亮度</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5、高压锂电池3.8V 10000mAh</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6、摄像头前800万/后1600万</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7、安卓10系统</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8、NFC</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9、P68防护等级+2D扫描</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52439">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43623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69"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5BEF4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AD65DC">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路由器</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8D7BC0">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1.名称:路由器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D5F201">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703F8F">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A4C84B">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46D047">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5D3C31">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w:t>
            </w:r>
          </w:p>
        </w:tc>
        <w:tc>
          <w:tcPr>
            <w:tcW w:w="8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5F0F3A">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 MSR3610-X1</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6A012D">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DCBEDC">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399626">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1、整机交换容量：≥37Gbps；</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2、固定WAN 接口：≥4*GE电（其中2*GECombo)，≥2*GE光；</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3、串行辅助/控制台端口：≥1* RJ45 Console 串口；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4、支持IEEE 8O2.1P,IEEE 8O2.1Q,IEEE 802.3,VLAN管理；</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49171">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38F8F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14E473">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11</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47661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防火墙</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40918D">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1.名称:防火墙</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4FD8F9">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EBC01B">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6C7C7E">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1563D6">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E28A42">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华为</w:t>
            </w:r>
          </w:p>
        </w:tc>
        <w:tc>
          <w:tcPr>
            <w:tcW w:w="8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7B5743">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USG6615F</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89406A">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1F68F1">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128397">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ascii="微软雅黑" w:hAnsi="Wingdings 2" w:eastAsia="微软雅黑" w:cs="Wingdings 2"/>
                <w:i w:val="0"/>
                <w:iCs w:val="0"/>
                <w:color w:val="000000"/>
                <w:kern w:val="0"/>
                <w:sz w:val="18"/>
                <w:szCs w:val="18"/>
                <w:u w:val="none"/>
                <w:lang w:val="en-US" w:eastAsia="zh-CN" w:bidi="ar"/>
              </w:rPr>
              <w:t></w:t>
            </w:r>
            <w:r>
              <w:rPr>
                <w:rStyle w:val="20"/>
                <w:rFonts w:ascii="微软雅黑" w:eastAsia="微软雅黑"/>
                <w:sz w:val="18"/>
                <w:lang w:val="en-US" w:eastAsia="zh-CN" w:bidi="ar"/>
              </w:rPr>
              <w:t>防火墙</w:t>
            </w:r>
            <w:r>
              <w:rPr>
                <w:rStyle w:val="20"/>
                <w:rFonts w:ascii="微软雅黑" w:eastAsia="微软雅黑"/>
                <w:sz w:val="18"/>
                <w:lang w:val="en-US" w:eastAsia="zh-CN" w:bidi="ar"/>
              </w:rPr>
              <w:br w:type="textWrapping"/>
            </w:r>
            <w:r>
              <w:rPr>
                <w:rStyle w:val="20"/>
                <w:rFonts w:ascii="微软雅黑" w:eastAsia="微软雅黑"/>
                <w:sz w:val="18"/>
                <w:lang w:val="en-US" w:eastAsia="zh-CN" w:bidi="ar"/>
              </w:rPr>
              <w:t>1、性能参数：网络层吞吐量：20G，应用层吞吐量：10G，防病毒吞吐量：1.5G，IPS吞吐量：6G，全威胁吞吐量：3G，并发连接数：1000万，HTTP新建连接数：25万。</w:t>
            </w:r>
            <w:r>
              <w:rPr>
                <w:rStyle w:val="20"/>
                <w:rFonts w:ascii="微软雅黑" w:eastAsia="微软雅黑"/>
                <w:sz w:val="18"/>
                <w:lang w:val="en-US" w:eastAsia="zh-CN" w:bidi="ar"/>
              </w:rPr>
              <w:br w:type="textWrapping"/>
            </w:r>
            <w:r>
              <w:rPr>
                <w:rStyle w:val="20"/>
                <w:rFonts w:ascii="微软雅黑" w:eastAsia="微软雅黑"/>
                <w:sz w:val="18"/>
                <w:lang w:val="en-US" w:eastAsia="zh-CN" w:bidi="ar"/>
              </w:rPr>
              <w:t>硬件参数：规格：1U，内存大小：16G，硬盘容量：256G SSD，电源：冗余电源，接口：千兆电口/光口 Combo接口8个，千兆光口4个，千兆电口4个，万兆光口6个。</w:t>
            </w:r>
            <w:r>
              <w:rPr>
                <w:rStyle w:val="20"/>
                <w:rFonts w:ascii="微软雅黑" w:eastAsia="微软雅黑"/>
                <w:sz w:val="18"/>
                <w:lang w:val="en-US" w:eastAsia="zh-CN" w:bidi="ar"/>
              </w:rPr>
              <w:br w:type="textWrapping"/>
            </w:r>
            <w:r>
              <w:rPr>
                <w:rStyle w:val="20"/>
                <w:rFonts w:ascii="微软雅黑" w:eastAsia="微软雅黑"/>
                <w:sz w:val="18"/>
                <w:lang w:val="en-US" w:eastAsia="zh-CN" w:bidi="ar"/>
              </w:rPr>
              <w:t>2、边界防护系统支持动态路由、策略路由、静态路由、访问控制、地址转换、流量控制、DNS 代理、支持 IPV6 协议等功能</w:t>
            </w:r>
            <w:r>
              <w:rPr>
                <w:rStyle w:val="20"/>
                <w:rFonts w:ascii="微软雅黑" w:eastAsia="微软雅黑"/>
                <w:sz w:val="18"/>
                <w:lang w:val="en-US" w:eastAsia="zh-CN" w:bidi="ar"/>
              </w:rPr>
              <w:br w:type="textWrapping"/>
            </w:r>
            <w:r>
              <w:rPr>
                <w:rStyle w:val="20"/>
                <w:rFonts w:ascii="微软雅黑" w:eastAsia="微软雅黑"/>
                <w:sz w:val="18"/>
                <w:lang w:val="en-US" w:eastAsia="zh-CN" w:bidi="ar"/>
              </w:rPr>
              <w:t>3、产品支持链路连通性检查功能，支持基于3种以上协议对链路连通性进行探测，探测协议至少包括DNS解析、ARP探测、PING和BFD等方式。</w:t>
            </w:r>
            <w:r>
              <w:rPr>
                <w:rStyle w:val="20"/>
                <w:rFonts w:ascii="微软雅黑" w:eastAsia="微软雅黑"/>
                <w:sz w:val="18"/>
                <w:lang w:val="en-US" w:eastAsia="zh-CN" w:bidi="ar"/>
              </w:rPr>
              <w:br w:type="textWrapping"/>
            </w:r>
            <w:r>
              <w:rPr>
                <w:rStyle w:val="20"/>
                <w:rFonts w:ascii="微软雅黑" w:eastAsia="微软雅黑"/>
                <w:sz w:val="18"/>
                <w:lang w:val="en-US" w:eastAsia="zh-CN" w:bidi="ar"/>
              </w:rPr>
              <w:t>4、产品支持云威胁情报网关技术，通过全球超过30+pop节点，实现对威胁流量就近进行实时检测&amp;拦截，实现失陷外联实时阻断，保护资产安全。（需提供产品功能截图证明并提供POP节点在线查询链接）</w:t>
            </w:r>
            <w:r>
              <w:rPr>
                <w:rStyle w:val="20"/>
                <w:rFonts w:ascii="微软雅黑" w:eastAsia="微软雅黑"/>
                <w:sz w:val="18"/>
                <w:lang w:val="en-US" w:eastAsia="zh-CN" w:bidi="ar"/>
              </w:rPr>
              <w:br w:type="textWrapping"/>
            </w:r>
            <w:r>
              <w:rPr>
                <w:rStyle w:val="20"/>
                <w:rFonts w:ascii="微软雅黑" w:eastAsia="微软雅黑"/>
                <w:sz w:val="18"/>
                <w:lang w:val="en-US" w:eastAsia="zh-CN" w:bidi="ar"/>
              </w:rPr>
              <w:t>5、边界防护系统需具备主流安全防护能力，包括但不限于：基于传统五元组、用户、应用、内容、时间等多元组一体化访问控制；具备源地址转换、目的地址转换、双向地址转换及端口转换等多种 NAT 配置策略</w:t>
            </w:r>
            <w:r>
              <w:rPr>
                <w:rStyle w:val="20"/>
                <w:rFonts w:ascii="微软雅黑" w:eastAsia="微软雅黑"/>
                <w:sz w:val="18"/>
                <w:lang w:val="en-US" w:eastAsia="zh-CN" w:bidi="ar"/>
              </w:rPr>
              <w:br w:type="textWrapping"/>
            </w:r>
            <w:r>
              <w:rPr>
                <w:rStyle w:val="20"/>
                <w:rFonts w:ascii="微软雅黑" w:eastAsia="微软雅黑"/>
                <w:sz w:val="18"/>
                <w:lang w:val="en-US" w:eastAsia="zh-CN" w:bidi="ar"/>
              </w:rPr>
              <w:t>6、支持用户账号多余入口检测、用户账号弱口令检测、用户账号暴力破解检测、失陷账号检测，防止因账号被暴力破解导致的非法提权情况发生或满足同等程度功能。（需提供产品功能截图证明）</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B5BC4">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73042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5396B3">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528505">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接入交换机</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1B965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1.名称:接入交换机</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2.模块数量:综合考虑</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2.模块安装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56816B">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D8C001">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DB0FC1">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D5F145">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93DEE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w:t>
            </w:r>
          </w:p>
        </w:tc>
        <w:tc>
          <w:tcPr>
            <w:tcW w:w="8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656EEA">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 S5135S-24T4S-EI-Q</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645AF7">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DBDD25">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D78F42">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1、交换容量≥660 Gbps，整机转发性能≥106 Mpps；</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2、接口≥24个千兆电口，4个千兆光SFP+端口，静音无风扇；</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3、支持ERPS功能，能够快速阻断环路，链路收敛时间≤50ms；</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4、支持CPU保护功能，能限制非法报文对CPU的攻击，保护交换机在各种环境下稳定工作；</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5、支持智能管理平台，可实现整网拓扑可视，对本区域内交换机统一管理；</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6、符合IEEE 802.3az（EEE）节能标准；</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8DAFA">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6BC4B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D0A0E7">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13</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8453F2">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KVM切换器</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34D496">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1.名称:KVM切换器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7F10B0">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1D083C">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9BEDBC">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209A3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B210AF">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大唐保镖</w:t>
            </w:r>
          </w:p>
        </w:tc>
        <w:tc>
          <w:tcPr>
            <w:tcW w:w="8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66BDC8">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HL-1708</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879213">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A78D0A">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AEF3D3">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17英寸LED屏，8口；支持双切换操作，集键盘、鼠标、显示器、切换器于一体，支持前后USB热插拔接口，支持抽拉导轨</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74FA1">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37385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3015A5">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14</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7DFF7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服务器操作系统</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A8694E">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1.名称:服务器操作系统</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2.配置要求:Windows Server 2016 64位企业版</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3.其他:具体要求详见设计图纸、技术规格书及相关规范要求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5E5448">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DE84A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5C1D5D">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6FE0D0">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76915">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微软</w:t>
            </w:r>
          </w:p>
        </w:tc>
        <w:tc>
          <w:tcPr>
            <w:tcW w:w="8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E5A6A7">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Windows Server 2016</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D581F9">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B8FB87">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57BA8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Windows Server 2016</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BB01F">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27EF9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5542E7">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BE9FBC">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数据库</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4F35C4">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1.名称:数据库</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7290EA">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F26D80">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A6E1F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1E78A7">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8B109C">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微软</w:t>
            </w:r>
          </w:p>
        </w:tc>
        <w:tc>
          <w:tcPr>
            <w:tcW w:w="8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70799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SQL Server 2016及以上</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D701D8">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EAE701">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D906C6">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SQL Server 2012及以上</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86E57">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1ACA6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6214AF">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16</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7380C5">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数据库服务器</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1B9883">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1.名称:数据库服务器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2.规格、型号:2U机架式服务器，软硬件自主可控非OEM产品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2.接口连接</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3.操作系统安装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89D6EC">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3FC3A7">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283D3F">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7039DB">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货运安检信息管理系统</w:t>
            </w:r>
          </w:p>
        </w:tc>
        <w:tc>
          <w:tcPr>
            <w:tcW w:w="8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5C60AD8">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w:t>
            </w:r>
          </w:p>
        </w:tc>
        <w:tc>
          <w:tcPr>
            <w:tcW w:w="83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07F22A">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 UniServer R4900 G5</w:t>
            </w:r>
          </w:p>
        </w:tc>
        <w:tc>
          <w:tcPr>
            <w:tcW w:w="15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3A88B0D">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851C35A">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1295BC">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1、2U机架式服务器，软硬件自主可控非OEM产品；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2、CPU：2颗4310(2.1GHz/12核）；</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3、内存：2*32GB DDR4；</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4、硬盘：配置≥12个3.5寸热插拔硬盘槽位，实配2*480GB SSD，2*2.4TB SAS；</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5、配置1块SAS RAID阵列卡，≥2GB缓存；</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6、配置≥1块 4端口GE网卡，≥6个USB接口，≥2 个VGA 接口，支持后部独立的管理端口；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7、配置800W 交流电源模块*2，满配风扇模块；</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4F99B">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4A571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281EAA">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17</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4DCA0F">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应用服务器</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FA2A4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1.名称:应用服务器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2.规格、型号:2U机架式服务器，软硬件自主可控非OEM产品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2.接口连接</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3.操作系统安装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DC2D81">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4E57E6">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25DCEE">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2C836C">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货运安检信息管理系统</w:t>
            </w:r>
          </w:p>
        </w:tc>
        <w:tc>
          <w:tcPr>
            <w:tcW w:w="8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EDD48A8">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w:t>
            </w:r>
          </w:p>
        </w:tc>
        <w:tc>
          <w:tcPr>
            <w:tcW w:w="83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B835A0C">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 UniServer R4900 G5</w:t>
            </w:r>
          </w:p>
        </w:tc>
        <w:tc>
          <w:tcPr>
            <w:tcW w:w="15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DA8C0E7">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0BDCB73">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5CB4FD">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1、2U机架式服务器，软硬件自主可控非OEM产品；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2、CPU：2颗4310(2.1GHz/12核）；</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3、内存：2*32GB DDR4；</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4、硬盘：配置≥12个3.5寸热插拔硬盘槽位，实配2*480GB SSD，6*8TB SATA；</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5、配置1块SAS RAID阵列卡，≥2GB缓存；</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6、配置≥1块 4端口GE网卡，≥6个USB接口，≥2 个VGA 接口，支持后部独立的管理端口；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7、配置800W 交流电源模块*2，满配风扇模块；</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0E31E">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63B76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8B1D99">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18</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4296F3">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冷备服务器</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A18A01">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1.名称:冷备服务器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2.规格、型号:2U机架式服务器，软硬件自主可控非OEM产品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2.接口连接</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3.操作系统安装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719F53">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0BD367">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396AD1">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1F5B8A">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货运安检信息管理系统</w:t>
            </w:r>
          </w:p>
        </w:tc>
        <w:tc>
          <w:tcPr>
            <w:tcW w:w="8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D86ECC">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w:t>
            </w:r>
          </w:p>
        </w:tc>
        <w:tc>
          <w:tcPr>
            <w:tcW w:w="83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45466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H3C UniServer R4900 G5</w:t>
            </w:r>
          </w:p>
        </w:tc>
        <w:tc>
          <w:tcPr>
            <w:tcW w:w="15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99EC18C">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81304EC">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E105A28">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1、2U机架式服务器，软硬件自主可控非OEM产品；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2、CPU：2颗4310(2.1GHz/12核）；</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3、内存：2*32GB DDR4；</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4、硬盘：配置≥12个3.5寸热插拔硬盘槽位，实配2*480GB SSD，6*8TB SATA；</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5、配置1块SAS RAID阵列卡，≥2GB缓存；</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6、配置≥1块 4端口GE网卡，≥6个USB接口，≥2 个VGA 接口，支持后部独立的管理端口；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7、配置800W 交流电源模块*2，满配风扇模块；</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6985A">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25240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596ED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19</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BED34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开包工作站</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3E6305">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1.名称:开包工作站</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2.规格、型号:I5 16G 1TB SSD，23英寸显示器.WIN10系统</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2.显示设备安装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3.接口连接</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4.操作系统安装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BBA54E">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EB1BAC">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DCE68D">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2D4D65">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货运安检信息管理系统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FD4023">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HP</w:t>
            </w:r>
          </w:p>
        </w:tc>
        <w:tc>
          <w:tcPr>
            <w:tcW w:w="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88B446">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HP 480G9</w:t>
            </w:r>
          </w:p>
        </w:tc>
        <w:tc>
          <w:tcPr>
            <w:tcW w:w="151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9BC625">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A37921">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58081D">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I5-13500/16G/1T SSD/集成显卡/23.8寸显示器/原厂预装WIN11PRO 64位操作系统/双串口/</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F745A">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174B0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740758">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49BFB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验证工作站</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AA4A91">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1.名称:验证工作站</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2.规格、型号:I5 16G 1TB SSD，23英寸显示器.WIN10系统</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2.显示设备安装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3.接口连接</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4.操作系统安装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1F192F">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26828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D97CA5">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0AADD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货运安检信息管理系统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D1C3E0">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HP</w:t>
            </w:r>
          </w:p>
        </w:tc>
        <w:tc>
          <w:tcPr>
            <w:tcW w:w="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A3ACD5">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HP 480G9</w:t>
            </w:r>
          </w:p>
        </w:tc>
        <w:tc>
          <w:tcPr>
            <w:tcW w:w="151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5B125D">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7FEAFD">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7F8992">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I5-13500/16G/1T SSD/集成显卡/23.8寸显示器/原厂预装WIN11PRO 64位操作系统/双串口/</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D1814">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061CC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4"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BCB93D">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21</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5D919D">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审核工作站</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E7C79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1.名称:审核工作站</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2.规格、型号:I5 16G 1TB SSD，23英寸显示器.WIN10系统</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2.显示设备安装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3.接口连接</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4.操作系统安装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4F127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F1B003">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9E19F8">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9B4BE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货运安检信息管理系统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323EC6">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HP</w:t>
            </w:r>
          </w:p>
        </w:tc>
        <w:tc>
          <w:tcPr>
            <w:tcW w:w="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80FDF4">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HP 480G9</w:t>
            </w:r>
          </w:p>
        </w:tc>
        <w:tc>
          <w:tcPr>
            <w:tcW w:w="151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029891">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94D6B">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74287E">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I5-13500/16G/1T SSD/集成显卡/23.8寸显示器/原厂预装WIN11PRO 64位操作系统/双串口/</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EFE78">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492DB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85B31A">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22</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4BB1F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决策工作站</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108264">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1.名称:决策工作站</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2.规格、型号:I5 16G 1TB SSD，23英寸显示器.WIN10系统</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2.显示设备安装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3.接口连接</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4.操作系统安装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5.单体调试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39B401">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343B79">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AD4EF8">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32CE05">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货运安检信息管理系统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AADB86">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HP</w:t>
            </w:r>
          </w:p>
        </w:tc>
        <w:tc>
          <w:tcPr>
            <w:tcW w:w="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57EA2D">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HP 480G9</w:t>
            </w:r>
          </w:p>
        </w:tc>
        <w:tc>
          <w:tcPr>
            <w:tcW w:w="151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8EA69D">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E6582D">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E2A31E">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I5-13500/16G/1T SSD/集成显卡/23.8寸显示器/原厂预装WIN11PRO 64位操作系统/双串口/</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ABC74">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73574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A4890C">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23</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05345">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条码阅读器</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7FDEC">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1.名称:条码阅读器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BA49D">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AF98F">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24E9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BBED8">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货运安检信息管理系统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7AE77">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霍尼韦尔</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B8BF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1991ISR</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E09B3">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496DA">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4D0D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支持可读条码：一维、二维条码；驱动方式：免驱安装即插即用；通讯方式：无线；可选接口：USB/键盘口/RS-232TTL</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61A03">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11AA7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4D28A0">
            <w:pPr>
              <w:keepNext w:val="0"/>
              <w:keepLines w:val="0"/>
              <w:widowControl/>
              <w:suppressLineNumbers w:val="0"/>
              <w:snapToGrid w:val="0"/>
              <w:ind w:left="0" w:leftChars="0" w:right="0" w:rightChars="0" w:firstLine="0" w:firstLineChars="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24</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89C813">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高拍仪</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DEC0BF">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1.名称:高拍仪</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626BF9">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66A648">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5BE845">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893CF0">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货运安检信息管理系统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FF012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良田</w:t>
            </w:r>
          </w:p>
        </w:tc>
        <w:tc>
          <w:tcPr>
            <w:tcW w:w="8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56F377">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CT1000WJ</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36EDE3">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CF6F2B">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BE4F5D">
            <w:pPr>
              <w:keepNext w:val="0"/>
              <w:keepLines w:val="0"/>
              <w:widowControl/>
              <w:suppressLineNumbers w:val="0"/>
              <w:snapToGrid w:val="0"/>
              <w:ind w:left="0" w:leftChars="0" w:right="0" w:rightChars="0" w:firstLine="0" w:firstLineChars="0"/>
              <w:jc w:val="left"/>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双摄像头(主头500万，副头200万)，OCR文字识别，包含身份证阅读器</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6AFE1">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2B8E5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8930D6">
            <w:pPr>
              <w:keepNext w:val="0"/>
              <w:keepLines w:val="0"/>
              <w:widowControl/>
              <w:suppressLineNumbers w:val="0"/>
              <w:snapToGrid w:val="0"/>
              <w:ind w:left="0" w:leftChars="0" w:right="0" w:rightChars="0" w:firstLine="0" w:firstLineChars="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25</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C4DF50">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图像采集按钮</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01C7F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1.名称:图像采集按钮</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B053BE">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CF714B">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5974DE">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9C468C">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货运安检信息管理系统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7DCEF1">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爱国者</w:t>
            </w:r>
          </w:p>
        </w:tc>
        <w:tc>
          <w:tcPr>
            <w:tcW w:w="8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C237E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N18MAX</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B1695F">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1FCA7F">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DB15C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连接方式：.4G无线 10M传输距离</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充电方式：USB TO TYPE-C</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充电方式：300mAh锂电池</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C3602">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39D2D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350CA">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26</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E716C">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视频采集卡</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41FA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1.名称:视频采集卡</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2597D">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A9D30">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10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D490A">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96E0B">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货运安检信息管理系统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FD692">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天创恒达</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6443E">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TC460</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B9A55">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571B1">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7A68B">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视频编码，最高支持2K,DVI转HDMI</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77C34">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350BD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4"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93509C">
            <w:pPr>
              <w:keepNext w:val="0"/>
              <w:keepLines w:val="0"/>
              <w:widowControl/>
              <w:suppressLineNumbers w:val="0"/>
              <w:snapToGrid w:val="0"/>
              <w:ind w:left="0" w:leftChars="0" w:right="0" w:rightChars="0" w:firstLine="0" w:firstLineChars="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27</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09649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窗口双向对讲机</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025567">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1.名称:窗口双向对讲机</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2.设备基本参数/指标或设备配置要求:具体要求详见设计图纸、技术规格书及相关规范要求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0398BB">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45C567">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D3C047">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2DE7A1">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货运安检信息管理系统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BCF49C">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德顺</w:t>
            </w:r>
          </w:p>
        </w:tc>
        <w:tc>
          <w:tcPr>
            <w:tcW w:w="8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AEC296">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DS-1908-4W</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ED9F3A">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1D061B">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746039">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类型：音响一体麦克风</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单喇叭、动圈式、有线、外放、桌面式、外接供电</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8043D">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5954D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6111C4">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28</w:t>
            </w:r>
          </w:p>
        </w:tc>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325DB6">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小音箱</w:t>
            </w:r>
          </w:p>
        </w:tc>
        <w:tc>
          <w:tcPr>
            <w:tcW w:w="16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01C2D6">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[项目特征]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1.名称:小音箱</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2.安装方式:具体要求详见设计图纸、技术规格书及相关规范要求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[工作内容]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1.本体安装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2.单体调试</w:t>
            </w:r>
          </w:p>
        </w:tc>
        <w:tc>
          <w:tcPr>
            <w:tcW w:w="5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15CEC1">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只</w:t>
            </w:r>
          </w:p>
        </w:tc>
        <w:tc>
          <w:tcPr>
            <w:tcW w:w="6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AA2330">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0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9DA00E">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货运站弱电工程</w:t>
            </w:r>
          </w:p>
        </w:tc>
        <w:tc>
          <w:tcPr>
            <w:tcW w:w="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C9087E">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货运安检信息管理系统</w:t>
            </w:r>
          </w:p>
        </w:tc>
        <w:tc>
          <w:tcPr>
            <w:tcW w:w="80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077BD6">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惠普</w:t>
            </w:r>
          </w:p>
        </w:tc>
        <w:tc>
          <w:tcPr>
            <w:tcW w:w="8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2F8FD3">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NS1 Pro</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BCA8A5">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33F8C1">
            <w:pPr>
              <w:snapToGrid w:val="0"/>
              <w:ind w:left="0" w:leftChars="0" w:right="0" w:rightChars="0" w:firstLine="0" w:firstLineChars="0"/>
              <w:jc w:val="center"/>
              <w:rPr>
                <w:rFonts w:hint="eastAsia" w:ascii="微软雅黑" w:hAnsi="微软雅黑" w:eastAsia="微软雅黑" w:cs="微软雅黑"/>
                <w:i w:val="0"/>
                <w:iCs w:val="0"/>
                <w:color w:val="000000"/>
                <w:sz w:val="18"/>
                <w:szCs w:val="18"/>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AD9E8A">
            <w:pPr>
              <w:keepNext w:val="0"/>
              <w:keepLines w:val="0"/>
              <w:widowControl/>
              <w:suppressLineNumbers w:val="0"/>
              <w:snapToGrid w:val="0"/>
              <w:ind w:left="0" w:leftChars="0" w:right="0" w:rightChars="0" w:firstLine="0" w:firstLineChars="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桌面USB迷你小型喇叭扬声器</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BE382">
            <w:pPr>
              <w:snapToGrid w:val="0"/>
              <w:ind w:left="0" w:leftChars="0" w:right="0" w:rightChars="0" w:firstLine="0" w:firstLineChars="0"/>
              <w:jc w:val="center"/>
              <w:rPr>
                <w:rFonts w:hint="eastAsia" w:ascii="微软雅黑" w:hAnsi="宋体" w:eastAsia="微软雅黑" w:cs="宋体"/>
                <w:i w:val="0"/>
                <w:iCs w:val="0"/>
                <w:color w:val="000000"/>
                <w:sz w:val="18"/>
                <w:szCs w:val="22"/>
                <w:u w:val="none"/>
              </w:rPr>
            </w:pPr>
          </w:p>
        </w:tc>
      </w:tr>
      <w:tr w14:paraId="5A284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874"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CD941">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i w:val="0"/>
                <w:iCs w:val="0"/>
                <w:color w:val="000000"/>
                <w:sz w:val="18"/>
                <w:szCs w:val="18"/>
                <w:u w:val="none"/>
              </w:rPr>
            </w:pPr>
            <w:r>
              <w:rPr>
                <w:rFonts w:hint="eastAsia" w:ascii="微软雅黑" w:hAnsi="微软雅黑" w:eastAsia="微软雅黑" w:cs="微软雅黑"/>
                <w:b/>
                <w:i w:val="0"/>
                <w:iCs w:val="0"/>
                <w:color w:val="000000"/>
                <w:kern w:val="0"/>
                <w:sz w:val="18"/>
                <w:szCs w:val="18"/>
                <w:u w:val="none"/>
                <w:lang w:val="en-US" w:eastAsia="zh-CN" w:bidi="ar"/>
              </w:rPr>
              <w:t>合计：</w:t>
            </w:r>
          </w:p>
        </w:tc>
        <w:tc>
          <w:tcPr>
            <w:tcW w:w="30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7D317">
            <w:pPr>
              <w:snapToGrid w:val="0"/>
              <w:ind w:left="0" w:leftChars="0" w:right="0" w:rightChars="0" w:firstLine="0" w:firstLineChars="0"/>
              <w:jc w:val="center"/>
              <w:rPr>
                <w:rFonts w:hint="eastAsia" w:ascii="微软雅黑" w:hAnsi="宋体" w:eastAsia="微软雅黑" w:cs="宋体"/>
                <w:b/>
                <w:i w:val="0"/>
                <w:iCs w:val="0"/>
                <w:color w:val="000000"/>
                <w:sz w:val="18"/>
                <w:szCs w:val="22"/>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3B45B">
            <w:pPr>
              <w:snapToGrid w:val="0"/>
              <w:ind w:left="0" w:leftChars="0" w:right="0" w:rightChars="0" w:firstLine="0" w:firstLineChars="0"/>
              <w:jc w:val="left"/>
              <w:rPr>
                <w:rFonts w:hint="eastAsia" w:ascii="微软雅黑" w:hAnsi="宋体" w:eastAsia="微软雅黑" w:cs="宋体"/>
                <w:b/>
                <w:i w:val="0"/>
                <w:iCs w:val="0"/>
                <w:color w:val="000000"/>
                <w:sz w:val="18"/>
                <w:szCs w:val="22"/>
                <w:u w:val="none"/>
              </w:rPr>
            </w:pP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71EE8">
            <w:pPr>
              <w:snapToGrid w:val="0"/>
              <w:ind w:left="0" w:leftChars="0" w:right="0" w:rightChars="0" w:firstLine="0" w:firstLineChars="0"/>
              <w:jc w:val="center"/>
              <w:rPr>
                <w:rFonts w:hint="eastAsia" w:ascii="微软雅黑" w:hAnsi="宋体" w:eastAsia="微软雅黑" w:cs="宋体"/>
                <w:b/>
                <w:i w:val="0"/>
                <w:iCs w:val="0"/>
                <w:color w:val="000000"/>
                <w:sz w:val="18"/>
                <w:szCs w:val="22"/>
                <w:u w:val="none"/>
              </w:rPr>
            </w:pPr>
          </w:p>
        </w:tc>
      </w:tr>
    </w:tbl>
    <w:p w14:paraId="7ECAF85E">
      <w:pPr>
        <w:rPr>
          <w:rFonts w:hint="default" w:eastAsia="宋体"/>
          <w:b/>
          <w:bCs/>
          <w:lang w:val="en-US" w:eastAsia="zh-CN"/>
        </w:rPr>
        <w:sectPr>
          <w:pgSz w:w="16838" w:h="11906" w:orient="landscape"/>
          <w:pgMar w:top="1293" w:right="1440" w:bottom="1519" w:left="1440" w:header="851" w:footer="992" w:gutter="0"/>
          <w:pgNumType w:fmt="decimal"/>
          <w:cols w:space="0" w:num="1"/>
          <w:rtlGutter w:val="0"/>
          <w:docGrid w:type="lines" w:linePitch="319" w:charSpace="0"/>
        </w:sectPr>
      </w:pPr>
    </w:p>
    <w:p w14:paraId="74CF2B59">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default" w:ascii="宋体" w:hAnsi="宋体" w:eastAsia="宋体" w:cs="宋体"/>
          <w:b/>
          <w:bCs/>
          <w:snapToGrid w:val="0"/>
          <w:szCs w:val="21"/>
          <w:highlight w:val="none"/>
          <w:lang w:val="en-US" w:eastAsia="zh-CN"/>
        </w:rPr>
      </w:pPr>
      <w:r>
        <w:rPr>
          <w:rFonts w:hint="eastAsia" w:ascii="宋体" w:hAnsi="宋体" w:eastAsia="宋体" w:cs="宋体"/>
          <w:b/>
          <w:bCs/>
          <w:highlight w:val="none"/>
          <w:lang w:val="en-US" w:eastAsia="zh-CN"/>
        </w:rPr>
        <w:t>附件四：</w:t>
      </w:r>
      <w:r>
        <w:rPr>
          <w:rFonts w:hint="eastAsia" w:ascii="宋体" w:hAnsi="宋体" w:eastAsia="宋体" w:cs="宋体"/>
          <w:b/>
          <w:bCs/>
          <w:snapToGrid w:val="0"/>
          <w:szCs w:val="21"/>
          <w:highlight w:val="none"/>
          <w:lang w:val="en-US" w:eastAsia="zh-CN"/>
        </w:rPr>
        <w:t>合同模板</w:t>
      </w:r>
    </w:p>
    <w:p w14:paraId="5EA89628">
      <w:pPr>
        <w:rPr>
          <w:rFonts w:hint="eastAsia"/>
        </w:rPr>
      </w:pPr>
      <w:permStart w:id="0" w:edGrp="everyone"/>
      <w:permEnd w:id="0"/>
    </w:p>
    <w:p w14:paraId="307E1192">
      <w:pPr>
        <w:wordWrap w:val="0"/>
        <w:jc w:val="right"/>
        <w:rPr>
          <w:rFonts w:hint="default" w:ascii="宋体" w:hAnsi="宋体" w:eastAsia="宋体"/>
          <w:b/>
          <w:sz w:val="24"/>
          <w:szCs w:val="24"/>
          <w:lang w:val="en-US" w:eastAsia="zh-CN"/>
        </w:rPr>
      </w:pPr>
      <w:r>
        <w:rPr>
          <w:rFonts w:hint="eastAsia" w:ascii="宋体" w:hAnsi="宋体"/>
          <w:b/>
          <w:sz w:val="24"/>
          <w:szCs w:val="24"/>
          <w:lang w:val="en-US" w:eastAsia="zh-CN"/>
        </w:rPr>
        <w:t xml:space="preserve">     </w:t>
      </w:r>
    </w:p>
    <w:p w14:paraId="2839C4AC">
      <w:pPr>
        <w:jc w:val="center"/>
        <w:rPr>
          <w:rFonts w:hint="eastAsia" w:ascii="宋体" w:hAnsi="宋体"/>
          <w:b/>
          <w:sz w:val="44"/>
        </w:rPr>
      </w:pPr>
    </w:p>
    <w:p w14:paraId="4AC32EAF">
      <w:pPr>
        <w:jc w:val="center"/>
        <w:rPr>
          <w:rFonts w:hint="eastAsia" w:ascii="宋体" w:hAnsi="宋体"/>
          <w:b/>
          <w:sz w:val="52"/>
          <w:szCs w:val="52"/>
          <w:lang w:val="en-US" w:eastAsia="zh-CN"/>
        </w:rPr>
      </w:pPr>
      <w:r>
        <w:rPr>
          <w:rFonts w:hint="eastAsia" w:ascii="宋体" w:hAnsi="宋体"/>
          <w:b/>
          <w:sz w:val="52"/>
          <w:szCs w:val="52"/>
          <w:lang w:val="en-US" w:eastAsia="zh-CN"/>
        </w:rPr>
        <w:t xml:space="preserve"> 新建山东枣庄民用机场项目民航专业弱电工程合同</w:t>
      </w:r>
    </w:p>
    <w:p w14:paraId="0550108E">
      <w:pPr>
        <w:pStyle w:val="7"/>
        <w:spacing w:line="347" w:lineRule="atLeast"/>
        <w:jc w:val="both"/>
        <w:rPr>
          <w:rFonts w:hint="eastAsia"/>
          <w:b/>
          <w:sz w:val="52"/>
          <w:szCs w:val="52"/>
        </w:rPr>
      </w:pPr>
    </w:p>
    <w:p w14:paraId="0CE4CF70">
      <w:pPr>
        <w:pStyle w:val="7"/>
        <w:spacing w:line="347" w:lineRule="atLeast"/>
        <w:jc w:val="center"/>
        <w:rPr>
          <w:rFonts w:hint="eastAsia"/>
          <w:b/>
          <w:sz w:val="52"/>
          <w:szCs w:val="52"/>
        </w:rPr>
      </w:pPr>
    </w:p>
    <w:p w14:paraId="0474A0D8">
      <w:pPr>
        <w:pStyle w:val="7"/>
        <w:spacing w:line="347" w:lineRule="atLeast"/>
        <w:jc w:val="center"/>
        <w:rPr>
          <w:rFonts w:ascii="宋体" w:hAnsi="宋体"/>
          <w:b/>
          <w:sz w:val="28"/>
        </w:rPr>
      </w:pPr>
      <w:r>
        <w:rPr>
          <w:rFonts w:hint="eastAsia"/>
          <w:b/>
          <w:sz w:val="52"/>
          <w:szCs w:val="52"/>
        </w:rPr>
        <w:t>采购合同</w:t>
      </w:r>
    </w:p>
    <w:p w14:paraId="407465E2">
      <w:pPr>
        <w:jc w:val="left"/>
        <w:rPr>
          <w:rFonts w:ascii="宋体" w:hAnsi="宋体"/>
          <w:b/>
          <w:sz w:val="28"/>
        </w:rPr>
      </w:pPr>
    </w:p>
    <w:p w14:paraId="6A35A31D">
      <w:pPr>
        <w:rPr>
          <w:rFonts w:hint="eastAsia" w:ascii="宋体" w:hAnsi="宋体"/>
          <w:sz w:val="30"/>
          <w:szCs w:val="30"/>
        </w:rPr>
      </w:pPr>
    </w:p>
    <w:p w14:paraId="1D72E868">
      <w:pPr>
        <w:ind w:firstLine="2400" w:firstLineChars="800"/>
        <w:rPr>
          <w:rFonts w:ascii="宋体" w:hAnsi="宋体"/>
          <w:sz w:val="30"/>
          <w:szCs w:val="30"/>
        </w:rPr>
      </w:pPr>
      <w:r>
        <w:rPr>
          <w:rFonts w:hint="eastAsia" w:ascii="宋体" w:hAnsi="宋体"/>
          <w:sz w:val="30"/>
          <w:szCs w:val="30"/>
        </w:rPr>
        <w:t>甲方：南京禄口国际机场空港科技有限公司</w:t>
      </w:r>
    </w:p>
    <w:p w14:paraId="1C74D897">
      <w:pPr>
        <w:ind w:firstLine="2400" w:firstLineChars="800"/>
        <w:rPr>
          <w:rFonts w:hint="default" w:ascii="宋体" w:hAnsi="宋体" w:eastAsia="宋体"/>
          <w:sz w:val="30"/>
          <w:szCs w:val="30"/>
          <w:lang w:val="en-US" w:eastAsia="zh-CN"/>
        </w:rPr>
      </w:pPr>
      <w:r>
        <w:rPr>
          <w:rFonts w:hint="eastAsia" w:ascii="宋体" w:hAnsi="宋体"/>
          <w:sz w:val="30"/>
          <w:szCs w:val="30"/>
        </w:rPr>
        <w:t>乙方：</w:t>
      </w:r>
      <w:permStart w:id="1" w:edGrp="everyone"/>
      <w:r>
        <w:rPr>
          <w:rFonts w:hint="eastAsia" w:ascii="宋体" w:hAnsi="宋体"/>
          <w:sz w:val="30"/>
          <w:szCs w:val="30"/>
          <w:lang w:val="en-US" w:eastAsia="zh-CN"/>
        </w:rPr>
        <w:t xml:space="preserve">   </w:t>
      </w:r>
    </w:p>
    <w:permEnd w:id="1"/>
    <w:p w14:paraId="4419087A">
      <w:pPr>
        <w:ind w:firstLine="2400" w:firstLineChars="800"/>
        <w:rPr>
          <w:rFonts w:hint="eastAsia" w:ascii="宋体" w:hAnsi="宋体"/>
          <w:sz w:val="30"/>
          <w:szCs w:val="30"/>
        </w:rPr>
      </w:pPr>
      <w:r>
        <w:rPr>
          <w:rFonts w:hint="eastAsia" w:ascii="宋体" w:hAnsi="宋体"/>
          <w:sz w:val="30"/>
          <w:szCs w:val="30"/>
        </w:rPr>
        <w:t>签订地点：</w:t>
      </w:r>
    </w:p>
    <w:p w14:paraId="77B48CA2">
      <w:pPr>
        <w:ind w:firstLine="2400" w:firstLineChars="800"/>
        <w:rPr>
          <w:rFonts w:hint="eastAsia" w:ascii="华文中宋" w:hAnsi="华文中宋" w:eastAsia="华文中宋"/>
          <w:sz w:val="30"/>
          <w:szCs w:val="30"/>
        </w:rPr>
      </w:pPr>
      <w:r>
        <w:rPr>
          <w:rFonts w:ascii="华文中宋" w:hAnsi="华文中宋" w:eastAsia="华文中宋"/>
          <w:sz w:val="30"/>
          <w:szCs w:val="30"/>
        </w:rPr>
        <w:br w:type="page"/>
      </w:r>
    </w:p>
    <w:p w14:paraId="7D92CAF4">
      <w:pPr>
        <w:adjustRightInd w:val="0"/>
        <w:snapToGrid w:val="0"/>
        <w:spacing w:line="360" w:lineRule="auto"/>
        <w:jc w:val="left"/>
        <w:rPr>
          <w:rFonts w:hint="eastAsia" w:ascii="宋体" w:hAnsi="宋体"/>
          <w:szCs w:val="21"/>
        </w:rPr>
      </w:pPr>
      <w:r>
        <w:rPr>
          <w:rFonts w:hint="eastAsia" w:ascii="宋体" w:hAnsi="宋体"/>
          <w:szCs w:val="21"/>
        </w:rPr>
        <w:t xml:space="preserve">    </w:t>
      </w:r>
      <w:r>
        <w:rPr>
          <w:rFonts w:hint="eastAsia" w:ascii="宋体" w:hAnsi="宋体"/>
          <w:szCs w:val="21"/>
          <w:u w:val="single"/>
        </w:rPr>
        <w:t xml:space="preserve"> 南京禄口国际机场空港科技有限公司 </w:t>
      </w:r>
      <w:r>
        <w:rPr>
          <w:rFonts w:hint="eastAsia" w:ascii="宋体" w:hAnsi="宋体"/>
          <w:szCs w:val="21"/>
        </w:rPr>
        <w:t>（以下简称“甲方”）与</w:t>
      </w:r>
      <w:r>
        <w:rPr>
          <w:rFonts w:hint="eastAsia" w:ascii="宋体" w:hAnsi="宋体"/>
          <w:szCs w:val="21"/>
          <w:u w:val="single"/>
        </w:rPr>
        <w:t xml:space="preserve"> </w:t>
      </w:r>
      <w:permStart w:id="2"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2"/>
      <w:r>
        <w:rPr>
          <w:rFonts w:hint="eastAsia" w:ascii="宋体" w:hAnsi="宋体"/>
          <w:szCs w:val="21"/>
        </w:rPr>
        <w:t xml:space="preserve">（以下简称为“乙方”），根据《中华人民共和国民法典》，经过友好协商，本着平等、自愿、诚实守信的原则，就甲方向乙方采购货物事宜，双方达成如下一致协议。 </w:t>
      </w:r>
    </w:p>
    <w:p w14:paraId="79A4F43F">
      <w:pPr>
        <w:adjustRightInd w:val="0"/>
        <w:snapToGrid w:val="0"/>
        <w:spacing w:before="156" w:beforeLines="50" w:after="156" w:afterLines="50" w:line="360" w:lineRule="auto"/>
        <w:ind w:left="480"/>
        <w:jc w:val="left"/>
        <w:rPr>
          <w:rFonts w:hint="eastAsia"/>
          <w:b/>
          <w:sz w:val="24"/>
          <w:szCs w:val="24"/>
        </w:rPr>
      </w:pPr>
      <w:r>
        <w:rPr>
          <w:rFonts w:hint="eastAsia"/>
          <w:b/>
          <w:sz w:val="24"/>
          <w:szCs w:val="24"/>
        </w:rPr>
        <w:t xml:space="preserve">第一条 </w:t>
      </w:r>
      <w:r>
        <w:rPr>
          <w:b/>
          <w:sz w:val="24"/>
          <w:szCs w:val="24"/>
        </w:rPr>
        <w:t xml:space="preserve"> </w:t>
      </w:r>
      <w:r>
        <w:rPr>
          <w:rFonts w:hint="eastAsia"/>
          <w:b/>
          <w:sz w:val="24"/>
          <w:szCs w:val="24"/>
        </w:rPr>
        <w:t>合同标的</w:t>
      </w:r>
    </w:p>
    <w:p w14:paraId="0A0E0B3E">
      <w:pPr>
        <w:adjustRightInd w:val="0"/>
        <w:snapToGrid w:val="0"/>
        <w:spacing w:line="360" w:lineRule="auto"/>
        <w:ind w:firstLine="420" w:firstLineChars="200"/>
        <w:jc w:val="left"/>
        <w:rPr>
          <w:rFonts w:hint="default" w:eastAsia="宋体"/>
          <w:b/>
          <w:sz w:val="24"/>
          <w:szCs w:val="24"/>
          <w:lang w:val="en-US" w:eastAsia="zh-CN"/>
        </w:rPr>
      </w:pPr>
      <w:r>
        <w:rPr>
          <w:rFonts w:hint="eastAsia" w:ascii="宋体" w:hAnsi="宋体"/>
          <w:szCs w:val="21"/>
        </w:rPr>
        <w:t>1.1 采购货物明细：</w:t>
      </w:r>
      <w:r>
        <w:rPr>
          <w:rFonts w:hint="eastAsia" w:ascii="宋体" w:hAnsi="宋体"/>
          <w:szCs w:val="21"/>
          <w:lang w:val="en-US" w:eastAsia="zh-CN"/>
        </w:rPr>
        <w:t>清单见附件一。</w:t>
      </w:r>
    </w:p>
    <w:p w14:paraId="0C1492DD">
      <w:pPr>
        <w:adjustRightInd w:val="0"/>
        <w:snapToGrid w:val="0"/>
        <w:spacing w:line="360" w:lineRule="auto"/>
        <w:ind w:firstLine="420" w:firstLineChars="200"/>
        <w:jc w:val="left"/>
        <w:rPr>
          <w:rFonts w:hint="default" w:ascii="宋体" w:hAnsi="宋体" w:eastAsia="宋体"/>
          <w:szCs w:val="21"/>
          <w:highlight w:val="none"/>
          <w:lang w:val="en-US" w:eastAsia="zh-CN"/>
        </w:rPr>
      </w:pPr>
      <w:r>
        <w:rPr>
          <w:rFonts w:hint="eastAsia" w:ascii="宋体" w:hAnsi="宋体"/>
          <w:szCs w:val="21"/>
          <w:highlight w:val="none"/>
        </w:rPr>
        <w:t>1.2 合同含税总价：</w:t>
      </w:r>
      <w:permStart w:id="3" w:edGrp="everyone"/>
      <w:r>
        <w:rPr>
          <w:rFonts w:hint="eastAsia" w:ascii="宋体" w:hAnsi="宋体"/>
          <w:szCs w:val="21"/>
          <w:highlight w:val="none"/>
          <w:u w:val="single"/>
        </w:rPr>
        <w:t xml:space="preserve">  </w:t>
      </w:r>
      <w:permEnd w:id="3"/>
      <w:r>
        <w:rPr>
          <w:rFonts w:hint="eastAsia" w:ascii="宋体" w:hAnsi="宋体"/>
          <w:szCs w:val="21"/>
          <w:highlight w:val="none"/>
        </w:rPr>
        <w:t>元，不含税总价：</w:t>
      </w:r>
      <w:permStart w:id="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4"/>
      <w:r>
        <w:rPr>
          <w:rFonts w:hint="eastAsia" w:ascii="宋体" w:hAnsi="宋体"/>
          <w:szCs w:val="21"/>
          <w:highlight w:val="none"/>
        </w:rPr>
        <w:t>元，增值税税金</w:t>
      </w:r>
      <w:permStart w:id="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eastAsia="宋体" w:cs="Times New Roman"/>
          <w:szCs w:val="21"/>
          <w:highlight w:val="none"/>
          <w:u w:val="single"/>
          <w:lang w:val="en-US" w:eastAsia="zh-CN"/>
        </w:rPr>
        <w:t xml:space="preserve">  </w:t>
      </w:r>
      <w:permEnd w:id="5"/>
      <w:r>
        <w:rPr>
          <w:rFonts w:hint="eastAsia" w:ascii="宋体" w:hAnsi="宋体"/>
          <w:szCs w:val="21"/>
          <w:highlight w:val="none"/>
        </w:rPr>
        <w:t>元。在合同履行期间，如遇国家增值税税率的调整，不含税总价不变，增值税税金相应调整。</w:t>
      </w:r>
      <w:r>
        <w:rPr>
          <w:rFonts w:hint="eastAsia" w:ascii="宋体" w:hAnsi="宋体"/>
          <w:szCs w:val="21"/>
          <w:highlight w:val="none"/>
          <w:lang w:val="en-US" w:eastAsia="zh-CN"/>
        </w:rPr>
        <w:t>如双方需要增减设备的，按优惠后的单价执行。</w:t>
      </w:r>
    </w:p>
    <w:p w14:paraId="3C05C8A9">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1.3该合同价款为乙方履行完成本合</w:t>
      </w:r>
      <w:r>
        <w:rPr>
          <w:rFonts w:hint="eastAsia" w:ascii="宋体" w:hAnsi="宋体"/>
          <w:szCs w:val="21"/>
        </w:rPr>
        <w:t>同约定义务的全部费用，包括但不限于货物生产、包装、运输至指定地点、保险、配合验收、资料提供、产品质保及</w:t>
      </w:r>
      <w:permStart w:id="6" w:edGrp="everyone"/>
      <w:permEnd w:id="6"/>
      <w:r>
        <w:rPr>
          <w:rFonts w:hint="eastAsia" w:ascii="宋体" w:hAnsi="宋体"/>
          <w:szCs w:val="21"/>
        </w:rPr>
        <w:t>上表其他补充说明中单独约定的现场装卸、现场保管、安装指导、安装、调试及运行保障、售后服务等所有含税费用，除本合同另有约定外，甲方不再支付乙方任何费用。</w:t>
      </w:r>
    </w:p>
    <w:p w14:paraId="481C050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第二条  技术标准</w:t>
      </w:r>
    </w:p>
    <w:p w14:paraId="4199F34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2.1</w:t>
      </w:r>
      <w:r>
        <w:rPr>
          <w:rFonts w:ascii="宋体" w:hAnsi="宋体"/>
          <w:szCs w:val="21"/>
        </w:rPr>
        <w:t xml:space="preserve"> </w:t>
      </w:r>
      <w:r>
        <w:rPr>
          <w:rFonts w:hint="eastAsia" w:ascii="宋体" w:hAnsi="宋体"/>
          <w:szCs w:val="21"/>
        </w:rPr>
        <w:t>本合同下交付的货物应符合技术规格所达到的标准。如果没有提及适用标准，则应符合货物来源国适用的国家标准、行业标准</w:t>
      </w:r>
      <w:r>
        <w:rPr>
          <w:rFonts w:ascii="宋体" w:hAnsi="宋体"/>
          <w:szCs w:val="21"/>
        </w:rPr>
        <w:t>，</w:t>
      </w:r>
      <w:r>
        <w:rPr>
          <w:rFonts w:hint="eastAsia" w:ascii="宋体" w:hAnsi="宋体"/>
          <w:szCs w:val="21"/>
        </w:rPr>
        <w:t>这些标准必须是有关机构发布的最新有效版本的标准</w:t>
      </w:r>
      <w:r>
        <w:rPr>
          <w:rFonts w:ascii="宋体" w:hAnsi="宋体"/>
          <w:szCs w:val="21"/>
        </w:rPr>
        <w:t>；</w:t>
      </w:r>
      <w:r>
        <w:rPr>
          <w:rFonts w:hint="eastAsia" w:ascii="宋体" w:hAnsi="宋体"/>
          <w:szCs w:val="21"/>
        </w:rPr>
        <w:t>若企业标准高于国家、行业标准的，以企业标准为准。若甲方对乙方所提供货物有特殊质量技术要求，还应满足甲方的特殊质量技术要求。</w:t>
      </w:r>
    </w:p>
    <w:p w14:paraId="4E51B10A">
      <w:pPr>
        <w:adjustRightInd w:val="0"/>
        <w:snapToGrid w:val="0"/>
        <w:spacing w:line="360" w:lineRule="auto"/>
        <w:ind w:firstLine="420" w:firstLineChars="200"/>
        <w:jc w:val="left"/>
        <w:rPr>
          <w:rFonts w:ascii="宋体" w:hAnsi="宋体"/>
          <w:szCs w:val="21"/>
        </w:rPr>
      </w:pPr>
      <w:r>
        <w:rPr>
          <w:rFonts w:ascii="宋体" w:hAnsi="宋体"/>
          <w:szCs w:val="21"/>
        </w:rPr>
        <w:t xml:space="preserve">2.2 </w:t>
      </w:r>
      <w:r>
        <w:rPr>
          <w:rFonts w:hint="eastAsia" w:ascii="宋体" w:hAnsi="宋体"/>
          <w:szCs w:val="21"/>
        </w:rPr>
        <w:t>除非技术规格中另有规定，计量单位均采用中华人民共和国法定计量单位。</w:t>
      </w:r>
    </w:p>
    <w:p w14:paraId="347CE655">
      <w:pPr>
        <w:adjustRightInd w:val="0"/>
        <w:snapToGrid w:val="0"/>
        <w:spacing w:before="156" w:beforeLines="50" w:after="156" w:afterLines="50" w:line="360" w:lineRule="auto"/>
        <w:ind w:firstLine="480" w:firstLineChars="200"/>
        <w:jc w:val="left"/>
        <w:rPr>
          <w:rFonts w:hint="eastAsia"/>
          <w:b/>
          <w:sz w:val="24"/>
          <w:szCs w:val="24"/>
        </w:rPr>
      </w:pPr>
      <w:r>
        <w:rPr>
          <w:rFonts w:hint="eastAsia"/>
          <w:b/>
          <w:sz w:val="24"/>
          <w:szCs w:val="24"/>
        </w:rPr>
        <w:t xml:space="preserve">第三条 </w:t>
      </w:r>
      <w:r>
        <w:rPr>
          <w:b/>
          <w:sz w:val="24"/>
          <w:szCs w:val="24"/>
        </w:rPr>
        <w:t xml:space="preserve"> </w:t>
      </w:r>
      <w:r>
        <w:rPr>
          <w:rFonts w:hint="eastAsia"/>
          <w:b/>
          <w:sz w:val="24"/>
          <w:szCs w:val="24"/>
        </w:rPr>
        <w:t>合同文件和资料的使用</w:t>
      </w:r>
    </w:p>
    <w:p w14:paraId="00A887F3">
      <w:pPr>
        <w:adjustRightInd w:val="0"/>
        <w:snapToGrid w:val="0"/>
        <w:spacing w:line="360" w:lineRule="auto"/>
        <w:ind w:firstLine="450"/>
        <w:jc w:val="left"/>
        <w:rPr>
          <w:rFonts w:hint="eastAsia" w:ascii="宋体" w:hAnsi="宋体"/>
          <w:szCs w:val="21"/>
        </w:rPr>
      </w:pPr>
      <w:r>
        <w:rPr>
          <w:rFonts w:hint="eastAsia" w:ascii="宋体" w:hAnsi="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4AB2C25">
      <w:pPr>
        <w:adjustRightInd w:val="0"/>
        <w:snapToGrid w:val="0"/>
        <w:spacing w:line="360" w:lineRule="auto"/>
        <w:ind w:firstLine="450"/>
        <w:jc w:val="left"/>
        <w:rPr>
          <w:rFonts w:hint="eastAsia" w:ascii="宋体" w:hAnsi="宋体"/>
          <w:szCs w:val="21"/>
        </w:rPr>
      </w:pPr>
      <w:r>
        <w:rPr>
          <w:rFonts w:ascii="宋体" w:hAnsi="宋体"/>
          <w:szCs w:val="21"/>
        </w:rPr>
        <w:t xml:space="preserve">3.2 </w:t>
      </w:r>
      <w:r>
        <w:rPr>
          <w:rFonts w:hint="eastAsia" w:ascii="宋体" w:hAnsi="宋体"/>
          <w:szCs w:val="21"/>
        </w:rPr>
        <w:t>没有甲方事先书面同意，除了履行本合同之外，乙方不应使用合同条款第3.1条所列举的任何文件和资料。</w:t>
      </w:r>
    </w:p>
    <w:p w14:paraId="7DCFAA35">
      <w:pPr>
        <w:adjustRightInd w:val="0"/>
        <w:snapToGrid w:val="0"/>
        <w:spacing w:line="360" w:lineRule="auto"/>
        <w:ind w:firstLine="450"/>
        <w:jc w:val="left"/>
        <w:rPr>
          <w:rFonts w:hint="eastAsia" w:ascii="宋体" w:hAnsi="宋体"/>
          <w:szCs w:val="21"/>
        </w:rPr>
      </w:pPr>
      <w:r>
        <w:rPr>
          <w:rFonts w:ascii="宋体" w:hAnsi="宋体"/>
          <w:szCs w:val="21"/>
        </w:rPr>
        <w:t xml:space="preserve">3.3 </w:t>
      </w:r>
      <w:r>
        <w:rPr>
          <w:rFonts w:hint="eastAsia" w:ascii="宋体" w:hAnsi="宋体"/>
          <w:szCs w:val="21"/>
        </w:rPr>
        <w:t>除了合同本身以外，合同条款第3.</w:t>
      </w:r>
      <w:r>
        <w:rPr>
          <w:rFonts w:ascii="宋体" w:hAnsi="宋体"/>
          <w:szCs w:val="21"/>
        </w:rPr>
        <w:t>1</w:t>
      </w:r>
      <w:r>
        <w:rPr>
          <w:rFonts w:hint="eastAsia" w:ascii="宋体" w:hAnsi="宋体"/>
          <w:szCs w:val="21"/>
        </w:rPr>
        <w:t>条所列举的任何文件是甲方的财产。如果甲方有要求，乙方在完成合同后应将这些文件及全部复制件还给甲方。</w:t>
      </w:r>
    </w:p>
    <w:p w14:paraId="4B0CD1F9">
      <w:pPr>
        <w:adjustRightInd w:val="0"/>
        <w:snapToGrid w:val="0"/>
        <w:spacing w:line="360" w:lineRule="auto"/>
        <w:ind w:firstLine="450"/>
        <w:jc w:val="left"/>
        <w:rPr>
          <w:rFonts w:hint="eastAsia" w:ascii="宋体" w:hAnsi="宋体"/>
          <w:szCs w:val="21"/>
        </w:rPr>
      </w:pPr>
      <w:r>
        <w:rPr>
          <w:rFonts w:ascii="宋体" w:hAnsi="宋体"/>
          <w:szCs w:val="21"/>
        </w:rPr>
        <w:t xml:space="preserve">3.4 </w:t>
      </w:r>
      <w:r>
        <w:rPr>
          <w:rFonts w:hint="eastAsia" w:ascii="宋体" w:hAnsi="宋体"/>
          <w:szCs w:val="21"/>
        </w:rPr>
        <w:t>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r>
        <w:rPr>
          <w:rFonts w:ascii="宋体" w:hAnsi="宋体"/>
          <w:szCs w:val="21"/>
        </w:rPr>
        <w:t>。</w:t>
      </w:r>
    </w:p>
    <w:p w14:paraId="6AED460F">
      <w:pPr>
        <w:adjustRightInd w:val="0"/>
        <w:snapToGrid w:val="0"/>
        <w:spacing w:line="360" w:lineRule="auto"/>
        <w:ind w:firstLine="450"/>
        <w:jc w:val="left"/>
        <w:rPr>
          <w:rFonts w:hint="eastAsia" w:ascii="宋体" w:hAnsi="宋体"/>
          <w:szCs w:val="21"/>
        </w:rPr>
      </w:pPr>
      <w:r>
        <w:rPr>
          <w:rFonts w:hint="eastAsia" w:ascii="宋体" w:hAnsi="宋体"/>
          <w:szCs w:val="21"/>
        </w:rPr>
        <w:t>3.5 本条所述保密义务不因双方权利义务履行完毕或合同解除而终止。</w:t>
      </w:r>
    </w:p>
    <w:p w14:paraId="5E8F7092">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第四条  知识产权</w:t>
      </w:r>
    </w:p>
    <w:p w14:paraId="3FC47CBE">
      <w:pPr>
        <w:adjustRightInd w:val="0"/>
        <w:snapToGrid w:val="0"/>
        <w:spacing w:line="360" w:lineRule="auto"/>
        <w:ind w:firstLine="420" w:firstLineChars="200"/>
        <w:jc w:val="left"/>
        <w:rPr>
          <w:rFonts w:ascii="宋体" w:hAnsi="宋体"/>
          <w:szCs w:val="21"/>
        </w:rPr>
      </w:pPr>
      <w:r>
        <w:rPr>
          <w:rFonts w:hint="eastAsia" w:ascii="宋体" w:hAnsi="宋体"/>
          <w:szCs w:val="21"/>
        </w:rPr>
        <w:t>4</w:t>
      </w:r>
      <w:r>
        <w:rPr>
          <w:rFonts w:ascii="宋体" w:hAnsi="宋体"/>
          <w:szCs w:val="21"/>
        </w:rPr>
        <w:t>.1</w:t>
      </w:r>
      <w:r>
        <w:rPr>
          <w:rFonts w:hint="eastAsia" w:ascii="宋体" w:hAnsi="宋体"/>
          <w:szCs w:val="21"/>
        </w:rPr>
        <w:t xml:space="preserve"> 乙方应保证，甲方或甲方用户在使用该货物或货物的任何一部分时，免受任何第三方提出的侵犯其专利权、商标权、著作权或其他知识产权的起诉或承担任何赔偿责任。 </w:t>
      </w:r>
    </w:p>
    <w:p w14:paraId="0480C67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4.2</w:t>
      </w:r>
      <w:r>
        <w:rPr>
          <w:rFonts w:ascii="宋体" w:hAnsi="宋体"/>
          <w:szCs w:val="21"/>
        </w:rPr>
        <w:t xml:space="preserve"> </w:t>
      </w:r>
      <w:r>
        <w:rPr>
          <w:rFonts w:hint="eastAsia" w:ascii="宋体" w:hAnsi="宋体"/>
          <w:szCs w:val="21"/>
        </w:rPr>
        <w:t>甲方应将任何已经或声称因甲方或甲方用户使用本合同货物和/或技术资料侵犯了任何第三方专利、商标或其他知识产权而进行索赔或诉讼的情形及时通知乙方。</w:t>
      </w:r>
    </w:p>
    <w:p w14:paraId="34B0B46B">
      <w:pPr>
        <w:adjustRightInd w:val="0"/>
        <w:snapToGrid w:val="0"/>
        <w:spacing w:line="360" w:lineRule="auto"/>
        <w:ind w:firstLine="420" w:firstLineChars="200"/>
        <w:jc w:val="left"/>
        <w:rPr>
          <w:rFonts w:ascii="宋体" w:hAnsi="宋体"/>
          <w:szCs w:val="21"/>
        </w:rPr>
      </w:pPr>
      <w:r>
        <w:rPr>
          <w:rFonts w:ascii="宋体" w:hAnsi="宋体"/>
          <w:szCs w:val="21"/>
        </w:rPr>
        <w:t xml:space="preserve">4.3 </w:t>
      </w:r>
      <w:r>
        <w:rPr>
          <w:rFonts w:hint="eastAsia" w:ascii="宋体" w:hAnsi="宋体"/>
          <w:szCs w:val="21"/>
        </w:rPr>
        <w:t>如果已经或可能发生诉讼或索赔，乙方需积极配合甲方处理随后产生的诉讼、索赔及和解谈判，同时乙方应自费并根据甲方或甲方用户要求采取以下补救措施之一：</w:t>
      </w:r>
    </w:p>
    <w:p w14:paraId="195869B1">
      <w:pPr>
        <w:adjustRightInd w:val="0"/>
        <w:snapToGrid w:val="0"/>
        <w:spacing w:line="360" w:lineRule="auto"/>
        <w:ind w:firstLine="420" w:firstLineChars="200"/>
        <w:jc w:val="left"/>
        <w:rPr>
          <w:rFonts w:ascii="宋体" w:hAnsi="宋体"/>
          <w:szCs w:val="21"/>
        </w:rPr>
      </w:pPr>
      <w:r>
        <w:rPr>
          <w:rFonts w:hint="eastAsia" w:ascii="宋体" w:hAnsi="宋体"/>
          <w:szCs w:val="21"/>
        </w:rPr>
        <w:t>4.3.1为甲方或甲方用户取得继续使用货物的权利；</w:t>
      </w:r>
    </w:p>
    <w:p w14:paraId="06356F4F">
      <w:pPr>
        <w:adjustRightInd w:val="0"/>
        <w:snapToGrid w:val="0"/>
        <w:spacing w:line="360" w:lineRule="auto"/>
        <w:ind w:firstLine="420" w:firstLineChars="200"/>
        <w:jc w:val="left"/>
        <w:rPr>
          <w:rFonts w:ascii="宋体" w:hAnsi="宋体"/>
          <w:szCs w:val="21"/>
        </w:rPr>
      </w:pPr>
      <w:r>
        <w:rPr>
          <w:rFonts w:ascii="宋体" w:hAnsi="宋体"/>
          <w:szCs w:val="21"/>
        </w:rPr>
        <w:t>4.3.2</w:t>
      </w:r>
      <w:r>
        <w:rPr>
          <w:rFonts w:hint="eastAsia" w:ascii="宋体" w:hAnsi="宋体"/>
          <w:szCs w:val="21"/>
        </w:rPr>
        <w:t>修改货物，消除其侵权部分并确保其仍符合双方合同约定；</w:t>
      </w:r>
    </w:p>
    <w:p w14:paraId="2CE9D910">
      <w:pPr>
        <w:adjustRightInd w:val="0"/>
        <w:snapToGrid w:val="0"/>
        <w:spacing w:line="360" w:lineRule="auto"/>
        <w:ind w:firstLine="420" w:firstLineChars="200"/>
        <w:jc w:val="left"/>
        <w:rPr>
          <w:rFonts w:ascii="宋体" w:hAnsi="宋体"/>
          <w:szCs w:val="21"/>
        </w:rPr>
      </w:pPr>
      <w:r>
        <w:rPr>
          <w:rFonts w:ascii="宋体" w:hAnsi="宋体"/>
          <w:szCs w:val="21"/>
        </w:rPr>
        <w:t>4.3.3</w:t>
      </w:r>
      <w:r>
        <w:rPr>
          <w:rFonts w:hint="eastAsia" w:ascii="宋体" w:hAnsi="宋体"/>
          <w:szCs w:val="21"/>
        </w:rPr>
        <w:t>使用符合双方合同约定且不侵权的货物进行替换；</w:t>
      </w:r>
    </w:p>
    <w:p w14:paraId="07C9BEB7">
      <w:pPr>
        <w:adjustRightInd w:val="0"/>
        <w:snapToGrid w:val="0"/>
        <w:spacing w:line="360" w:lineRule="auto"/>
        <w:ind w:firstLine="420" w:firstLineChars="200"/>
        <w:jc w:val="left"/>
        <w:rPr>
          <w:rFonts w:ascii="宋体" w:hAnsi="宋体"/>
          <w:szCs w:val="21"/>
        </w:rPr>
      </w:pPr>
      <w:r>
        <w:rPr>
          <w:rFonts w:ascii="宋体" w:hAnsi="宋体"/>
          <w:szCs w:val="21"/>
        </w:rPr>
        <w:t>4.3.4</w:t>
      </w:r>
      <w:r>
        <w:rPr>
          <w:rFonts w:hint="eastAsia" w:ascii="宋体" w:hAnsi="宋体"/>
          <w:szCs w:val="21"/>
        </w:rPr>
        <w:t>同意退还侵权的货物，全额退还甲方为此支付的款项，并赔偿甲方或甲方用户因此遭受的全部损失。</w:t>
      </w:r>
    </w:p>
    <w:p w14:paraId="0738485E">
      <w:pPr>
        <w:adjustRightInd w:val="0"/>
        <w:snapToGrid w:val="0"/>
        <w:spacing w:line="360" w:lineRule="auto"/>
        <w:ind w:firstLine="420" w:firstLineChars="200"/>
        <w:jc w:val="left"/>
        <w:rPr>
          <w:rFonts w:hint="eastAsia" w:ascii="宋体" w:hAnsi="宋体"/>
          <w:szCs w:val="21"/>
        </w:rPr>
      </w:pPr>
      <w:r>
        <w:rPr>
          <w:rFonts w:ascii="宋体" w:hAnsi="宋体"/>
          <w:szCs w:val="21"/>
        </w:rPr>
        <w:t xml:space="preserve">4.4 </w:t>
      </w:r>
      <w:r>
        <w:rPr>
          <w:rFonts w:hint="eastAsia" w:ascii="宋体" w:hAnsi="宋体"/>
          <w:szCs w:val="21"/>
        </w:rPr>
        <w:t>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2DFA0C3">
      <w:pPr>
        <w:pStyle w:val="4"/>
        <w:adjustRightInd w:val="0"/>
        <w:snapToGrid w:val="0"/>
        <w:spacing w:before="156" w:after="0" w:line="360" w:lineRule="auto"/>
        <w:ind w:left="0" w:firstLine="480" w:firstLineChars="200"/>
        <w:jc w:val="left"/>
        <w:outlineLvl w:val="0"/>
        <w:rPr>
          <w:rFonts w:hint="eastAsia"/>
          <w:b/>
          <w:sz w:val="24"/>
          <w:szCs w:val="24"/>
        </w:rPr>
      </w:pPr>
      <w:r>
        <w:rPr>
          <w:rFonts w:hint="eastAsia"/>
          <w:b/>
          <w:sz w:val="24"/>
          <w:szCs w:val="24"/>
        </w:rPr>
        <w:t>第五条  履约担保</w:t>
      </w:r>
    </w:p>
    <w:p w14:paraId="309AFD50">
      <w:pPr>
        <w:adjustRightInd w:val="0"/>
        <w:snapToGrid w:val="0"/>
        <w:spacing w:line="360" w:lineRule="auto"/>
        <w:ind w:firstLine="450"/>
        <w:jc w:val="left"/>
        <w:rPr>
          <w:rFonts w:hint="eastAsia" w:ascii="宋体" w:hAnsi="宋体"/>
          <w:szCs w:val="21"/>
        </w:rPr>
      </w:pPr>
      <w:permStart w:id="7" w:edGrp="everyone"/>
      <w:r>
        <w:rPr>
          <w:rFonts w:hint="eastAsia" w:ascii="宋体" w:hAnsi="宋体"/>
          <w:szCs w:val="21"/>
        </w:rPr>
        <w:sym w:font="Wingdings" w:char="00FE"/>
      </w:r>
      <w:r>
        <w:rPr>
          <w:rFonts w:hint="eastAsia" w:ascii="宋体" w:hAnsi="宋体"/>
          <w:szCs w:val="21"/>
        </w:rPr>
        <w:t xml:space="preserve"> </w:t>
      </w:r>
      <w:permEnd w:id="7"/>
      <w:r>
        <w:rPr>
          <w:rFonts w:hint="eastAsia" w:ascii="宋体" w:hAnsi="宋体"/>
          <w:szCs w:val="21"/>
        </w:rPr>
        <w:t>乙方无需为本合同提供履约担保；</w:t>
      </w:r>
    </w:p>
    <w:p w14:paraId="2F5362B9">
      <w:pPr>
        <w:adjustRightInd w:val="0"/>
        <w:snapToGrid w:val="0"/>
        <w:spacing w:line="360" w:lineRule="auto"/>
        <w:ind w:firstLine="450"/>
        <w:jc w:val="left"/>
        <w:rPr>
          <w:rFonts w:ascii="宋体" w:hAnsi="宋体"/>
          <w:szCs w:val="21"/>
        </w:rPr>
      </w:pPr>
      <w:permStart w:id="8" w:edGrp="everyone"/>
      <w:r>
        <w:rPr>
          <w:rFonts w:hint="eastAsia" w:ascii="宋体" w:hAnsi="宋体"/>
          <w:szCs w:val="21"/>
        </w:rPr>
        <w:t>□</w:t>
      </w:r>
      <w:r>
        <w:rPr>
          <w:rFonts w:ascii="宋体" w:hAnsi="宋体"/>
          <w:szCs w:val="21"/>
        </w:rPr>
        <w:t xml:space="preserve"> </w:t>
      </w:r>
      <w:permEnd w:id="8"/>
      <w:r>
        <w:rPr>
          <w:rFonts w:hint="eastAsia" w:ascii="宋体" w:hAnsi="宋体"/>
          <w:szCs w:val="21"/>
        </w:rPr>
        <w:t>本合同签订后，乙方应提供合同总金额</w:t>
      </w:r>
      <w:permStart w:id="9"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9"/>
      <w:r>
        <w:rPr>
          <w:rFonts w:hint="eastAsia" w:ascii="宋体" w:hAnsi="宋体"/>
          <w:szCs w:val="21"/>
        </w:rPr>
        <w:t>的履约保证金或履约保函，如适用履约保函，则履约保函的担保银行及格式应符合甲方要求。甲方收到符合要求的履约担保并按照本合同第二十一条约定履行签字盖章程序后，本合同即产生法律效力。</w:t>
      </w:r>
    </w:p>
    <w:p w14:paraId="1297D865">
      <w:pPr>
        <w:adjustRightInd w:val="0"/>
        <w:snapToGrid w:val="0"/>
        <w:spacing w:line="360" w:lineRule="auto"/>
        <w:ind w:firstLine="450"/>
        <w:jc w:val="left"/>
        <w:rPr>
          <w:rFonts w:hint="eastAsia" w:ascii="宋体" w:hAnsi="宋体"/>
          <w:szCs w:val="21"/>
        </w:rPr>
      </w:pPr>
      <w:r>
        <w:rPr>
          <w:rFonts w:hint="eastAsia" w:ascii="宋体" w:hAnsi="宋体"/>
          <w:szCs w:val="21"/>
        </w:rPr>
        <w:t>履约担保是乙方履行合同义务的担保，如乙方未能履行本合同项下的任何义务，甲方有权根据乙方所需承担的违约或赔偿责任扣除相应的履约担保金。</w:t>
      </w:r>
    </w:p>
    <w:p w14:paraId="702A0E80">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第六条  包装和运输</w:t>
      </w:r>
    </w:p>
    <w:p w14:paraId="00A16D3B">
      <w:pPr>
        <w:adjustRightInd w:val="0"/>
        <w:snapToGrid w:val="0"/>
        <w:spacing w:line="360" w:lineRule="auto"/>
        <w:ind w:firstLine="420" w:firstLineChars="200"/>
        <w:jc w:val="left"/>
        <w:rPr>
          <w:rFonts w:ascii="宋体" w:hAnsi="宋体"/>
          <w:szCs w:val="21"/>
        </w:rPr>
      </w:pPr>
      <w:r>
        <w:rPr>
          <w:rFonts w:hint="eastAsia" w:ascii="宋体" w:hAnsi="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w:t>
      </w:r>
      <w:r>
        <w:rPr>
          <w:rFonts w:ascii="宋体" w:hAnsi="宋体"/>
          <w:szCs w:val="21"/>
        </w:rPr>
        <w:t>PPC</w:t>
      </w:r>
      <w:r>
        <w:rPr>
          <w:rFonts w:hint="eastAsia" w:ascii="宋体" w:hAnsi="宋体"/>
          <w:szCs w:val="21"/>
        </w:rPr>
        <w:t>专用标识的声明或未使用木质包装的声明，包装物不回收且费用已包含在合同总价中。</w:t>
      </w:r>
    </w:p>
    <w:p w14:paraId="049F47E8">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6.2 乙方应负责办理将货物运送至交货地点的一切运输事项，运输等相关费用已包含在合同总价中。</w:t>
      </w:r>
    </w:p>
    <w:p w14:paraId="46853998">
      <w:pPr>
        <w:pStyle w:val="4"/>
        <w:spacing w:before="156"/>
        <w:ind w:left="0" w:firstLine="480" w:firstLineChars="200"/>
        <w:outlineLvl w:val="0"/>
        <w:rPr>
          <w:rFonts w:hint="eastAsia" w:ascii="宋体" w:hAnsi="宋体"/>
          <w:szCs w:val="21"/>
        </w:rPr>
      </w:pPr>
      <w:r>
        <w:rPr>
          <w:rFonts w:hint="eastAsia"/>
          <w:b/>
          <w:sz w:val="24"/>
          <w:szCs w:val="24"/>
        </w:rPr>
        <w:t xml:space="preserve">第七条 </w:t>
      </w:r>
      <w:r>
        <w:rPr>
          <w:b/>
          <w:sz w:val="24"/>
          <w:szCs w:val="24"/>
        </w:rPr>
        <w:t xml:space="preserve"> </w:t>
      </w:r>
      <w:r>
        <w:rPr>
          <w:rFonts w:hint="eastAsia"/>
          <w:b/>
          <w:sz w:val="24"/>
          <w:szCs w:val="24"/>
        </w:rPr>
        <w:t>交货</w:t>
      </w:r>
    </w:p>
    <w:p w14:paraId="1C4B456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7.1</w:t>
      </w:r>
      <w:r>
        <w:rPr>
          <w:rFonts w:ascii="宋体" w:hAnsi="宋体"/>
          <w:szCs w:val="21"/>
        </w:rPr>
        <w:t xml:space="preserve"> </w:t>
      </w:r>
      <w:r>
        <w:rPr>
          <w:rFonts w:hint="eastAsia" w:ascii="宋体" w:hAnsi="宋体"/>
          <w:szCs w:val="21"/>
        </w:rPr>
        <w:t>乙方发货地址：</w:t>
      </w:r>
      <w:permStart w:id="10" w:edGrp="everyone"/>
      <w:r>
        <w:rPr>
          <w:rFonts w:hint="eastAsia" w:ascii="宋体" w:hAnsi="宋体"/>
          <w:bCs/>
          <w:szCs w:val="21"/>
          <w:u w:val="single"/>
        </w:rPr>
        <w:t xml:space="preserve">    </w:t>
      </w:r>
      <w:permEnd w:id="10"/>
      <w:r>
        <w:rPr>
          <w:rFonts w:hint="eastAsia" w:ascii="宋体" w:hAnsi="宋体"/>
          <w:szCs w:val="21"/>
        </w:rPr>
        <w:t>。</w:t>
      </w:r>
    </w:p>
    <w:p w14:paraId="512557DA">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7.2</w:t>
      </w:r>
      <w:r>
        <w:rPr>
          <w:rFonts w:ascii="宋体" w:hAnsi="宋体"/>
          <w:szCs w:val="21"/>
          <w:highlight w:val="none"/>
        </w:rPr>
        <w:t xml:space="preserve"> </w:t>
      </w:r>
      <w:r>
        <w:rPr>
          <w:rFonts w:hint="eastAsia" w:ascii="宋体" w:hAnsi="宋体"/>
          <w:szCs w:val="21"/>
          <w:highlight w:val="none"/>
        </w:rPr>
        <w:t>甲方指定交货地点：</w:t>
      </w:r>
      <w:permStart w:id="11" w:edGrp="everyone"/>
      <w:r>
        <w:rPr>
          <w:rFonts w:hint="eastAsia" w:ascii="宋体" w:hAnsi="宋体"/>
          <w:bCs/>
          <w:szCs w:val="21"/>
          <w:highlight w:val="none"/>
          <w:u w:val="single"/>
        </w:rPr>
        <w:t xml:space="preserve">  </w:t>
      </w:r>
      <w:permEnd w:id="11"/>
      <w:r>
        <w:rPr>
          <w:rFonts w:hint="eastAsia" w:ascii="宋体" w:hAnsi="宋体"/>
          <w:szCs w:val="21"/>
          <w:highlight w:val="none"/>
        </w:rPr>
        <w:t>（从乙方仓库到本合同所指定的到货地点所发生的一切费用由乙方负责）；甲方指定接收人及联系方式：</w:t>
      </w:r>
      <w:permStart w:id="12" w:edGrp="everyone"/>
      <w:r>
        <w:rPr>
          <w:rFonts w:hint="eastAsia" w:ascii="宋体" w:hAnsi="宋体"/>
          <w:bCs/>
          <w:szCs w:val="21"/>
          <w:highlight w:val="none"/>
          <w:u w:val="single"/>
        </w:rPr>
        <w:t xml:space="preserve">  </w:t>
      </w:r>
      <w:permEnd w:id="12"/>
      <w:r>
        <w:rPr>
          <w:rFonts w:hint="eastAsia" w:ascii="宋体" w:hAnsi="宋体"/>
          <w:szCs w:val="21"/>
          <w:highlight w:val="none"/>
        </w:rPr>
        <w:t>（乙方发货前请务必与该货物签收人确认是否发货，以免现场不具备收货条件；如果乙方未与甲方联系人确认是否可以发货而发货，甲方有权拒绝接收货物，由乙方自行承担由此产生的全部费用）。</w:t>
      </w:r>
    </w:p>
    <w:p w14:paraId="6C44612A">
      <w:pPr>
        <w:adjustRightInd w:val="0"/>
        <w:snapToGrid w:val="0"/>
        <w:spacing w:line="360" w:lineRule="auto"/>
        <w:ind w:firstLine="420" w:firstLineChars="200"/>
        <w:jc w:val="left"/>
        <w:rPr>
          <w:rFonts w:ascii="宋体" w:hAnsi="宋体"/>
          <w:szCs w:val="21"/>
        </w:rPr>
      </w:pPr>
      <w:r>
        <w:rPr>
          <w:rFonts w:hint="eastAsia" w:ascii="宋体" w:hAnsi="宋体"/>
          <w:szCs w:val="21"/>
        </w:rPr>
        <w:t>7.3</w:t>
      </w:r>
      <w:r>
        <w:rPr>
          <w:rFonts w:ascii="宋体" w:hAnsi="宋体"/>
          <w:szCs w:val="21"/>
        </w:rPr>
        <w:t xml:space="preserve"> </w:t>
      </w:r>
      <w:r>
        <w:rPr>
          <w:rFonts w:hint="eastAsia" w:ascii="宋体" w:hAnsi="宋体"/>
          <w:szCs w:val="21"/>
        </w:rPr>
        <w:t>交货方式及时间：</w:t>
      </w:r>
    </w:p>
    <w:p w14:paraId="4A139914">
      <w:pPr>
        <w:adjustRightInd w:val="0"/>
        <w:snapToGrid w:val="0"/>
        <w:spacing w:line="360" w:lineRule="auto"/>
        <w:ind w:firstLine="420" w:firstLineChars="200"/>
        <w:jc w:val="left"/>
        <w:rPr>
          <w:rFonts w:ascii="宋体" w:hAnsi="宋体"/>
          <w:szCs w:val="21"/>
          <w:highlight w:val="none"/>
        </w:rPr>
      </w:pPr>
      <w:permStart w:id="13" w:edGrp="everyone"/>
      <w:r>
        <w:rPr>
          <w:rFonts w:hint="eastAsia" w:ascii="宋体" w:hAnsi="宋体"/>
          <w:szCs w:val="21"/>
          <w:highlight w:val="none"/>
          <w:lang w:eastAsia="zh-CN"/>
        </w:rPr>
        <w:t>□</w:t>
      </w:r>
      <w:permEnd w:id="13"/>
      <w:r>
        <w:rPr>
          <w:rFonts w:hint="eastAsia" w:ascii="宋体" w:hAnsi="宋体"/>
          <w:szCs w:val="21"/>
          <w:highlight w:val="none"/>
        </w:rPr>
        <w:t xml:space="preserve"> </w:t>
      </w:r>
      <w:permStart w:id="1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4"/>
      <w:r>
        <w:rPr>
          <w:rFonts w:hint="eastAsia" w:ascii="宋体" w:hAnsi="宋体"/>
          <w:szCs w:val="21"/>
          <w:highlight w:val="none"/>
        </w:rPr>
        <w:t>年</w:t>
      </w:r>
      <w:permStart w:id="1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5"/>
      <w:r>
        <w:rPr>
          <w:rFonts w:hint="eastAsia" w:ascii="宋体" w:hAnsi="宋体"/>
          <w:szCs w:val="21"/>
          <w:highlight w:val="none"/>
        </w:rPr>
        <w:t>月</w:t>
      </w:r>
      <w:permStart w:id="16"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6"/>
      <w:r>
        <w:rPr>
          <w:rFonts w:hint="eastAsia" w:ascii="宋体" w:hAnsi="宋体"/>
          <w:szCs w:val="21"/>
          <w:highlight w:val="none"/>
        </w:rPr>
        <w:t>日前一次性全部交货；</w:t>
      </w:r>
    </w:p>
    <w:p w14:paraId="70F9AB3E">
      <w:pPr>
        <w:adjustRightInd w:val="0"/>
        <w:snapToGrid w:val="0"/>
        <w:spacing w:line="360" w:lineRule="auto"/>
        <w:jc w:val="left"/>
        <w:rPr>
          <w:rFonts w:ascii="宋体" w:hAnsi="宋体"/>
          <w:szCs w:val="21"/>
          <w:highlight w:val="none"/>
        </w:rPr>
      </w:pPr>
      <w:r>
        <w:rPr>
          <w:rFonts w:ascii="宋体" w:hAnsi="宋体"/>
          <w:szCs w:val="21"/>
          <w:highlight w:val="none"/>
        </w:rPr>
        <w:t xml:space="preserve">    </w:t>
      </w:r>
      <w:permStart w:id="17" w:edGrp="everyone"/>
      <w:r>
        <w:rPr>
          <w:rFonts w:ascii="宋体" w:hAnsi="宋体"/>
          <w:szCs w:val="21"/>
          <w:highlight w:val="none"/>
        </w:rPr>
        <w:sym w:font="Wingdings" w:char="00A8"/>
      </w:r>
      <w:permEnd w:id="17"/>
      <w:r>
        <w:rPr>
          <w:rFonts w:hint="eastAsia" w:ascii="宋体" w:hAnsi="宋体"/>
          <w:szCs w:val="21"/>
          <w:highlight w:val="none"/>
        </w:rPr>
        <w:t xml:space="preserve"> 自本合同签订之日起</w:t>
      </w:r>
      <w:permStart w:id="18" w:edGrp="everyone"/>
      <w:r>
        <w:rPr>
          <w:rFonts w:hint="eastAsia" w:ascii="宋体" w:hAnsi="宋体"/>
          <w:szCs w:val="21"/>
          <w:highlight w:val="none"/>
          <w:u w:val="single"/>
        </w:rPr>
        <w:t xml:space="preserve">    </w:t>
      </w:r>
      <w:permEnd w:id="18"/>
      <w:r>
        <w:rPr>
          <w:rFonts w:hint="eastAsia" w:ascii="宋体" w:hAnsi="宋体"/>
          <w:szCs w:val="21"/>
          <w:highlight w:val="none"/>
        </w:rPr>
        <w:t>天内交货；</w:t>
      </w:r>
    </w:p>
    <w:p w14:paraId="64E634E7">
      <w:pPr>
        <w:adjustRightInd w:val="0"/>
        <w:snapToGrid w:val="0"/>
        <w:spacing w:line="360" w:lineRule="auto"/>
        <w:ind w:firstLine="420" w:firstLineChars="200"/>
        <w:jc w:val="left"/>
        <w:rPr>
          <w:rFonts w:ascii="宋体" w:hAnsi="宋体"/>
          <w:szCs w:val="21"/>
          <w:highlight w:val="none"/>
        </w:rPr>
      </w:pPr>
      <w:permStart w:id="19" w:edGrp="everyone"/>
      <w:r>
        <w:rPr>
          <w:rFonts w:hint="eastAsia" w:ascii="宋体" w:hAnsi="宋体"/>
          <w:szCs w:val="21"/>
          <w:highlight w:val="none"/>
          <w:lang w:eastAsia="zh-CN"/>
        </w:rPr>
        <w:t>□</w:t>
      </w:r>
      <w:permEnd w:id="19"/>
      <w:r>
        <w:rPr>
          <w:rFonts w:hint="eastAsia" w:ascii="宋体" w:hAnsi="宋体"/>
          <w:szCs w:val="21"/>
          <w:highlight w:val="none"/>
        </w:rPr>
        <w:t xml:space="preserve"> 其他交货方式：</w:t>
      </w:r>
      <w:permStart w:id="20" w:edGrp="everyone"/>
      <w:r>
        <w:rPr>
          <w:rFonts w:hint="eastAsia" w:ascii="宋体" w:hAnsi="宋体"/>
          <w:szCs w:val="21"/>
          <w:highlight w:val="none"/>
          <w:u w:val="single"/>
        </w:rPr>
        <w:t xml:space="preserve"> </w:t>
      </w:r>
      <w:r>
        <w:rPr>
          <w:rFonts w:ascii="宋体" w:hAnsi="宋体"/>
          <w:szCs w:val="21"/>
          <w:highlight w:val="none"/>
          <w:u w:val="single"/>
        </w:rPr>
        <w:t xml:space="preserve"> </w:t>
      </w:r>
      <w:permEnd w:id="20"/>
      <w:r>
        <w:rPr>
          <w:rFonts w:ascii="宋体" w:hAnsi="宋体"/>
          <w:szCs w:val="21"/>
          <w:highlight w:val="none"/>
        </w:rPr>
        <w:t>；</w:t>
      </w:r>
    </w:p>
    <w:p w14:paraId="776C1EF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双方一致同意，若甲方或甲方用户工期延期或另有安排，具体交货时间以甲方的书面要货通知为准。</w:t>
      </w:r>
    </w:p>
    <w:p w14:paraId="4218324F">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7.4</w:t>
      </w:r>
      <w:r>
        <w:rPr>
          <w:rFonts w:ascii="宋体" w:hAnsi="宋体"/>
          <w:szCs w:val="21"/>
        </w:rPr>
        <w:t xml:space="preserve"> </w:t>
      </w:r>
      <w:r>
        <w:rPr>
          <w:rFonts w:hint="eastAsia" w:ascii="宋体" w:hAnsi="宋体"/>
          <w:szCs w:val="21"/>
        </w:rPr>
        <w:t>乙方交货时应随货物提交相关附随资料：</w:t>
      </w:r>
    </w:p>
    <w:p w14:paraId="0894B782">
      <w:pPr>
        <w:adjustRightInd w:val="0"/>
        <w:snapToGrid w:val="0"/>
        <w:spacing w:line="360" w:lineRule="auto"/>
        <w:ind w:firstLine="420" w:firstLineChars="200"/>
        <w:jc w:val="left"/>
        <w:rPr>
          <w:rFonts w:hint="eastAsia" w:ascii="宋体" w:hAnsi="宋体"/>
          <w:szCs w:val="21"/>
        </w:rPr>
      </w:pPr>
      <w:permStart w:id="21" w:edGrp="everyone"/>
      <w:r>
        <w:rPr>
          <w:rFonts w:ascii="宋体" w:hAnsi="宋体"/>
          <w:szCs w:val="21"/>
        </w:rPr>
        <w:sym w:font="Wingdings" w:char="00FE"/>
      </w:r>
      <w:r>
        <w:rPr>
          <w:rFonts w:hint="eastAsia" w:ascii="宋体" w:hAnsi="宋体"/>
          <w:szCs w:val="21"/>
        </w:rPr>
        <w:t xml:space="preserve"> </w:t>
      </w:r>
      <w:permEnd w:id="21"/>
      <w:r>
        <w:rPr>
          <w:rFonts w:hint="eastAsia" w:ascii="宋体" w:hAnsi="宋体"/>
          <w:szCs w:val="21"/>
        </w:rPr>
        <w:t>提供设备之产品说明书；</w:t>
      </w:r>
    </w:p>
    <w:p w14:paraId="47A1C5AF">
      <w:pPr>
        <w:adjustRightInd w:val="0"/>
        <w:snapToGrid w:val="0"/>
        <w:spacing w:line="360" w:lineRule="auto"/>
        <w:ind w:firstLine="420" w:firstLineChars="200"/>
        <w:jc w:val="left"/>
        <w:rPr>
          <w:rFonts w:hint="eastAsia" w:ascii="宋体" w:hAnsi="宋体"/>
          <w:szCs w:val="21"/>
        </w:rPr>
      </w:pPr>
      <w:permStart w:id="22" w:edGrp="everyone"/>
      <w:r>
        <w:rPr>
          <w:rFonts w:ascii="宋体" w:hAnsi="宋体"/>
          <w:szCs w:val="21"/>
        </w:rPr>
        <w:sym w:font="Wingdings" w:char="00A8"/>
      </w:r>
      <w:permEnd w:id="22"/>
      <w:r>
        <w:rPr>
          <w:rFonts w:hint="eastAsia" w:ascii="宋体" w:hAnsi="宋体"/>
          <w:szCs w:val="21"/>
        </w:rPr>
        <w:t xml:space="preserve"> 提供设备原有配件，资料；</w:t>
      </w:r>
    </w:p>
    <w:p w14:paraId="7E22923E">
      <w:pPr>
        <w:adjustRightInd w:val="0"/>
        <w:snapToGrid w:val="0"/>
        <w:spacing w:line="360" w:lineRule="auto"/>
        <w:ind w:firstLine="420" w:firstLineChars="200"/>
        <w:jc w:val="left"/>
        <w:rPr>
          <w:rFonts w:hint="eastAsia" w:ascii="宋体" w:hAnsi="宋体"/>
          <w:szCs w:val="21"/>
        </w:rPr>
      </w:pPr>
      <w:permStart w:id="23" w:edGrp="everyone"/>
      <w:r>
        <w:rPr>
          <w:rFonts w:ascii="宋体" w:hAnsi="宋体"/>
          <w:szCs w:val="21"/>
        </w:rPr>
        <w:sym w:font="Wingdings" w:char="00A8"/>
      </w:r>
      <w:r>
        <w:rPr>
          <w:rFonts w:hint="eastAsia" w:ascii="宋体" w:hAnsi="宋体"/>
          <w:szCs w:val="21"/>
        </w:rPr>
        <w:t xml:space="preserve"> </w:t>
      </w:r>
      <w:permEnd w:id="23"/>
      <w:r>
        <w:rPr>
          <w:rFonts w:hint="eastAsia" w:ascii="宋体" w:hAnsi="宋体"/>
          <w:szCs w:val="21"/>
        </w:rPr>
        <w:t>提供该设备的原产地证明、厂家出具的质量合格证明；</w:t>
      </w:r>
    </w:p>
    <w:p w14:paraId="0FF21735">
      <w:pPr>
        <w:adjustRightInd w:val="0"/>
        <w:snapToGrid w:val="0"/>
        <w:spacing w:line="360" w:lineRule="auto"/>
        <w:ind w:firstLine="420" w:firstLineChars="200"/>
        <w:jc w:val="left"/>
        <w:rPr>
          <w:rFonts w:hint="eastAsia" w:ascii="宋体" w:hAnsi="宋体"/>
          <w:szCs w:val="21"/>
        </w:rPr>
      </w:pPr>
      <w:permStart w:id="24" w:edGrp="everyone"/>
      <w:r>
        <w:rPr>
          <w:rFonts w:hint="eastAsia" w:ascii="宋体" w:hAnsi="宋体"/>
          <w:szCs w:val="21"/>
        </w:rPr>
        <w:t>□</w:t>
      </w:r>
      <w:permEnd w:id="24"/>
      <w:r>
        <w:rPr>
          <w:rFonts w:hint="eastAsia" w:ascii="宋体" w:hAnsi="宋体"/>
          <w:szCs w:val="21"/>
        </w:rPr>
        <w:t xml:space="preserve"> 提供所有设备、配件的序列号清单，并盖公章确认；</w:t>
      </w:r>
    </w:p>
    <w:p w14:paraId="241E0756">
      <w:pPr>
        <w:adjustRightInd w:val="0"/>
        <w:snapToGrid w:val="0"/>
        <w:spacing w:line="360" w:lineRule="auto"/>
        <w:ind w:firstLine="420" w:firstLineChars="200"/>
        <w:jc w:val="left"/>
        <w:rPr>
          <w:rFonts w:hint="default" w:ascii="宋体" w:hAnsi="宋体" w:eastAsia="宋体"/>
          <w:szCs w:val="21"/>
          <w:lang w:val="en-US" w:eastAsia="zh-CN"/>
        </w:rPr>
      </w:pPr>
      <w:permStart w:id="25" w:edGrp="everyone"/>
      <w:r>
        <w:rPr>
          <w:rFonts w:hint="eastAsia" w:ascii="宋体" w:hAnsi="宋体"/>
          <w:szCs w:val="21"/>
          <w:lang w:eastAsia="zh-CN"/>
        </w:rPr>
        <w:t>☑</w:t>
      </w:r>
      <w:r>
        <w:rPr>
          <w:rFonts w:hint="eastAsia" w:ascii="宋体" w:hAnsi="宋体"/>
          <w:szCs w:val="21"/>
        </w:rPr>
        <w:t xml:space="preserve"> </w:t>
      </w:r>
      <w:permEnd w:id="25"/>
      <w:r>
        <w:rPr>
          <w:rFonts w:hint="eastAsia" w:ascii="宋体" w:hAnsi="宋体"/>
          <w:szCs w:val="21"/>
        </w:rPr>
        <w:t>甲方要求的其他资料：</w:t>
      </w:r>
      <w:permStart w:id="26" w:edGrp="everyone"/>
      <w:r>
        <w:rPr>
          <w:rFonts w:hint="eastAsia" w:ascii="宋体" w:hAnsi="宋体"/>
          <w:szCs w:val="21"/>
          <w:u w:val="single"/>
        </w:rPr>
        <w:t xml:space="preserve"> </w:t>
      </w:r>
      <w:r>
        <w:rPr>
          <w:rFonts w:hint="eastAsia" w:ascii="宋体" w:hAnsi="宋体"/>
          <w:szCs w:val="21"/>
          <w:u w:val="single"/>
          <w:lang w:val="en-US" w:eastAsia="zh-CN"/>
        </w:rPr>
        <w:t xml:space="preserve">配合甲方验收提供相关资料 </w:t>
      </w:r>
      <w:permEnd w:id="26"/>
    </w:p>
    <w:p w14:paraId="1AC85D05">
      <w:pPr>
        <w:adjustRightInd w:val="0"/>
        <w:snapToGrid w:val="0"/>
        <w:spacing w:line="360" w:lineRule="auto"/>
        <w:ind w:firstLine="420" w:firstLineChars="200"/>
        <w:jc w:val="left"/>
        <w:rPr>
          <w:rFonts w:ascii="宋体" w:hAnsi="宋体"/>
          <w:szCs w:val="21"/>
        </w:rPr>
      </w:pPr>
      <w:r>
        <w:rPr>
          <w:rFonts w:hint="eastAsia" w:ascii="宋体" w:hAnsi="宋体"/>
          <w:szCs w:val="21"/>
        </w:rPr>
        <w:t>上述资料的交付不能免除乙方在本合同项下的保证义务或其他义务。</w:t>
      </w:r>
    </w:p>
    <w:p w14:paraId="072211A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7.5 甲方货物接收人的签收不视为货物验收合格，也不视为乙方交付的货物质量合格。</w:t>
      </w:r>
    </w:p>
    <w:p w14:paraId="0C17D8D6">
      <w:pPr>
        <w:pStyle w:val="4"/>
        <w:rPr>
          <w:rFonts w:ascii="宋体" w:hAnsi="宋体"/>
          <w:szCs w:val="21"/>
        </w:rPr>
      </w:pPr>
      <w:r>
        <w:rPr>
          <w:rFonts w:hint="eastAsia"/>
          <w:b/>
          <w:sz w:val="24"/>
          <w:szCs w:val="24"/>
        </w:rPr>
        <w:t>第八条  检验和测试</w:t>
      </w:r>
    </w:p>
    <w:p w14:paraId="01D4B875">
      <w:pPr>
        <w:adjustRightInd w:val="0"/>
        <w:snapToGrid w:val="0"/>
        <w:spacing w:line="360" w:lineRule="auto"/>
        <w:jc w:val="left"/>
        <w:rPr>
          <w:rFonts w:ascii="宋体" w:hAnsi="宋体"/>
          <w:szCs w:val="21"/>
        </w:rPr>
      </w:pPr>
      <w:r>
        <w:rPr>
          <w:rFonts w:hint="eastAsia" w:ascii="宋体" w:hAnsi="宋体"/>
          <w:szCs w:val="21"/>
        </w:rPr>
        <w:t xml:space="preserve"> </w:t>
      </w:r>
      <w:r>
        <w:rPr>
          <w:rFonts w:ascii="宋体" w:hAnsi="宋体"/>
          <w:szCs w:val="21"/>
        </w:rPr>
        <w:t xml:space="preserve">   8.1 </w:t>
      </w:r>
      <w:r>
        <w:rPr>
          <w:rFonts w:hint="eastAsia" w:ascii="宋体" w:hAnsi="宋体"/>
          <w:szCs w:val="21"/>
        </w:rPr>
        <w:t>验收方式：</w:t>
      </w:r>
    </w:p>
    <w:p w14:paraId="50C15EAE">
      <w:pPr>
        <w:adjustRightInd w:val="0"/>
        <w:snapToGrid w:val="0"/>
        <w:spacing w:line="360" w:lineRule="auto"/>
        <w:ind w:firstLine="420" w:firstLineChars="200"/>
        <w:jc w:val="left"/>
        <w:rPr>
          <w:rFonts w:ascii="宋体" w:hAnsi="宋体"/>
          <w:szCs w:val="21"/>
        </w:rPr>
      </w:pPr>
      <w:permStart w:id="27" w:edGrp="everyone"/>
      <w:r>
        <w:rPr>
          <w:rFonts w:ascii="宋体" w:hAnsi="宋体"/>
          <w:szCs w:val="21"/>
        </w:rPr>
        <w:sym w:font="Wingdings" w:char="00A8"/>
      </w:r>
      <w:permEnd w:id="27"/>
      <w:r>
        <w:rPr>
          <w:rFonts w:hint="eastAsia" w:ascii="宋体" w:hAnsi="宋体"/>
          <w:szCs w:val="21"/>
        </w:rPr>
        <w:t xml:space="preserve"> 乙方按照交货时间将货物运到甲方指定交货地点后，甲方将自行负责组织对货物进行包括但不限于数量、包装、外观、型号、质量等验收工作，以确认货物是否符合合同要求。</w:t>
      </w:r>
    </w:p>
    <w:p w14:paraId="139E624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5EBC8ED2">
      <w:pPr>
        <w:adjustRightInd w:val="0"/>
        <w:snapToGrid w:val="0"/>
        <w:spacing w:line="360" w:lineRule="auto"/>
        <w:ind w:firstLine="420" w:firstLineChars="200"/>
        <w:jc w:val="left"/>
        <w:rPr>
          <w:rFonts w:ascii="宋体" w:hAnsi="宋体"/>
          <w:szCs w:val="21"/>
        </w:rPr>
      </w:pPr>
      <w:r>
        <w:rPr>
          <w:rFonts w:hint="eastAsia" w:ascii="宋体" w:hAnsi="宋体"/>
          <w:szCs w:val="21"/>
        </w:rPr>
        <w:t>如货物未满足本合同第十一条的质量保证条款，甲方有权拒绝接收该货物，同时甲方有权要求乙方在5日内免费更换该货物或对货物进行维修、修复。验收合格的，双方应签署验收合格书面文件，并以此作为验收合格的唯一证明。</w:t>
      </w:r>
    </w:p>
    <w:p w14:paraId="7CD30032">
      <w:pPr>
        <w:adjustRightInd w:val="0"/>
        <w:snapToGrid w:val="0"/>
        <w:spacing w:line="360" w:lineRule="auto"/>
        <w:ind w:firstLine="420" w:firstLineChars="200"/>
        <w:jc w:val="left"/>
        <w:rPr>
          <w:rFonts w:ascii="宋体" w:hAnsi="宋体"/>
          <w:szCs w:val="21"/>
        </w:rPr>
      </w:pPr>
      <w:permStart w:id="28" w:edGrp="everyone"/>
      <w:r>
        <w:rPr>
          <w:rFonts w:hint="eastAsia" w:ascii="宋体" w:hAnsi="宋体"/>
          <w:szCs w:val="21"/>
          <w:lang w:eastAsia="zh-CN"/>
        </w:rPr>
        <w:t>□</w:t>
      </w:r>
      <w:permEnd w:id="28"/>
      <w:r>
        <w:rPr>
          <w:rFonts w:hint="eastAsia" w:ascii="宋体" w:hAnsi="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4BEE143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8.2 货物到现场后由乙方负责保管，相关费用已包含在合同金额中，货物保管义务及其毁损、灭失等风险及自甲方或甲方用户验收合格后转移至甲方。</w:t>
      </w:r>
    </w:p>
    <w:p w14:paraId="4511B0AC">
      <w:pPr>
        <w:adjustRightInd w:val="0"/>
        <w:snapToGrid w:val="0"/>
        <w:spacing w:line="360" w:lineRule="auto"/>
        <w:ind w:firstLine="420" w:firstLineChars="200"/>
        <w:jc w:val="left"/>
        <w:rPr>
          <w:rFonts w:ascii="宋体" w:hAnsi="宋体"/>
          <w:szCs w:val="21"/>
          <w:highlight w:val="cyan"/>
        </w:rPr>
      </w:pPr>
      <w:r>
        <w:rPr>
          <w:rFonts w:ascii="宋体" w:hAnsi="宋体"/>
          <w:szCs w:val="21"/>
        </w:rPr>
        <w:t xml:space="preserve">8.3 </w:t>
      </w:r>
      <w:r>
        <w:rPr>
          <w:rFonts w:hint="eastAsia" w:ascii="宋体" w:hAnsi="宋体"/>
          <w:szCs w:val="21"/>
        </w:rPr>
        <w:t>乙方知悉并认可，甲方或甲方用户对货物验收合格，仍不免除乙方在后续阶段及质保期内应当承担的质量保证责任。</w:t>
      </w:r>
    </w:p>
    <w:p w14:paraId="60CA25D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2BC2B82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8.5</w:t>
      </w:r>
      <w:r>
        <w:rPr>
          <w:rFonts w:ascii="宋体" w:hAnsi="宋体"/>
          <w:szCs w:val="21"/>
        </w:rPr>
        <w:t xml:space="preserve"> </w:t>
      </w:r>
      <w:r>
        <w:rPr>
          <w:rFonts w:hint="eastAsia" w:ascii="宋体" w:hAnsi="宋体"/>
          <w:szCs w:val="21"/>
        </w:rPr>
        <w:t>如</w:t>
      </w:r>
      <w:r>
        <w:rPr>
          <w:rFonts w:hint="eastAsia" w:ascii="宋体" w:hAnsi="宋体"/>
          <w:szCs w:val="21"/>
          <w:lang w:val="en-US" w:eastAsia="zh-CN"/>
        </w:rPr>
        <w:t>甲乙</w:t>
      </w:r>
      <w:r>
        <w:rPr>
          <w:rFonts w:hint="eastAsia" w:ascii="宋体" w:hAnsi="宋体"/>
          <w:szCs w:val="21"/>
        </w:rPr>
        <w:t>双方对货物质量等问题产生争议，可委托具有相应资质的第三方进行检验，鉴定结果对双方具有约束力。若鉴定结果为不合格，甲方有权要求乙方承担检验鉴定费用并按照合同第十二条约定承担违约责任。货物质量的争议不免除或影响乙方的及时保修或者维修义务。</w:t>
      </w:r>
      <w:r>
        <w:rPr>
          <w:rFonts w:hint="eastAsia" w:ascii="宋体" w:hAnsi="宋体"/>
          <w:szCs w:val="21"/>
          <w:lang w:val="en-US" w:eastAsia="zh-CN"/>
        </w:rPr>
        <w:t>乙方</w:t>
      </w:r>
      <w:r>
        <w:rPr>
          <w:rFonts w:hint="eastAsia" w:ascii="宋体" w:hAnsi="宋体"/>
          <w:szCs w:val="21"/>
        </w:rPr>
        <w:t>需接受并服从甲方或甲方用户的管理与监督。</w:t>
      </w:r>
    </w:p>
    <w:p w14:paraId="1D4125BA">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第九条  付款方式</w:t>
      </w:r>
    </w:p>
    <w:p w14:paraId="18F45CD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9.1 甲方通过</w:t>
      </w:r>
      <w:permStart w:id="29" w:edGrp="everyone"/>
      <w:r>
        <w:rPr>
          <w:rFonts w:ascii="宋体" w:hAnsi="宋体"/>
          <w:szCs w:val="21"/>
        </w:rPr>
        <w:sym w:font="Wingdings" w:char="00FE"/>
      </w:r>
      <w:permEnd w:id="29"/>
      <w:r>
        <w:rPr>
          <w:rFonts w:hint="eastAsia" w:ascii="宋体" w:hAnsi="宋体"/>
          <w:szCs w:val="21"/>
        </w:rPr>
        <w:t>银行转账；</w:t>
      </w:r>
      <w:permStart w:id="30" w:edGrp="everyone"/>
      <w:r>
        <w:rPr>
          <w:rFonts w:hint="eastAsia" w:ascii="宋体" w:hAnsi="宋体"/>
          <w:szCs w:val="21"/>
          <w:lang w:eastAsia="zh-CN"/>
        </w:rPr>
        <w:t>☑</w:t>
      </w:r>
      <w:permEnd w:id="30"/>
      <w:r>
        <w:rPr>
          <w:rFonts w:hint="eastAsia" w:ascii="宋体" w:hAnsi="宋体"/>
          <w:szCs w:val="21"/>
        </w:rPr>
        <w:t>银行承兑汇票；</w:t>
      </w:r>
      <w:permStart w:id="31" w:edGrp="everyone"/>
      <w:r>
        <w:rPr>
          <w:rFonts w:hint="eastAsia" w:ascii="宋体" w:hAnsi="宋体"/>
          <w:szCs w:val="21"/>
        </w:rPr>
        <w:t>□</w:t>
      </w:r>
      <w:permEnd w:id="31"/>
      <w:r>
        <w:rPr>
          <w:rFonts w:hint="eastAsia" w:ascii="宋体" w:hAnsi="宋体"/>
          <w:szCs w:val="21"/>
        </w:rPr>
        <w:t>其他</w:t>
      </w:r>
      <w:permStart w:id="32"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ermEnd w:id="32"/>
      <w:r>
        <w:rPr>
          <w:rFonts w:hint="eastAsia" w:ascii="宋体" w:hAnsi="宋体"/>
          <w:szCs w:val="21"/>
        </w:rPr>
        <w:t>，并按照以下第</w:t>
      </w:r>
      <w:permStart w:id="33" w:edGrp="everyone"/>
      <w:r>
        <w:rPr>
          <w:rFonts w:hint="eastAsia" w:ascii="宋体" w:hAnsi="宋体"/>
          <w:szCs w:val="21"/>
        </w:rPr>
        <w:t xml:space="preserve"> 9.1.2 款约定，向乙方支付合同价款：</w:t>
      </w:r>
      <w:permEnd w:id="33"/>
    </w:p>
    <w:p w14:paraId="725375F6">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rPr>
        <w:t>9.1.1 货到付款：产品设备全部到货经甲方或甲方用户验收合</w:t>
      </w:r>
      <w:r>
        <w:rPr>
          <w:rFonts w:hint="eastAsia" w:ascii="宋体" w:hAnsi="宋体"/>
          <w:bCs/>
          <w:szCs w:val="21"/>
        </w:rPr>
        <w:t>格，</w:t>
      </w:r>
      <w:r>
        <w:rPr>
          <w:rFonts w:hint="eastAsia" w:ascii="宋体" w:hAnsi="宋体"/>
          <w:szCs w:val="21"/>
        </w:rPr>
        <w:t>甲方在收到乙方提供的发票</w:t>
      </w:r>
      <w:r>
        <w:rPr>
          <w:rFonts w:hint="eastAsia" w:ascii="宋体" w:hAnsi="宋体"/>
          <w:bCs/>
          <w:szCs w:val="21"/>
        </w:rPr>
        <w:t>后</w:t>
      </w:r>
      <w:permStart w:id="34" w:edGrp="everyone"/>
      <w:r>
        <w:rPr>
          <w:rFonts w:hint="eastAsia" w:ascii="宋体" w:hAnsi="宋体"/>
          <w:bCs/>
          <w:szCs w:val="21"/>
          <w:u w:val="single"/>
        </w:rPr>
        <w:t xml:space="preserve"> </w:t>
      </w:r>
      <w:r>
        <w:rPr>
          <w:rFonts w:ascii="宋体" w:hAnsi="宋体"/>
          <w:bCs/>
          <w:szCs w:val="21"/>
          <w:u w:val="single"/>
        </w:rPr>
        <w:t xml:space="preserve">/ </w:t>
      </w:r>
      <w:permEnd w:id="34"/>
      <w:r>
        <w:rPr>
          <w:rFonts w:hint="eastAsia" w:ascii="宋体" w:hAnsi="宋体"/>
          <w:bCs/>
          <w:szCs w:val="21"/>
        </w:rPr>
        <w:t>个工作日内</w:t>
      </w:r>
      <w:r>
        <w:rPr>
          <w:rFonts w:hint="eastAsia" w:ascii="宋体" w:hAnsi="宋体"/>
          <w:szCs w:val="21"/>
        </w:rPr>
        <w:t>（以发票签收日期为起算日），甲方向乙方支付</w:t>
      </w:r>
      <w:r>
        <w:rPr>
          <w:rFonts w:ascii="宋体" w:hAnsi="宋体"/>
          <w:szCs w:val="21"/>
        </w:rPr>
        <w:t>合</w:t>
      </w:r>
      <w:r>
        <w:rPr>
          <w:rFonts w:hint="eastAsia" w:ascii="宋体" w:hAnsi="宋体"/>
          <w:szCs w:val="21"/>
        </w:rPr>
        <w:t>同总金额的</w:t>
      </w:r>
      <w:permStart w:id="35"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35"/>
      <w:r>
        <w:rPr>
          <w:rFonts w:hint="eastAsia" w:ascii="宋体" w:hAnsi="宋体"/>
          <w:szCs w:val="21"/>
        </w:rPr>
        <w:t>，即人民币：</w:t>
      </w:r>
      <w:permStart w:id="36"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元  </w:t>
      </w:r>
      <w:permEnd w:id="36"/>
      <w:r>
        <w:rPr>
          <w:rFonts w:hint="eastAsia" w:ascii="宋体" w:hAnsi="宋体"/>
          <w:szCs w:val="21"/>
        </w:rPr>
        <w:t>；剩余</w:t>
      </w:r>
      <w:permStart w:id="37" w:edGrp="everyone"/>
      <w:r>
        <w:rPr>
          <w:rFonts w:hint="eastAsia" w:ascii="宋体" w:hAnsi="宋体"/>
          <w:szCs w:val="21"/>
          <w:u w:val="single"/>
        </w:rPr>
        <w:t xml:space="preserve">  /  </w:t>
      </w:r>
      <w:permEnd w:id="37"/>
      <w:r>
        <w:rPr>
          <w:rFonts w:hint="eastAsia" w:ascii="宋体" w:hAnsi="宋体"/>
          <w:szCs w:val="21"/>
        </w:rPr>
        <w:t>%作为质保金，甲方在质保期届满后货物无任何质量问题且乙方无任何违约行为的情况下，</w:t>
      </w:r>
      <w:permStart w:id="38" w:edGrp="everyone"/>
      <w:r>
        <w:rPr>
          <w:rFonts w:hint="eastAsia" w:ascii="宋体" w:hAnsi="宋体"/>
          <w:szCs w:val="21"/>
          <w:u w:val="single"/>
        </w:rPr>
        <w:t xml:space="preserve">  / </w:t>
      </w:r>
      <w:permEnd w:id="38"/>
      <w:r>
        <w:rPr>
          <w:rFonts w:hint="eastAsia" w:ascii="宋体" w:hAnsi="宋体"/>
          <w:szCs w:val="21"/>
        </w:rPr>
        <w:t>个工作</w:t>
      </w:r>
      <w:r>
        <w:rPr>
          <w:rFonts w:hint="eastAsia" w:ascii="宋体" w:hAnsi="宋体"/>
          <w:szCs w:val="21"/>
          <w:highlight w:val="none"/>
        </w:rPr>
        <w:t>日内将剩余质保金一次性无息支付；</w:t>
      </w:r>
    </w:p>
    <w:p w14:paraId="45D5B1D9">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9.1.2 付款方式：</w:t>
      </w:r>
    </w:p>
    <w:p w14:paraId="06456CCF">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lang w:val="en-US" w:eastAsia="zh-CN"/>
        </w:rPr>
        <w:t>（1）</w:t>
      </w:r>
      <w:r>
        <w:rPr>
          <w:rFonts w:hint="eastAsia" w:ascii="宋体" w:hAnsi="宋体"/>
          <w:szCs w:val="21"/>
          <w:highlight w:val="none"/>
        </w:rPr>
        <w:t>甲乙双方约定合同总金额的</w:t>
      </w:r>
      <w:permStart w:id="39"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20</w:t>
      </w:r>
      <w:r>
        <w:rPr>
          <w:rFonts w:hint="eastAsia" w:ascii="宋体" w:hAnsi="宋体"/>
          <w:szCs w:val="21"/>
          <w:highlight w:val="none"/>
        </w:rPr>
        <w:t>%</w:t>
      </w:r>
      <w:permEnd w:id="39"/>
      <w:r>
        <w:rPr>
          <w:rFonts w:hint="eastAsia" w:ascii="宋体" w:hAnsi="宋体"/>
          <w:szCs w:val="21"/>
          <w:highlight w:val="none"/>
        </w:rPr>
        <w:t>，即人民币</w:t>
      </w:r>
      <w:permStart w:id="40"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permEnd w:id="40"/>
      <w:r>
        <w:rPr>
          <w:rFonts w:hint="eastAsia" w:ascii="宋体" w:hAnsi="宋体"/>
          <w:szCs w:val="21"/>
          <w:highlight w:val="none"/>
        </w:rPr>
        <w:t>元，作为预付款。预付款应在合同生效后支付。</w:t>
      </w:r>
    </w:p>
    <w:p w14:paraId="502D7EA7">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（2）</w:t>
      </w:r>
      <w:r>
        <w:rPr>
          <w:rFonts w:hint="eastAsia" w:ascii="宋体" w:hAnsi="宋体"/>
          <w:szCs w:val="21"/>
          <w:lang w:val="en-US" w:eastAsia="zh-CN"/>
        </w:rPr>
        <w:t>甲方应</w:t>
      </w:r>
      <w:r>
        <w:rPr>
          <w:rFonts w:hint="default" w:ascii="宋体" w:hAnsi="宋体"/>
          <w:szCs w:val="21"/>
          <w:lang w:val="en-US" w:eastAsia="zh-CN"/>
        </w:rPr>
        <w:t>按审核的</w:t>
      </w:r>
      <w:r>
        <w:rPr>
          <w:rFonts w:hint="eastAsia" w:ascii="宋体" w:hAnsi="宋体"/>
          <w:szCs w:val="21"/>
          <w:lang w:val="en-US" w:eastAsia="zh-CN"/>
        </w:rPr>
        <w:t>每个计量周期</w:t>
      </w:r>
      <w:r>
        <w:rPr>
          <w:rFonts w:hint="default" w:ascii="宋体" w:hAnsi="宋体"/>
          <w:szCs w:val="21"/>
          <w:lang w:val="en-US" w:eastAsia="zh-CN"/>
        </w:rPr>
        <w:t>工程量支付工程进度款</w:t>
      </w:r>
      <w:r>
        <w:rPr>
          <w:rFonts w:hint="eastAsia" w:ascii="宋体" w:hAnsi="宋体"/>
          <w:szCs w:val="21"/>
          <w:lang w:val="en-US" w:eastAsia="zh-CN"/>
        </w:rPr>
        <w:t>，</w:t>
      </w:r>
      <w:r>
        <w:rPr>
          <w:rFonts w:hint="default" w:ascii="宋体" w:hAnsi="宋体"/>
          <w:szCs w:val="21"/>
          <w:lang w:val="en-US" w:eastAsia="zh-CN"/>
        </w:rPr>
        <w:t>累计进度款支付至合同价款的80%时，停止支付</w:t>
      </w:r>
      <w:r>
        <w:rPr>
          <w:rFonts w:hint="eastAsia" w:ascii="宋体" w:hAnsi="宋体"/>
          <w:szCs w:val="21"/>
          <w:lang w:val="en-US" w:eastAsia="zh-CN"/>
        </w:rPr>
        <w:t>；</w:t>
      </w:r>
    </w:p>
    <w:p w14:paraId="5E7A738E">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（3）本工程竣工验收合格后安装调试完毕并验收合格、能正常运行交付使用后支付至合同额的90%</w:t>
      </w:r>
      <w:r>
        <w:rPr>
          <w:rFonts w:hint="eastAsia" w:ascii="宋体" w:hAnsi="宋体" w:eastAsia="宋体" w:cs="Times New Roman"/>
          <w:szCs w:val="21"/>
          <w:highlight w:val="none"/>
          <w:lang w:val="en-US" w:eastAsia="zh-CN"/>
        </w:rPr>
        <w:t>；</w:t>
      </w:r>
    </w:p>
    <w:p w14:paraId="6FA5017D">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（4）工程竣工复核审计结束后支付至工程审定价的97%，留工程结算审定价的3%作为质保金，待质保期结束无任何质量问题的情况下，一次性无息付清</w:t>
      </w:r>
      <w:r>
        <w:rPr>
          <w:rFonts w:hint="eastAsia" w:ascii="宋体" w:hAnsi="宋体" w:eastAsia="宋体" w:cs="Times New Roman"/>
          <w:szCs w:val="21"/>
          <w:highlight w:val="none"/>
          <w:lang w:val="en-US" w:eastAsia="zh-CN"/>
        </w:rPr>
        <w:t>；</w:t>
      </w:r>
    </w:p>
    <w:p w14:paraId="7D0EA5E5">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甲方付款前，乙方须提供合同全额、合法增值税专用发票、支付手续、请款函及相关工程档案资料并送达甲方。乙方收到上述材料</w:t>
      </w:r>
      <w:r>
        <w:rPr>
          <w:rFonts w:ascii="宋体" w:hAnsi="宋体"/>
          <w:szCs w:val="21"/>
          <w:highlight w:val="none"/>
          <w:u w:val="single"/>
        </w:rPr>
        <w:t xml:space="preserve"> 5 </w:t>
      </w:r>
      <w:r>
        <w:rPr>
          <w:rFonts w:hint="eastAsia" w:ascii="宋体" w:hAnsi="宋体"/>
          <w:szCs w:val="21"/>
          <w:highlight w:val="none"/>
        </w:rPr>
        <w:t>个工作日内应向乙方付款。</w:t>
      </w:r>
    </w:p>
    <w:p w14:paraId="536238E1">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9</w:t>
      </w:r>
      <w:r>
        <w:rPr>
          <w:rFonts w:ascii="宋体" w:hAnsi="宋体"/>
          <w:szCs w:val="21"/>
          <w:highlight w:val="none"/>
        </w:rPr>
        <w:t xml:space="preserve">.1.3 </w:t>
      </w:r>
      <w:r>
        <w:rPr>
          <w:rFonts w:hint="eastAsia" w:ascii="宋体" w:hAnsi="宋体"/>
          <w:szCs w:val="21"/>
          <w:highlight w:val="none"/>
        </w:rPr>
        <w:t>因工程项目现场需要采购本合同项下的货物，甲方在收到甲方用户支付对应款项后</w:t>
      </w:r>
      <w:permStart w:id="41" w:edGrp="everyone"/>
      <w:r>
        <w:rPr>
          <w:rFonts w:hint="eastAsia" w:ascii="宋体" w:hAnsi="宋体"/>
          <w:szCs w:val="21"/>
          <w:highlight w:val="none"/>
          <w:u w:val="single"/>
        </w:rPr>
        <w:t xml:space="preserve"> </w:t>
      </w:r>
      <w:r>
        <w:rPr>
          <w:rFonts w:ascii="宋体" w:hAnsi="宋体"/>
          <w:szCs w:val="21"/>
          <w:highlight w:val="none"/>
          <w:u w:val="single"/>
        </w:rPr>
        <w:t xml:space="preserve">5 </w:t>
      </w:r>
      <w:permEnd w:id="41"/>
      <w:r>
        <w:rPr>
          <w:rFonts w:hint="eastAsia" w:ascii="宋体" w:hAnsi="宋体"/>
          <w:szCs w:val="21"/>
          <w:highlight w:val="none"/>
        </w:rPr>
        <w:t>个工作日内向乙方进行同比例支付；</w:t>
      </w:r>
    </w:p>
    <w:p w14:paraId="6F5BD4AE">
      <w:pPr>
        <w:adjustRightInd w:val="0"/>
        <w:snapToGrid w:val="0"/>
        <w:spacing w:line="360" w:lineRule="auto"/>
        <w:ind w:firstLine="420" w:firstLineChars="200"/>
        <w:jc w:val="left"/>
        <w:rPr>
          <w:rFonts w:hint="eastAsia" w:ascii="宋体" w:hAnsi="宋体"/>
          <w:szCs w:val="21"/>
          <w:highlight w:val="none"/>
          <w:u w:val="single"/>
        </w:rPr>
      </w:pPr>
      <w:r>
        <w:rPr>
          <w:rFonts w:hint="eastAsia" w:ascii="宋体" w:hAnsi="宋体"/>
          <w:szCs w:val="21"/>
          <w:highlight w:val="none"/>
        </w:rPr>
        <w:t>9.1.4 其他付款方式：</w:t>
      </w:r>
      <w:permStart w:id="42" w:edGrp="everyone"/>
      <w:r>
        <w:rPr>
          <w:rFonts w:hint="eastAsia" w:ascii="宋体" w:hAnsi="宋体"/>
          <w:szCs w:val="21"/>
          <w:highlight w:val="none"/>
          <w:u w:val="single"/>
        </w:rPr>
        <w:t xml:space="preserve"> /  </w:t>
      </w:r>
      <w:permEnd w:id="42"/>
      <w:r>
        <w:rPr>
          <w:rFonts w:hint="eastAsia" w:ascii="宋体" w:hAnsi="宋体"/>
          <w:szCs w:val="21"/>
          <w:highlight w:val="none"/>
        </w:rPr>
        <w:t>。</w:t>
      </w:r>
    </w:p>
    <w:p w14:paraId="0A230611">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9.2 以上每次付款，乙方均应当开具税率</w:t>
      </w:r>
      <w:permStart w:id="43"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13%</w:t>
      </w:r>
      <w:r>
        <w:rPr>
          <w:rFonts w:hint="eastAsia" w:ascii="宋体" w:hAnsi="宋体"/>
          <w:szCs w:val="21"/>
          <w:highlight w:val="yellow"/>
          <w:u w:val="single"/>
        </w:rPr>
        <w:t xml:space="preserve"> </w:t>
      </w:r>
      <w:r>
        <w:rPr>
          <w:rFonts w:ascii="宋体" w:hAnsi="宋体"/>
          <w:szCs w:val="21"/>
          <w:highlight w:val="yellow"/>
        </w:rPr>
        <w:sym w:font="Wingdings" w:char="00FE"/>
      </w:r>
      <w:permEnd w:id="43"/>
      <w:r>
        <w:rPr>
          <w:rFonts w:hint="eastAsia" w:ascii="宋体" w:hAnsi="宋体"/>
          <w:szCs w:val="21"/>
        </w:rPr>
        <w:t xml:space="preserve">增值税专用发票 </w:t>
      </w:r>
      <w:permStart w:id="44" w:edGrp="everyone"/>
      <w:r>
        <w:rPr>
          <w:rFonts w:hint="eastAsia" w:ascii="宋体" w:hAnsi="宋体"/>
          <w:szCs w:val="21"/>
        </w:rPr>
        <w:t>□</w:t>
      </w:r>
      <w:permEnd w:id="44"/>
      <w:r>
        <w:rPr>
          <w:rFonts w:hint="eastAsia" w:ascii="宋体" w:hAnsi="宋体"/>
          <w:szCs w:val="21"/>
        </w:rPr>
        <w:t xml:space="preserve">增值税普通发票 </w:t>
      </w:r>
      <w:permStart w:id="45" w:edGrp="everyone"/>
      <w:r>
        <w:rPr>
          <w:rFonts w:hint="eastAsia" w:ascii="宋体" w:hAnsi="宋体"/>
          <w:szCs w:val="21"/>
        </w:rPr>
        <w:t>□</w:t>
      </w:r>
      <w:permEnd w:id="45"/>
      <w:r>
        <w:rPr>
          <w:rFonts w:hint="eastAsia" w:ascii="宋体" w:hAnsi="宋体"/>
          <w:szCs w:val="21"/>
        </w:rPr>
        <w:t>其他类型发票给甲方，付款时间以甲方收到乙方开据发票原件后算起。</w:t>
      </w:r>
    </w:p>
    <w:p w14:paraId="441C10A4">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5E5DBA2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 甲方通过转账方式支付的，应在本合同载明乙方账户信息及甲方开票信息：</w:t>
      </w:r>
    </w:p>
    <w:p w14:paraId="1CC7280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9.4.1 甲方开票信息：</w:t>
      </w:r>
    </w:p>
    <w:p w14:paraId="092889C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公司名称：南京禄口国际机场空港科技有限公司</w:t>
      </w:r>
    </w:p>
    <w:p w14:paraId="12065CE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开户银行：中国银行南京禄口机场支行</w:t>
      </w:r>
    </w:p>
    <w:p w14:paraId="369099E8">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账号：553470001259</w:t>
      </w:r>
    </w:p>
    <w:p w14:paraId="5EBCB025">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纳税人识别号：913200007140930345</w:t>
      </w:r>
    </w:p>
    <w:p w14:paraId="3467D4FD">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电话：025-69820630</w:t>
      </w:r>
    </w:p>
    <w:p w14:paraId="10CED90F">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注册地址：南京禄口国际机场翔鹰二路9号2号办公楼2楼</w:t>
      </w:r>
    </w:p>
    <w:p w14:paraId="5D41EF4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9.4.2 乙方账户信息：</w:t>
      </w:r>
    </w:p>
    <w:p w14:paraId="0AA6DFCC">
      <w:pPr>
        <w:adjustRightInd w:val="0"/>
        <w:snapToGrid w:val="0"/>
        <w:spacing w:line="360" w:lineRule="auto"/>
        <w:ind w:firstLine="840" w:firstLineChars="400"/>
        <w:jc w:val="left"/>
        <w:rPr>
          <w:rFonts w:ascii="宋体" w:hAnsi="宋体"/>
          <w:szCs w:val="21"/>
        </w:rPr>
      </w:pPr>
      <w:r>
        <w:rPr>
          <w:rFonts w:hint="eastAsia" w:ascii="宋体" w:hAnsi="宋体"/>
          <w:szCs w:val="21"/>
        </w:rPr>
        <w:t>公司</w:t>
      </w:r>
      <w:r>
        <w:rPr>
          <w:rFonts w:ascii="宋体" w:hAnsi="宋体"/>
          <w:szCs w:val="21"/>
        </w:rPr>
        <w:t>名称：</w:t>
      </w:r>
      <w:permStart w:id="46" w:edGrp="everyone"/>
      <w:r>
        <w:rPr>
          <w:rFonts w:hint="eastAsia" w:ascii="宋体" w:hAnsi="宋体"/>
          <w:szCs w:val="21"/>
          <w:u w:val="single"/>
        </w:rPr>
        <w:t xml:space="preserve">  </w:t>
      </w:r>
      <w:permEnd w:id="46"/>
    </w:p>
    <w:p w14:paraId="131D2461">
      <w:pPr>
        <w:adjustRightInd w:val="0"/>
        <w:snapToGrid w:val="0"/>
        <w:spacing w:line="360" w:lineRule="auto"/>
        <w:ind w:firstLine="840" w:firstLineChars="400"/>
        <w:jc w:val="left"/>
        <w:rPr>
          <w:rFonts w:ascii="宋体" w:hAnsi="宋体"/>
          <w:szCs w:val="21"/>
        </w:rPr>
      </w:pPr>
      <w:r>
        <w:rPr>
          <w:rFonts w:ascii="宋体" w:hAnsi="宋体"/>
          <w:szCs w:val="21"/>
        </w:rPr>
        <w:t>开户行：</w:t>
      </w:r>
      <w:permStart w:id="47" w:edGrp="everyone"/>
      <w:r>
        <w:rPr>
          <w:rFonts w:hint="eastAsia" w:ascii="宋体" w:hAnsi="宋体"/>
          <w:szCs w:val="21"/>
          <w:u w:val="single"/>
        </w:rPr>
        <w:t xml:space="preserve">  </w:t>
      </w:r>
      <w:permEnd w:id="47"/>
    </w:p>
    <w:p w14:paraId="302918B2">
      <w:pPr>
        <w:adjustRightInd w:val="0"/>
        <w:snapToGrid w:val="0"/>
        <w:spacing w:line="360" w:lineRule="auto"/>
        <w:ind w:firstLine="840" w:firstLineChars="400"/>
        <w:jc w:val="left"/>
        <w:rPr>
          <w:rFonts w:ascii="宋体" w:hAnsi="宋体"/>
          <w:szCs w:val="21"/>
        </w:rPr>
      </w:pPr>
      <w:r>
        <w:rPr>
          <w:rFonts w:ascii="宋体" w:hAnsi="宋体"/>
          <w:szCs w:val="21"/>
        </w:rPr>
        <w:t>账号：</w:t>
      </w:r>
      <w:permStart w:id="48" w:edGrp="everyone"/>
      <w:r>
        <w:rPr>
          <w:rFonts w:hint="eastAsia" w:ascii="宋体" w:hAnsi="宋体"/>
          <w:szCs w:val="21"/>
          <w:u w:val="single"/>
        </w:rPr>
        <w:t xml:space="preserve">  </w:t>
      </w:r>
      <w:permEnd w:id="48"/>
    </w:p>
    <w:p w14:paraId="4B75854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第十条  质量保证及售后服务</w:t>
      </w:r>
    </w:p>
    <w:p w14:paraId="199C4A26">
      <w:pPr>
        <w:numPr>
          <w:ilvl w:val="0"/>
          <w:numId w:val="0"/>
        </w:numPr>
        <w:adjustRightInd w:val="0"/>
        <w:snapToGrid w:val="0"/>
        <w:spacing w:line="360" w:lineRule="auto"/>
        <w:ind w:leftChars="0" w:firstLine="420" w:firstLineChars="200"/>
        <w:jc w:val="left"/>
        <w:rPr>
          <w:rFonts w:hint="eastAsia" w:ascii="宋体" w:hAnsi="宋体"/>
          <w:szCs w:val="21"/>
        </w:rPr>
      </w:pPr>
      <w:r>
        <w:rPr>
          <w:rFonts w:hint="eastAsia" w:ascii="宋体" w:hAnsi="宋体"/>
          <w:szCs w:val="21"/>
          <w:lang w:val="en-US" w:eastAsia="zh-CN"/>
        </w:rPr>
        <w:t xml:space="preserve">10.1 </w:t>
      </w:r>
      <w:r>
        <w:rPr>
          <w:rFonts w:hint="eastAsia" w:ascii="宋体" w:hAnsi="宋体"/>
          <w:szCs w:val="21"/>
          <w:lang w:eastAsia="zh-CN"/>
        </w:rPr>
        <w:t>乙方</w:t>
      </w:r>
      <w:r>
        <w:rPr>
          <w:rFonts w:hint="eastAsia" w:ascii="宋体" w:hAnsi="宋体"/>
          <w:szCs w:val="21"/>
        </w:rPr>
        <w:t>为合同内所供应和安装的所有货物提供为期不少于</w:t>
      </w:r>
      <w:r>
        <w:rPr>
          <w:rFonts w:hint="eastAsia" w:ascii="宋体" w:hAnsi="宋体"/>
          <w:szCs w:val="21"/>
          <w:lang w:val="en-US" w:eastAsia="zh-CN"/>
        </w:rPr>
        <w:t>2</w:t>
      </w:r>
      <w:r>
        <w:rPr>
          <w:rFonts w:hint="eastAsia" w:ascii="宋体" w:hAnsi="宋体"/>
          <w:szCs w:val="21"/>
        </w:rPr>
        <w:t>年的硬件质保。部分设备有特殊要求的，应当满足技术规格书及设备技术参数的要求，以时间较长的为准，时间从本项目工程行业验收合格并移交使用之日起计算。在硬件质保期内，</w:t>
      </w:r>
      <w:r>
        <w:rPr>
          <w:rFonts w:hint="eastAsia" w:ascii="宋体" w:hAnsi="宋体"/>
          <w:szCs w:val="21"/>
          <w:lang w:eastAsia="zh-CN"/>
        </w:rPr>
        <w:t>乙方</w:t>
      </w:r>
      <w:r>
        <w:rPr>
          <w:rFonts w:hint="eastAsia" w:ascii="宋体" w:hAnsi="宋体"/>
          <w:szCs w:val="21"/>
        </w:rPr>
        <w:t>提供 7×24 小时的维护服务。</w:t>
      </w:r>
    </w:p>
    <w:p w14:paraId="72BED073">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10.2 </w:t>
      </w:r>
      <w:r>
        <w:rPr>
          <w:rFonts w:hint="eastAsia" w:ascii="宋体" w:hAnsi="宋体"/>
          <w:szCs w:val="21"/>
          <w:lang w:eastAsia="zh-CN"/>
        </w:rPr>
        <w:t>乙方</w:t>
      </w:r>
      <w:r>
        <w:rPr>
          <w:rFonts w:hint="eastAsia" w:ascii="宋体" w:hAnsi="宋体"/>
          <w:szCs w:val="21"/>
        </w:rPr>
        <w:t>在硬件质保期内保证按</w:t>
      </w:r>
      <w:r>
        <w:rPr>
          <w:rFonts w:hint="eastAsia" w:ascii="宋体" w:hAnsi="宋体"/>
          <w:szCs w:val="21"/>
          <w:lang w:eastAsia="zh-CN"/>
        </w:rPr>
        <w:t>甲方</w:t>
      </w:r>
      <w:r>
        <w:rPr>
          <w:rFonts w:hint="eastAsia" w:ascii="宋体" w:hAnsi="宋体"/>
          <w:szCs w:val="21"/>
        </w:rPr>
        <w:t>的要求免费修理或更换因材料不合格或制造不合格而有缺陷的任何设备及附件(被更换的设备和附件仍按本条款处理)。在修理之后，</w:t>
      </w:r>
      <w:r>
        <w:rPr>
          <w:rFonts w:hint="eastAsia" w:ascii="宋体" w:hAnsi="宋体"/>
          <w:szCs w:val="21"/>
          <w:lang w:eastAsia="zh-CN"/>
        </w:rPr>
        <w:t>乙方</w:t>
      </w:r>
      <w:r>
        <w:rPr>
          <w:rFonts w:hint="eastAsia" w:ascii="宋体" w:hAnsi="宋体"/>
          <w:szCs w:val="21"/>
        </w:rPr>
        <w:t>应将成因、补救措施、完成修理及恢复正常的时间和日期等报告给</w:t>
      </w:r>
      <w:r>
        <w:rPr>
          <w:rFonts w:hint="eastAsia" w:ascii="宋体" w:hAnsi="宋体"/>
          <w:szCs w:val="21"/>
          <w:lang w:eastAsia="zh-CN"/>
        </w:rPr>
        <w:t>甲方</w:t>
      </w:r>
      <w:r>
        <w:rPr>
          <w:rFonts w:hint="eastAsia" w:ascii="宋体" w:hAnsi="宋体"/>
          <w:szCs w:val="21"/>
        </w:rPr>
        <w:t xml:space="preserve">。 </w:t>
      </w:r>
    </w:p>
    <w:p w14:paraId="4CA933B2">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10.3 </w:t>
      </w:r>
      <w:r>
        <w:rPr>
          <w:rFonts w:hint="eastAsia" w:ascii="宋体" w:hAnsi="宋体"/>
          <w:szCs w:val="21"/>
        </w:rPr>
        <w:t>硬件质保期内，</w:t>
      </w:r>
      <w:r>
        <w:rPr>
          <w:rFonts w:hint="eastAsia" w:ascii="宋体" w:hAnsi="宋体"/>
          <w:szCs w:val="21"/>
          <w:lang w:eastAsia="zh-CN"/>
        </w:rPr>
        <w:t>乙方</w:t>
      </w:r>
      <w:r>
        <w:rPr>
          <w:rFonts w:hint="eastAsia" w:ascii="宋体" w:hAnsi="宋体"/>
          <w:szCs w:val="21"/>
        </w:rPr>
        <w:t>应派出相关专业技术人员，每季度访问用户一次，指导</w:t>
      </w:r>
      <w:r>
        <w:rPr>
          <w:rFonts w:hint="eastAsia" w:ascii="宋体" w:hAnsi="宋体"/>
          <w:szCs w:val="21"/>
          <w:lang w:eastAsia="zh-CN"/>
        </w:rPr>
        <w:t>甲方</w:t>
      </w:r>
      <w:r>
        <w:rPr>
          <w:rFonts w:hint="eastAsia" w:ascii="宋体" w:hAnsi="宋体"/>
          <w:szCs w:val="21"/>
        </w:rPr>
        <w:t>对设备的正确使用，并对设备进行检查和维护，同时做好维护记录。 系统设备非</w:t>
      </w:r>
      <w:r>
        <w:rPr>
          <w:rFonts w:hint="eastAsia" w:ascii="宋体" w:hAnsi="宋体"/>
          <w:szCs w:val="21"/>
          <w:lang w:eastAsia="zh-CN"/>
        </w:rPr>
        <w:t>甲方</w:t>
      </w:r>
      <w:r>
        <w:rPr>
          <w:rFonts w:hint="eastAsia" w:ascii="宋体" w:hAnsi="宋体"/>
          <w:szCs w:val="21"/>
        </w:rPr>
        <w:t>原因发生任何故障或损坏，</w:t>
      </w:r>
      <w:r>
        <w:rPr>
          <w:rFonts w:hint="eastAsia" w:ascii="宋体" w:hAnsi="宋体"/>
          <w:szCs w:val="21"/>
          <w:lang w:eastAsia="zh-CN"/>
        </w:rPr>
        <w:t>乙方</w:t>
      </w:r>
      <w:r>
        <w:rPr>
          <w:rFonts w:hint="eastAsia" w:ascii="宋体" w:hAnsi="宋体"/>
          <w:szCs w:val="21"/>
        </w:rPr>
        <w:t>应及时提供替换设备，以保证每年不低于 99.9%的设备可使用率，对故障或损坏的设备，</w:t>
      </w:r>
      <w:r>
        <w:rPr>
          <w:rFonts w:hint="eastAsia" w:ascii="宋体" w:hAnsi="宋体"/>
          <w:szCs w:val="21"/>
          <w:lang w:eastAsia="zh-CN"/>
        </w:rPr>
        <w:t>乙方</w:t>
      </w:r>
      <w:r>
        <w:rPr>
          <w:rFonts w:hint="eastAsia" w:ascii="宋体" w:hAnsi="宋体"/>
          <w:szCs w:val="21"/>
        </w:rPr>
        <w:t>必须负责免费维修或更换，平均维修期限不得超过 15 天，一切费用由</w:t>
      </w:r>
      <w:r>
        <w:rPr>
          <w:rFonts w:hint="eastAsia" w:ascii="宋体" w:hAnsi="宋体"/>
          <w:szCs w:val="21"/>
          <w:lang w:eastAsia="zh-CN"/>
        </w:rPr>
        <w:t>乙方</w:t>
      </w:r>
      <w:r>
        <w:rPr>
          <w:rFonts w:hint="eastAsia" w:ascii="宋体" w:hAnsi="宋体"/>
          <w:szCs w:val="21"/>
        </w:rPr>
        <w:t>承担。</w:t>
      </w:r>
    </w:p>
    <w:p w14:paraId="5ADCD965">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10.4 </w:t>
      </w:r>
      <w:r>
        <w:rPr>
          <w:rFonts w:hint="eastAsia" w:ascii="宋体" w:hAnsi="宋体"/>
          <w:szCs w:val="21"/>
        </w:rPr>
        <w:t>在硬件质保期结束前,须由专业工程师和</w:t>
      </w:r>
      <w:r>
        <w:rPr>
          <w:rFonts w:hint="eastAsia" w:ascii="宋体" w:hAnsi="宋体"/>
          <w:szCs w:val="21"/>
          <w:lang w:eastAsia="zh-CN"/>
        </w:rPr>
        <w:t>甲方</w:t>
      </w:r>
      <w:r>
        <w:rPr>
          <w:rFonts w:hint="eastAsia" w:ascii="宋体" w:hAnsi="宋体"/>
          <w:szCs w:val="21"/>
        </w:rPr>
        <w:t>对整套设备进行一次检查,任何缺陷必须由</w:t>
      </w:r>
      <w:r>
        <w:rPr>
          <w:rFonts w:hint="eastAsia" w:ascii="宋体" w:hAnsi="宋体"/>
          <w:szCs w:val="21"/>
          <w:lang w:eastAsia="zh-CN"/>
        </w:rPr>
        <w:t>乙方</w:t>
      </w:r>
      <w:r>
        <w:rPr>
          <w:rFonts w:hint="eastAsia" w:ascii="宋体" w:hAnsi="宋体"/>
          <w:szCs w:val="21"/>
        </w:rPr>
        <w:t>负责免费修理或更换，硬件质保期自修理或更换完成之日起相应延长，延长质保期的时间为合同约定的质保期时间的一半，如果延长的质保期时间仍在合同约定的质保期内，仍按照合同约定的质保期执行。在修理完成之后，</w:t>
      </w:r>
      <w:r>
        <w:rPr>
          <w:rFonts w:hint="eastAsia" w:ascii="宋体" w:hAnsi="宋体"/>
          <w:szCs w:val="21"/>
          <w:lang w:eastAsia="zh-CN"/>
        </w:rPr>
        <w:t>乙方</w:t>
      </w:r>
      <w:r>
        <w:rPr>
          <w:rFonts w:hint="eastAsia" w:ascii="宋体" w:hAnsi="宋体"/>
          <w:szCs w:val="21"/>
        </w:rPr>
        <w:t>应将缺陷原因、修理内容、完成修理及恢复正常的时间和日期等报告给</w:t>
      </w:r>
      <w:r>
        <w:rPr>
          <w:rFonts w:hint="eastAsia" w:ascii="宋体" w:hAnsi="宋体"/>
          <w:szCs w:val="21"/>
          <w:lang w:eastAsia="zh-CN"/>
        </w:rPr>
        <w:t>甲方</w:t>
      </w:r>
      <w:r>
        <w:rPr>
          <w:rFonts w:hint="eastAsia" w:ascii="宋体" w:hAnsi="宋体"/>
          <w:szCs w:val="21"/>
        </w:rPr>
        <w:t xml:space="preserve">。 </w:t>
      </w:r>
    </w:p>
    <w:p w14:paraId="5C6A5EF2">
      <w:pPr>
        <w:adjustRightInd w:val="0"/>
        <w:snapToGrid w:val="0"/>
        <w:spacing w:line="360" w:lineRule="auto"/>
        <w:ind w:firstLine="420" w:firstLineChars="200"/>
        <w:jc w:val="left"/>
        <w:rPr>
          <w:rFonts w:hint="eastAsia" w:ascii="宋体" w:hAnsi="宋体" w:eastAsia="宋体"/>
          <w:szCs w:val="21"/>
          <w:lang w:val="en-US" w:eastAsia="zh-CN"/>
        </w:rPr>
      </w:pPr>
      <w:r>
        <w:rPr>
          <w:rFonts w:hint="eastAsia" w:ascii="宋体" w:hAnsi="宋体"/>
          <w:szCs w:val="21"/>
          <w:lang w:val="en-US" w:eastAsia="zh-CN"/>
        </w:rPr>
        <w:t xml:space="preserve">10.5 </w:t>
      </w:r>
      <w:r>
        <w:rPr>
          <w:rFonts w:hint="eastAsia" w:ascii="宋体" w:hAnsi="宋体"/>
          <w:szCs w:val="21"/>
          <w:lang w:eastAsia="zh-CN"/>
        </w:rPr>
        <w:t>乙方</w:t>
      </w:r>
      <w:r>
        <w:rPr>
          <w:rFonts w:hint="eastAsia" w:ascii="宋体" w:hAnsi="宋体"/>
          <w:szCs w:val="21"/>
        </w:rPr>
        <w:t>在</w:t>
      </w:r>
      <w:r>
        <w:rPr>
          <w:rFonts w:hint="eastAsia" w:ascii="宋体" w:hAnsi="宋体"/>
          <w:szCs w:val="21"/>
          <w:lang w:val="en-US" w:eastAsia="zh-CN"/>
        </w:rPr>
        <w:t>扬州</w:t>
      </w:r>
      <w:r>
        <w:rPr>
          <w:rFonts w:hint="eastAsia" w:ascii="宋体" w:hAnsi="宋体"/>
          <w:szCs w:val="21"/>
        </w:rPr>
        <w:t>市应设立常驻维修机构，处理所有维修服务和技术支持服务。该服务必须是每天 24 小时提供的，在接到报修通知后 4 小时内赶到现场，及时响应</w:t>
      </w:r>
      <w:r>
        <w:rPr>
          <w:rFonts w:hint="eastAsia" w:ascii="宋体" w:hAnsi="宋体"/>
          <w:szCs w:val="21"/>
          <w:lang w:eastAsia="zh-CN"/>
        </w:rPr>
        <w:t>甲方</w:t>
      </w:r>
      <w:r>
        <w:rPr>
          <w:rFonts w:hint="eastAsia" w:ascii="宋体" w:hAnsi="宋体"/>
          <w:szCs w:val="21"/>
        </w:rPr>
        <w:t>的请求，协助</w:t>
      </w:r>
      <w:r>
        <w:rPr>
          <w:rFonts w:hint="eastAsia" w:ascii="宋体" w:hAnsi="宋体"/>
          <w:szCs w:val="21"/>
          <w:lang w:eastAsia="zh-CN"/>
        </w:rPr>
        <w:t>甲方</w:t>
      </w:r>
      <w:r>
        <w:rPr>
          <w:rFonts w:hint="eastAsia" w:ascii="宋体" w:hAnsi="宋体"/>
          <w:szCs w:val="21"/>
        </w:rPr>
        <w:t>处理有关维护和技术问题，并必须连续进行，直至故障排除完全恢复正常服务为止。该维修机构须备有足够的零备件和技术力量，以满足维修需要</w:t>
      </w:r>
      <w:r>
        <w:rPr>
          <w:rFonts w:hint="eastAsia" w:ascii="宋体" w:hAnsi="宋体"/>
          <w:szCs w:val="21"/>
          <w:lang w:eastAsia="zh-CN"/>
        </w:rPr>
        <w:t>。</w:t>
      </w:r>
    </w:p>
    <w:p w14:paraId="182D3481">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10.6 系统软件(操作系统及数据库等) 质保期不少于 36 个月，5 年系统版本升级、URL 库及应用特征库升级许可。</w:t>
      </w:r>
    </w:p>
    <w:p w14:paraId="335DD17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10.</w:t>
      </w:r>
      <w:r>
        <w:rPr>
          <w:rFonts w:hint="eastAsia" w:ascii="宋体" w:hAnsi="宋体"/>
          <w:szCs w:val="21"/>
          <w:lang w:val="en-US" w:eastAsia="zh-CN"/>
        </w:rPr>
        <w:t>7</w:t>
      </w:r>
      <w:r>
        <w:rPr>
          <w:rFonts w:hint="eastAsia" w:ascii="宋体" w:hAnsi="宋体"/>
          <w:szCs w:val="21"/>
        </w:rPr>
        <w:t xml:space="preserve"> 如果乙方没有履行本合同的质保责任、售后服务义务，甲方有权向第三方进行购买，因此产生的费用由乙方承担。每出现一次违约情形，乙方应按合同总金额的5%向甲方支付违约金。</w:t>
      </w:r>
    </w:p>
    <w:p w14:paraId="27993565">
      <w:pPr>
        <w:adjustRightInd w:val="0"/>
        <w:snapToGrid w:val="0"/>
        <w:spacing w:line="360" w:lineRule="auto"/>
        <w:ind w:firstLine="420" w:firstLineChars="200"/>
        <w:jc w:val="left"/>
        <w:rPr>
          <w:rFonts w:hint="eastAsia"/>
        </w:rPr>
      </w:pPr>
      <w:r>
        <w:rPr>
          <w:rFonts w:hint="eastAsia" w:ascii="宋体" w:hAnsi="宋体"/>
          <w:szCs w:val="21"/>
        </w:rPr>
        <w:t>10.</w:t>
      </w:r>
      <w:r>
        <w:rPr>
          <w:rFonts w:hint="eastAsia" w:ascii="宋体" w:hAnsi="宋体"/>
          <w:szCs w:val="21"/>
          <w:lang w:val="en-US" w:eastAsia="zh-CN"/>
        </w:rPr>
        <w:t>8</w:t>
      </w:r>
      <w:r>
        <w:rPr>
          <w:rFonts w:hint="eastAsia"/>
        </w:rPr>
        <w:t>乙方承诺由其委托的第三方进行售后服务的，也按第十一条的约定履行质保售后服务。乙方对第三方的质保、售后服务承担连带责任。</w:t>
      </w:r>
    </w:p>
    <w:p w14:paraId="678228E4">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第十一条  违约责任及索赔</w:t>
      </w:r>
    </w:p>
    <w:p w14:paraId="4F576DA3">
      <w:pPr>
        <w:adjustRightInd w:val="0"/>
        <w:snapToGrid w:val="0"/>
        <w:spacing w:line="360" w:lineRule="auto"/>
        <w:ind w:firstLine="420" w:firstLineChars="200"/>
        <w:jc w:val="left"/>
        <w:rPr>
          <w:rFonts w:ascii="宋体" w:hAnsi="宋体"/>
          <w:szCs w:val="21"/>
        </w:rPr>
      </w:pPr>
      <w:r>
        <w:rPr>
          <w:rFonts w:hint="eastAsia" w:ascii="宋体" w:hAnsi="宋体"/>
          <w:szCs w:val="21"/>
        </w:rPr>
        <w:t>11.1 如果乙方</w:t>
      </w:r>
      <w:r>
        <w:rPr>
          <w:rFonts w:hint="eastAsia" w:ascii="宋体" w:hAnsi="宋体"/>
          <w:bCs/>
          <w:szCs w:val="21"/>
        </w:rPr>
        <w:t>没有按照合同约定的期限足额交货</w:t>
      </w:r>
      <w:r>
        <w:rPr>
          <w:rFonts w:hint="eastAsia" w:ascii="宋体" w:hAnsi="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09AEC6B5">
      <w:pPr>
        <w:adjustRightInd w:val="0"/>
        <w:snapToGrid w:val="0"/>
        <w:spacing w:line="360" w:lineRule="auto"/>
        <w:ind w:firstLine="420" w:firstLineChars="200"/>
        <w:jc w:val="left"/>
        <w:rPr>
          <w:rFonts w:ascii="宋体" w:hAnsi="宋体"/>
          <w:szCs w:val="21"/>
        </w:rPr>
      </w:pPr>
      <w:r>
        <w:rPr>
          <w:rFonts w:hint="eastAsia" w:ascii="宋体" w:hAnsi="宋体"/>
          <w:szCs w:val="21"/>
        </w:rPr>
        <w:t>11.2 乙方在交货时未按合同约定</w:t>
      </w:r>
      <w:r>
        <w:rPr>
          <w:rFonts w:hint="eastAsia" w:ascii="宋体" w:hAnsi="宋体"/>
          <w:bCs/>
          <w:szCs w:val="21"/>
        </w:rPr>
        <w:t>提供相应附随资料、伪造附随资料</w:t>
      </w:r>
      <w:r>
        <w:rPr>
          <w:rFonts w:hint="eastAsia" w:ascii="宋体" w:hAnsi="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281AE3C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 乙方交付的</w:t>
      </w:r>
      <w:r>
        <w:rPr>
          <w:rFonts w:hint="eastAsia" w:ascii="宋体" w:hAnsi="宋体"/>
          <w:bCs/>
          <w:szCs w:val="21"/>
        </w:rPr>
        <w:t>货物因不满足第十一条质量保证条款，或因各种原因未在甲方或甲方用户规定的时间内通过试运行或验收</w:t>
      </w:r>
      <w:r>
        <w:rPr>
          <w:rFonts w:hint="eastAsia" w:ascii="宋体" w:hAnsi="宋体"/>
          <w:szCs w:val="21"/>
        </w:rPr>
        <w:t>的，甲方有权择其一或同时选择：</w:t>
      </w:r>
    </w:p>
    <w:p w14:paraId="3622FF7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11.3.1 要求乙方继续履行合同</w:t>
      </w:r>
      <w:r>
        <w:rPr>
          <w:rFonts w:ascii="宋体" w:hAnsi="宋体"/>
          <w:szCs w:val="21"/>
        </w:rPr>
        <w:t>并对货物进行维修、修复。经维修、修复后仍不满足要求的，应</w:t>
      </w:r>
      <w:r>
        <w:rPr>
          <w:rFonts w:hint="eastAsia" w:ascii="宋体" w:hAnsi="宋体"/>
          <w:szCs w:val="21"/>
        </w:rPr>
        <w:t>用符合合同约定的规格、质量和性能要求的新零件、部件或货物来更换有缺陷的部分或修补缺陷部分，因此导致逾期交货的，乙方还应当按照本合同第11.1 条承担逾期交货违约金；</w:t>
      </w:r>
    </w:p>
    <w:p w14:paraId="0B8CF44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11.3.2 接受现有货物，并根据货物偏差情况、损坏程度决定降低货物价格，乙方应负责赔偿甲方因此所受的实际损失；</w:t>
      </w:r>
    </w:p>
    <w:p w14:paraId="2CADD1F6">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11.3.3 立即解除本合同并由乙方退还已支付的全部合同款项，乙方承担由此产生的利息、银行手续费、仓储费、装卸费等费用并负责将货物清退离场。</w:t>
      </w:r>
    </w:p>
    <w:p w14:paraId="3BC70A82">
      <w:pPr>
        <w:adjustRightInd w:val="0"/>
        <w:snapToGrid w:val="0"/>
        <w:spacing w:line="360" w:lineRule="auto"/>
        <w:ind w:firstLine="420" w:firstLineChars="200"/>
        <w:jc w:val="left"/>
        <w:rPr>
          <w:rFonts w:ascii="宋体" w:hAnsi="宋体"/>
          <w:szCs w:val="21"/>
        </w:rPr>
      </w:pPr>
      <w:r>
        <w:rPr>
          <w:rFonts w:hint="eastAsia" w:ascii="宋体" w:hAnsi="宋体"/>
          <w:szCs w:val="21"/>
        </w:rPr>
        <w:t>11.4 如果乙方提供的</w:t>
      </w:r>
      <w:r>
        <w:rPr>
          <w:rFonts w:hint="eastAsia" w:ascii="宋体" w:hAnsi="宋体"/>
          <w:bCs/>
          <w:szCs w:val="21"/>
        </w:rPr>
        <w:t>货物有缺陷（包括货物本身质量缺陷和因乙方原因造成的货物缺陷）</w:t>
      </w:r>
      <w:r>
        <w:rPr>
          <w:rFonts w:hint="eastAsia" w:ascii="宋体" w:hAnsi="宋体"/>
          <w:szCs w:val="21"/>
        </w:rPr>
        <w:t>，给甲方或任何第三方造成人身、财产损害的，由乙方承担全部赔偿责任，甲方已垫付赔偿费用的有权向乙方追偿。</w:t>
      </w:r>
    </w:p>
    <w:p w14:paraId="61EF4F2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11.5乙方未按照合同第三条约定履行保密义务，如合同尚未履行完毕，甲方有权与其解除合同并要求其按照本合同第11.8款约定要求其承担违约责任。</w:t>
      </w:r>
    </w:p>
    <w:p w14:paraId="7B839479">
      <w:pPr>
        <w:adjustRightInd w:val="0"/>
        <w:snapToGrid w:val="0"/>
        <w:spacing w:line="360" w:lineRule="auto"/>
        <w:ind w:firstLine="420" w:firstLineChars="200"/>
        <w:jc w:val="left"/>
        <w:rPr>
          <w:rFonts w:ascii="宋体" w:hAnsi="宋体"/>
          <w:szCs w:val="21"/>
        </w:rPr>
      </w:pPr>
      <w:r>
        <w:rPr>
          <w:rFonts w:hint="eastAsia" w:ascii="宋体" w:hAnsi="宋体"/>
          <w:szCs w:val="21"/>
        </w:rPr>
        <w:t>11.</w:t>
      </w:r>
      <w:r>
        <w:rPr>
          <w:rFonts w:ascii="宋体" w:hAnsi="宋体"/>
          <w:szCs w:val="21"/>
        </w:rPr>
        <w:t xml:space="preserve">6 </w:t>
      </w:r>
      <w:r>
        <w:rPr>
          <w:rFonts w:hint="eastAsia" w:ascii="宋体" w:hAnsi="宋体"/>
          <w:szCs w:val="21"/>
        </w:rPr>
        <w:t>如果甲方认为乙方在本合同的竞争和实施过程中有腐败</w:t>
      </w:r>
      <w:r>
        <w:rPr>
          <w:rFonts w:hint="eastAsia" w:ascii="宋体" w:hAnsi="宋体"/>
          <w:b/>
          <w:szCs w:val="21"/>
        </w:rPr>
        <w:t>（</w:t>
      </w:r>
      <w:r>
        <w:rPr>
          <w:rFonts w:hint="eastAsia" w:ascii="宋体" w:hAnsi="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26282F71">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7</w:t>
      </w:r>
      <w:r>
        <w:rPr>
          <w:rFonts w:hint="eastAsia" w:ascii="宋体" w:hAnsi="宋体"/>
          <w:szCs w:val="21"/>
        </w:rPr>
        <w:t xml:space="preserve"> 乙方有</w:t>
      </w:r>
      <w:r>
        <w:rPr>
          <w:rFonts w:hint="eastAsia" w:ascii="宋体" w:hAnsi="宋体"/>
          <w:bCs/>
          <w:szCs w:val="21"/>
        </w:rPr>
        <w:t>其他违约行为</w:t>
      </w:r>
      <w:r>
        <w:rPr>
          <w:rFonts w:hint="eastAsia" w:ascii="宋体" w:hAnsi="宋体"/>
          <w:szCs w:val="21"/>
        </w:rPr>
        <w:t>且经甲方提出后仍未改正，甲方有权单方面解除合同。</w:t>
      </w:r>
    </w:p>
    <w:p w14:paraId="79CE4D1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 xml:space="preserve">8 </w:t>
      </w:r>
      <w:r>
        <w:rPr>
          <w:rFonts w:hint="eastAsia" w:ascii="宋体" w:hAnsi="宋体"/>
          <w:szCs w:val="21"/>
        </w:rPr>
        <w:t>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29ED845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11.9甲方为追究乙方违约责任而发生的包括但不限于律师费、诉讼费、保全费、调查取证费、鉴定费、差旅费等均由乙方承担。</w:t>
      </w:r>
    </w:p>
    <w:p w14:paraId="32B9441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11.10甲方有权从尚未支付乙方的货款、应退还乙方的质保金、履约保证金中直接扣除应由乙方承担的违约金、赔偿金及维修费等。</w:t>
      </w:r>
    </w:p>
    <w:p w14:paraId="5A86709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11.11 如果甲方</w:t>
      </w:r>
      <w:r>
        <w:rPr>
          <w:rFonts w:hint="eastAsia" w:ascii="宋体" w:hAnsi="宋体"/>
          <w:bCs/>
          <w:szCs w:val="21"/>
        </w:rPr>
        <w:t>未能按合同的要求依时付款</w:t>
      </w:r>
      <w:r>
        <w:rPr>
          <w:rFonts w:hint="eastAsia" w:ascii="宋体" w:hAnsi="宋体"/>
          <w:szCs w:val="21"/>
        </w:rPr>
        <w:t>，应按逾期付款金额每日万分之一的标准，向乙方支付逾期付款的违约金，但最高不能超过本合同的货物总值的5%</w:t>
      </w:r>
      <w:r>
        <w:rPr>
          <w:rFonts w:ascii="宋体" w:hAnsi="宋体"/>
          <w:szCs w:val="21"/>
        </w:rPr>
        <w:t>。</w:t>
      </w:r>
    </w:p>
    <w:p w14:paraId="6E4C7579">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第十二条 </w:t>
      </w:r>
      <w:r>
        <w:rPr>
          <w:b/>
          <w:sz w:val="24"/>
          <w:szCs w:val="24"/>
        </w:rPr>
        <w:t xml:space="preserve"> </w:t>
      </w:r>
      <w:r>
        <w:rPr>
          <w:rFonts w:hint="eastAsia"/>
          <w:b/>
          <w:sz w:val="24"/>
          <w:szCs w:val="24"/>
        </w:rPr>
        <w:t>变更及解除合同</w:t>
      </w:r>
    </w:p>
    <w:p w14:paraId="231215CB">
      <w:pPr>
        <w:pStyle w:val="4"/>
        <w:adjustRightInd w:val="0"/>
        <w:snapToGrid w:val="0"/>
        <w:spacing w:after="0" w:line="360" w:lineRule="auto"/>
        <w:ind w:left="0" w:firstLine="420" w:firstLineChars="200"/>
        <w:jc w:val="left"/>
        <w:outlineLvl w:val="0"/>
        <w:rPr>
          <w:rFonts w:hint="eastAsia" w:ascii="宋体" w:hAnsi="宋体"/>
          <w:szCs w:val="21"/>
        </w:rPr>
      </w:pPr>
      <w:r>
        <w:rPr>
          <w:rFonts w:hint="eastAsia" w:ascii="宋体" w:hAnsi="宋体"/>
          <w:szCs w:val="21"/>
        </w:rPr>
        <w:t>12.1合同履行过程中，甲方有权在任何时候根据实际需要变更下列一项或几项：</w:t>
      </w:r>
    </w:p>
    <w:p w14:paraId="36C696AB">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标的物的规格、型号、参数指标及数量；</w:t>
      </w:r>
    </w:p>
    <w:p w14:paraId="1BE67B14">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运输或包装方法；</w:t>
      </w:r>
    </w:p>
    <w:p w14:paraId="31C92276">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交货地点；</w:t>
      </w:r>
    </w:p>
    <w:p w14:paraId="73E31F1C">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乙方提供的伴随服务。</w:t>
      </w:r>
    </w:p>
    <w:p w14:paraId="5A30EB99">
      <w:pPr>
        <w:pStyle w:val="4"/>
        <w:adjustRightInd w:val="0"/>
        <w:snapToGrid w:val="0"/>
        <w:spacing w:after="0" w:line="360" w:lineRule="auto"/>
        <w:ind w:left="0" w:firstLine="420" w:firstLineChars="200"/>
        <w:jc w:val="left"/>
        <w:outlineLvl w:val="0"/>
        <w:rPr>
          <w:rFonts w:ascii="宋体" w:hAnsi="宋体"/>
          <w:szCs w:val="21"/>
        </w:rPr>
      </w:pPr>
      <w:r>
        <w:rPr>
          <w:rFonts w:hint="eastAsia" w:ascii="宋体" w:hAnsi="宋体"/>
          <w:szCs w:val="21"/>
        </w:rPr>
        <w:t>12.2</w:t>
      </w:r>
      <w:r>
        <w:rPr>
          <w:rFonts w:ascii="宋体" w:hAnsi="宋体"/>
          <w:szCs w:val="21"/>
        </w:rPr>
        <w:t xml:space="preserve"> </w:t>
      </w:r>
      <w:r>
        <w:rPr>
          <w:rFonts w:hint="eastAsia" w:ascii="宋体" w:hAnsi="宋体"/>
          <w:szCs w:val="21"/>
        </w:rPr>
        <w:t>因本合同存在未尽事宜或需要对包含第12.1条在内的合同约定事项进行变更的，双方应另行订立书面补充协议，补充协议将作为本合同的必要组成部分。</w:t>
      </w:r>
    </w:p>
    <w:p w14:paraId="6C37F898">
      <w:pPr>
        <w:pStyle w:val="4"/>
        <w:adjustRightInd w:val="0"/>
        <w:snapToGrid w:val="0"/>
        <w:spacing w:after="0" w:line="360" w:lineRule="auto"/>
        <w:ind w:left="0" w:firstLine="420" w:firstLineChars="200"/>
        <w:jc w:val="left"/>
        <w:outlineLvl w:val="0"/>
        <w:rPr>
          <w:rFonts w:hint="eastAsia" w:ascii="宋体" w:hAnsi="宋体"/>
          <w:szCs w:val="21"/>
        </w:rPr>
      </w:pPr>
      <w:r>
        <w:rPr>
          <w:rFonts w:ascii="宋体" w:hAnsi="宋体"/>
          <w:szCs w:val="21"/>
        </w:rPr>
        <w:t>1</w:t>
      </w:r>
      <w:r>
        <w:rPr>
          <w:rFonts w:hint="eastAsia" w:ascii="宋体" w:hAnsi="宋体"/>
          <w:szCs w:val="21"/>
        </w:rPr>
        <w:t>2</w:t>
      </w:r>
      <w:r>
        <w:rPr>
          <w:rFonts w:ascii="宋体" w:hAnsi="宋体"/>
          <w:szCs w:val="21"/>
        </w:rPr>
        <w:t xml:space="preserve">.3 </w:t>
      </w:r>
      <w:r>
        <w:rPr>
          <w:rFonts w:hint="eastAsia" w:ascii="宋体" w:hAnsi="宋体"/>
          <w:szCs w:val="21"/>
        </w:rPr>
        <w:t>合同履行过程中，甲方有权因政策或环境变化因素、业务需求变化等原因提前解除合同，但应提前通知乙方。合同解除后，尚未履行的部分</w:t>
      </w:r>
      <w:r>
        <w:rPr>
          <w:rFonts w:hint="eastAsia" w:ascii="宋体" w:hAnsi="宋体"/>
          <w:szCs w:val="21"/>
          <w:lang w:val="en-US" w:eastAsia="zh-CN"/>
        </w:rPr>
        <w:t>甲乙</w:t>
      </w:r>
      <w:r>
        <w:rPr>
          <w:rFonts w:hint="eastAsia" w:ascii="宋体" w:hAnsi="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256B8F80">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第十三条 </w:t>
      </w:r>
      <w:r>
        <w:rPr>
          <w:b/>
          <w:sz w:val="24"/>
          <w:szCs w:val="24"/>
        </w:rPr>
        <w:t xml:space="preserve"> </w:t>
      </w:r>
      <w:r>
        <w:rPr>
          <w:rFonts w:hint="eastAsia"/>
          <w:b/>
          <w:sz w:val="24"/>
          <w:szCs w:val="24"/>
        </w:rPr>
        <w:t>转让</w:t>
      </w:r>
    </w:p>
    <w:p w14:paraId="2037F28A">
      <w:pPr>
        <w:adjustRightInd w:val="0"/>
        <w:snapToGrid w:val="0"/>
        <w:spacing w:line="360" w:lineRule="auto"/>
        <w:ind w:left="420" w:leftChars="200"/>
        <w:jc w:val="left"/>
        <w:rPr>
          <w:rFonts w:ascii="宋体" w:hAnsi="宋体"/>
          <w:szCs w:val="21"/>
        </w:rPr>
      </w:pPr>
      <w:r>
        <w:rPr>
          <w:rFonts w:hint="eastAsia" w:ascii="宋体" w:hAnsi="宋体"/>
          <w:szCs w:val="21"/>
        </w:rPr>
        <w:t>未经甲方事先书面同意，乙方不得部分转让或全部转让其应履行的各项合同义务。</w:t>
      </w:r>
    </w:p>
    <w:p w14:paraId="3150EA1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第十四条 </w:t>
      </w:r>
      <w:r>
        <w:rPr>
          <w:b/>
          <w:sz w:val="24"/>
          <w:szCs w:val="24"/>
        </w:rPr>
        <w:t xml:space="preserve"> </w:t>
      </w:r>
      <w:r>
        <w:rPr>
          <w:rFonts w:hint="eastAsia"/>
          <w:b/>
          <w:sz w:val="24"/>
          <w:szCs w:val="24"/>
        </w:rPr>
        <w:t>不可抗力</w:t>
      </w:r>
    </w:p>
    <w:p w14:paraId="4B65C6AD">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14.1 签约双方任何一方由于不可抗力事件的影响而导致双方合同约定事项推迟履行或无法履行时，根据不可抗力的影响，可部分或全部免除责任，但法律另有规定除外</w:t>
      </w:r>
      <w:r>
        <w:rPr>
          <w:rFonts w:ascii="宋体" w:hAnsi="宋体"/>
          <w:szCs w:val="21"/>
        </w:rPr>
        <w:t>。</w:t>
      </w:r>
      <w:r>
        <w:rPr>
          <w:rFonts w:hint="eastAsia" w:ascii="宋体" w:hAnsi="宋体"/>
          <w:szCs w:val="21"/>
        </w:rPr>
        <w:t>不可抗力事件系指</w:t>
      </w:r>
      <w:r>
        <w:rPr>
          <w:rFonts w:hint="eastAsia" w:ascii="宋体" w:hAnsi="宋体"/>
          <w:szCs w:val="21"/>
          <w:lang w:val="en-US" w:eastAsia="zh-CN"/>
        </w:rPr>
        <w:t>甲乙</w:t>
      </w:r>
      <w:r>
        <w:rPr>
          <w:rFonts w:hint="eastAsia" w:ascii="宋体" w:hAnsi="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58F4E6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14.2 不可抗力事件发生时，双方有责任尽一切合理的努力消除或减轻此等不可抗力事件的影响。</w:t>
      </w:r>
    </w:p>
    <w:p w14:paraId="5571603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14.3 不可抗力事件发生后，双方应立即通过友好协商就合同是否履行、解除事宜进行协商。</w:t>
      </w:r>
    </w:p>
    <w:p w14:paraId="6B1424AB">
      <w:pPr>
        <w:adjustRightInd w:val="0"/>
        <w:snapToGrid w:val="0"/>
        <w:spacing w:line="360" w:lineRule="auto"/>
        <w:ind w:firstLine="420" w:firstLineChars="200"/>
        <w:jc w:val="left"/>
        <w:rPr>
          <w:rFonts w:ascii="宋体" w:hAnsi="宋体"/>
          <w:szCs w:val="21"/>
        </w:rPr>
      </w:pPr>
      <w:r>
        <w:rPr>
          <w:rFonts w:hint="eastAsia" w:ascii="宋体" w:hAnsi="宋体"/>
          <w:szCs w:val="21"/>
        </w:rPr>
        <w:t>14.4 不可抗力事件发生后，若乙方不愿友好协商，甲方可根据自身情况有权立即解除合同</w:t>
      </w:r>
      <w:r>
        <w:rPr>
          <w:rFonts w:ascii="宋体" w:hAnsi="宋体"/>
          <w:szCs w:val="21"/>
        </w:rPr>
        <w:t>。</w:t>
      </w:r>
    </w:p>
    <w:p w14:paraId="658F6A3E">
      <w:pPr>
        <w:numPr>
          <w:ilvl w:val="1"/>
          <w:numId w:val="0"/>
        </w:numPr>
        <w:adjustRightInd w:val="0"/>
        <w:snapToGrid w:val="0"/>
        <w:spacing w:line="360" w:lineRule="auto"/>
        <w:ind w:left="852" w:hanging="432"/>
        <w:jc w:val="left"/>
        <w:rPr>
          <w:rFonts w:hint="eastAsia"/>
          <w:b/>
          <w:sz w:val="24"/>
          <w:szCs w:val="24"/>
        </w:rPr>
      </w:pPr>
      <w:r>
        <w:rPr>
          <w:rFonts w:ascii="宋体" w:hAnsi="宋体"/>
          <w:szCs w:val="24"/>
        </w:rPr>
        <w:t>1</w:t>
      </w:r>
      <w:r>
        <w:rPr>
          <w:rFonts w:hint="eastAsia" w:ascii="宋体" w:hAnsi="宋体"/>
          <w:szCs w:val="24"/>
        </w:rPr>
        <w:t>4</w:t>
      </w:r>
      <w:r>
        <w:rPr>
          <w:rFonts w:ascii="宋体" w:hAnsi="宋体"/>
          <w:szCs w:val="24"/>
        </w:rPr>
        <w:t>.5</w:t>
      </w:r>
      <w:r>
        <w:rPr>
          <w:rFonts w:ascii="宋体" w:hAnsi="宋体"/>
          <w:szCs w:val="21"/>
        </w:rPr>
        <w:t xml:space="preserve"> </w:t>
      </w:r>
      <w:r>
        <w:rPr>
          <w:rFonts w:hint="eastAsia" w:ascii="宋体" w:hAnsi="宋体"/>
          <w:szCs w:val="21"/>
        </w:rPr>
        <w:t>声明受不可抗力事件影响的一方应在不可抗力事件结束后立即以书面方式告知另一方。</w:t>
      </w:r>
    </w:p>
    <w:p w14:paraId="696FA12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第十五条 </w:t>
      </w:r>
      <w:r>
        <w:rPr>
          <w:b/>
          <w:sz w:val="24"/>
          <w:szCs w:val="24"/>
        </w:rPr>
        <w:t xml:space="preserve"> </w:t>
      </w:r>
      <w:r>
        <w:rPr>
          <w:rFonts w:hint="eastAsia"/>
          <w:b/>
          <w:sz w:val="24"/>
          <w:szCs w:val="24"/>
        </w:rPr>
        <w:t>因破产而终止合同</w:t>
      </w:r>
    </w:p>
    <w:p w14:paraId="490FE8D6">
      <w:pPr>
        <w:adjustRightInd w:val="0"/>
        <w:snapToGrid w:val="0"/>
        <w:spacing w:line="360" w:lineRule="auto"/>
        <w:ind w:firstLine="450"/>
        <w:jc w:val="left"/>
        <w:rPr>
          <w:rFonts w:ascii="宋体" w:hAnsi="宋体"/>
          <w:szCs w:val="21"/>
        </w:rPr>
      </w:pPr>
      <w:r>
        <w:rPr>
          <w:rFonts w:hint="eastAsia" w:ascii="宋体" w:hAnsi="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11E1EA52">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第十六条  适用法律及争议解决方式</w:t>
      </w:r>
    </w:p>
    <w:p w14:paraId="658762FA">
      <w:pPr>
        <w:adjustRightInd w:val="0"/>
        <w:snapToGrid w:val="0"/>
        <w:spacing w:line="360" w:lineRule="auto"/>
        <w:ind w:firstLine="420" w:firstLineChars="200"/>
        <w:jc w:val="left"/>
        <w:rPr>
          <w:rFonts w:ascii="宋体" w:hAnsi="宋体"/>
          <w:szCs w:val="21"/>
        </w:rPr>
      </w:pPr>
      <w:r>
        <w:rPr>
          <w:rFonts w:ascii="宋体" w:hAnsi="宋体"/>
          <w:szCs w:val="21"/>
        </w:rPr>
        <w:t>1</w:t>
      </w:r>
      <w:r>
        <w:rPr>
          <w:rFonts w:hint="eastAsia" w:ascii="宋体" w:hAnsi="宋体"/>
          <w:szCs w:val="21"/>
        </w:rPr>
        <w:t>6</w:t>
      </w:r>
      <w:r>
        <w:rPr>
          <w:rFonts w:ascii="宋体" w:hAnsi="宋体"/>
          <w:szCs w:val="21"/>
        </w:rPr>
        <w:t xml:space="preserve">.1 </w:t>
      </w:r>
      <w:r>
        <w:rPr>
          <w:rFonts w:hint="eastAsia" w:ascii="宋体" w:hAnsi="宋体"/>
          <w:szCs w:val="21"/>
        </w:rPr>
        <w:t>本合同应按照中华人民共和国的法律进行解释。</w:t>
      </w:r>
    </w:p>
    <w:p w14:paraId="1825E302">
      <w:pPr>
        <w:adjustRightInd w:val="0"/>
        <w:snapToGrid w:val="0"/>
        <w:spacing w:line="360" w:lineRule="auto"/>
        <w:ind w:firstLine="420" w:firstLineChars="200"/>
        <w:jc w:val="left"/>
        <w:rPr>
          <w:rFonts w:ascii="宋体" w:hAnsi="宋体"/>
          <w:szCs w:val="21"/>
        </w:rPr>
      </w:pPr>
      <w:r>
        <w:rPr>
          <w:rFonts w:hint="eastAsia" w:ascii="宋体" w:hAnsi="宋体"/>
          <w:szCs w:val="21"/>
        </w:rPr>
        <w:t>16.2</w:t>
      </w:r>
      <w:r>
        <w:rPr>
          <w:rFonts w:ascii="宋体" w:hAnsi="宋体"/>
          <w:szCs w:val="21"/>
        </w:rPr>
        <w:t xml:space="preserve"> </w:t>
      </w:r>
      <w:r>
        <w:rPr>
          <w:rFonts w:hint="eastAsia" w:ascii="宋体" w:hAnsi="宋体"/>
          <w:szCs w:val="21"/>
        </w:rPr>
        <w:t>双方因签订及履行本合同而产生的争议及纠纷，双方应友好协商解决。经协商无法达成一致，任何一方均有权向甲方住所地人民法院提起诉讼。</w:t>
      </w:r>
    </w:p>
    <w:p w14:paraId="4DBE6FC6">
      <w:pPr>
        <w:adjustRightInd w:val="0"/>
        <w:snapToGrid w:val="0"/>
        <w:spacing w:line="360" w:lineRule="auto"/>
        <w:ind w:firstLine="420" w:firstLineChars="200"/>
        <w:jc w:val="left"/>
        <w:rPr>
          <w:rFonts w:hint="eastAsia"/>
          <w:b/>
          <w:sz w:val="24"/>
          <w:szCs w:val="24"/>
        </w:rPr>
      </w:pPr>
      <w:r>
        <w:rPr>
          <w:rFonts w:hint="eastAsia" w:ascii="宋体" w:hAnsi="宋体"/>
          <w:szCs w:val="21"/>
        </w:rPr>
        <w:t>16.3</w:t>
      </w:r>
      <w:r>
        <w:rPr>
          <w:rFonts w:ascii="宋体" w:hAnsi="宋体"/>
          <w:szCs w:val="21"/>
        </w:rPr>
        <w:t xml:space="preserve"> </w:t>
      </w:r>
      <w:r>
        <w:rPr>
          <w:rFonts w:hint="eastAsia" w:ascii="宋体" w:hAnsi="宋体"/>
          <w:szCs w:val="21"/>
        </w:rPr>
        <w:t>在诉讼期间，除因存在争议正在进行诉讼的部分外，甲方有权要求乙方对本合同其它部分继续履行。</w:t>
      </w:r>
    </w:p>
    <w:p w14:paraId="763AFC19">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第十七条  通知及送达</w:t>
      </w:r>
    </w:p>
    <w:p w14:paraId="65B09A62">
      <w:pPr>
        <w:adjustRightInd w:val="0"/>
        <w:snapToGrid w:val="0"/>
        <w:spacing w:line="360" w:lineRule="auto"/>
        <w:ind w:firstLine="420" w:firstLineChars="200"/>
        <w:jc w:val="left"/>
        <w:rPr>
          <w:rFonts w:hint="eastAsia" w:ascii="宋体" w:hAnsi="宋体" w:cs="宋体"/>
        </w:rPr>
      </w:pPr>
      <w:r>
        <w:rPr>
          <w:rFonts w:hint="eastAsia" w:ascii="宋体" w:hAnsi="宋体" w:cs="宋体"/>
        </w:rPr>
        <w:t xml:space="preserve">17.1 </w:t>
      </w:r>
      <w:r>
        <w:rPr>
          <w:rFonts w:hint="eastAsia" w:ascii="宋体" w:hAnsi="宋体" w:cs="宋体"/>
          <w:lang w:val="en-US" w:eastAsia="zh-CN"/>
        </w:rPr>
        <w:t>甲乙</w:t>
      </w:r>
      <w:r>
        <w:rPr>
          <w:rFonts w:hint="eastAsia" w:ascii="宋体" w:hAnsi="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0E1E1ECD">
      <w:pPr>
        <w:adjustRightInd w:val="0"/>
        <w:snapToGrid w:val="0"/>
        <w:spacing w:line="360" w:lineRule="auto"/>
        <w:ind w:firstLine="420" w:firstLineChars="200"/>
        <w:jc w:val="left"/>
        <w:rPr>
          <w:rFonts w:ascii="宋体" w:hAnsi="宋体" w:cs="宋体"/>
        </w:rPr>
      </w:pPr>
      <w:r>
        <w:rPr>
          <w:rFonts w:hint="eastAsia" w:ascii="宋体" w:hAnsi="宋体" w:cs="宋体"/>
        </w:rPr>
        <w:t>17.2双方同意，寄送方式发出的文件自寄送之日起届满7天视为送达。任何一方不得拒绝签收对方邮寄的文件，因拒绝签收导致邮寄文件被退回的，视为发送方已送达。</w:t>
      </w:r>
    </w:p>
    <w:p w14:paraId="558FE01E">
      <w:pPr>
        <w:adjustRightInd w:val="0"/>
        <w:snapToGrid w:val="0"/>
        <w:spacing w:line="360" w:lineRule="auto"/>
        <w:ind w:firstLine="420" w:firstLineChars="200"/>
        <w:jc w:val="left"/>
        <w:rPr>
          <w:rFonts w:hint="eastAsia" w:ascii="宋体" w:hAnsi="宋体" w:cs="宋体"/>
        </w:rPr>
      </w:pPr>
      <w:r>
        <w:rPr>
          <w:rFonts w:hint="eastAsia" w:ascii="宋体" w:hAnsi="宋体" w:cs="宋体"/>
        </w:rPr>
        <w:t>17</w:t>
      </w:r>
      <w:r>
        <w:rPr>
          <w:rFonts w:ascii="宋体" w:hAnsi="宋体" w:cs="宋体"/>
        </w:rPr>
        <w:t>.3</w:t>
      </w:r>
      <w:r>
        <w:rPr>
          <w:rFonts w:hint="eastAsia" w:ascii="宋体" w:hAnsi="宋体" w:cs="宋体"/>
          <w:lang w:val="en-US" w:eastAsia="zh-CN"/>
        </w:rPr>
        <w:t>甲乙</w:t>
      </w:r>
      <w:r>
        <w:rPr>
          <w:rFonts w:hint="eastAsia" w:ascii="宋体" w:hAnsi="宋体" w:cs="宋体"/>
        </w:rPr>
        <w:t>双方任何一方需变更前述联系方式的，均应以书面形式，在变更发生后的</w:t>
      </w:r>
      <w:r>
        <w:rPr>
          <w:rFonts w:ascii="宋体" w:hAnsi="宋体" w:cs="宋体"/>
          <w:u w:val="single"/>
        </w:rPr>
        <w:t>3</w:t>
      </w:r>
      <w:r>
        <w:rPr>
          <w:rFonts w:hint="eastAsia" w:ascii="宋体" w:hAnsi="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06D21C6E">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第十八条  合同生效及其他</w:t>
      </w:r>
    </w:p>
    <w:p w14:paraId="3F321F47">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18.1本合同经双方法定代表或其授权代表签字并加盖公章（或合同专用章）后生效。</w:t>
      </w:r>
    </w:p>
    <w:p w14:paraId="0F2D7F12">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18.</w:t>
      </w:r>
      <w:r>
        <w:rPr>
          <w:rFonts w:hint="eastAsia" w:ascii="宋体" w:hAnsi="宋体" w:cs="宋体"/>
          <w:szCs w:val="21"/>
          <w:lang w:val="en-US" w:eastAsia="zh-CN"/>
        </w:rPr>
        <w:t>2</w:t>
      </w:r>
      <w:r>
        <w:rPr>
          <w:rFonts w:hint="eastAsia" w:ascii="宋体" w:hAnsi="宋体" w:cs="宋体"/>
          <w:szCs w:val="21"/>
        </w:rPr>
        <w:t xml:space="preserve"> 本合同随附合同附件（如有）为本合同不可分割的部分，并与本合同具有同等法律效力。</w:t>
      </w:r>
    </w:p>
    <w:p w14:paraId="10A26C56">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hint="eastAsia" w:ascii="宋体" w:hAnsi="宋体" w:cs="宋体"/>
          <w:szCs w:val="21"/>
          <w:lang w:val="en-US" w:eastAsia="zh-CN"/>
        </w:rPr>
        <w:t>3</w:t>
      </w:r>
      <w:r>
        <w:rPr>
          <w:rFonts w:ascii="宋体" w:hAnsi="宋体" w:cs="宋体"/>
          <w:szCs w:val="21"/>
        </w:rPr>
        <w:t xml:space="preserve"> </w:t>
      </w:r>
      <w:r>
        <w:rPr>
          <w:rFonts w:hint="eastAsia" w:ascii="宋体" w:hAnsi="宋体" w:cs="宋体"/>
          <w:szCs w:val="21"/>
        </w:rPr>
        <w:t>如果本合同的任何条款被司法机关或其他有权机关宣布无效、非法或其他形式的不可执行，本合同其他条款仍然有效，双方均应遵照执行。</w:t>
      </w:r>
    </w:p>
    <w:p w14:paraId="3875B5B0">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ascii="宋体" w:hAnsi="宋体" w:cs="宋体"/>
          <w:szCs w:val="21"/>
        </w:rPr>
        <w:t>.</w:t>
      </w:r>
      <w:r>
        <w:rPr>
          <w:rFonts w:hint="eastAsia" w:ascii="宋体" w:hAnsi="宋体" w:cs="宋体"/>
          <w:szCs w:val="21"/>
          <w:lang w:val="en-US" w:eastAsia="zh-CN"/>
        </w:rPr>
        <w:t>4</w:t>
      </w:r>
      <w:r>
        <w:rPr>
          <w:rFonts w:ascii="宋体" w:hAnsi="宋体" w:cs="宋体"/>
          <w:szCs w:val="21"/>
        </w:rPr>
        <w:t xml:space="preserve"> </w:t>
      </w:r>
      <w:r>
        <w:rPr>
          <w:rFonts w:hint="eastAsia" w:ascii="宋体" w:hAnsi="宋体" w:cs="宋体"/>
          <w:szCs w:val="21"/>
        </w:rPr>
        <w:t>合同一式</w:t>
      </w:r>
      <w:permStart w:id="49"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49"/>
      <w:r>
        <w:rPr>
          <w:rFonts w:hint="eastAsia" w:ascii="宋体" w:hAnsi="宋体" w:cs="宋体"/>
          <w:szCs w:val="21"/>
        </w:rPr>
        <w:t>份，甲方执</w:t>
      </w:r>
      <w:permStart w:id="50"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0"/>
      <w:r>
        <w:rPr>
          <w:rFonts w:hint="eastAsia" w:ascii="宋体" w:hAnsi="宋体" w:cs="宋体"/>
          <w:szCs w:val="21"/>
        </w:rPr>
        <w:t>份，乙方执</w:t>
      </w:r>
      <w:permStart w:id="51"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1"/>
      <w:r>
        <w:rPr>
          <w:rFonts w:hint="eastAsia" w:ascii="宋体" w:hAnsi="宋体" w:cs="宋体"/>
          <w:szCs w:val="21"/>
        </w:rPr>
        <w:t xml:space="preserve">份，每份具有同等法律效力。 </w:t>
      </w:r>
    </w:p>
    <w:p w14:paraId="7E2A85AD">
      <w:pPr>
        <w:adjustRightInd w:val="0"/>
        <w:snapToGrid w:val="0"/>
        <w:spacing w:line="360" w:lineRule="auto"/>
        <w:ind w:firstLine="420" w:firstLineChars="200"/>
        <w:jc w:val="left"/>
        <w:rPr>
          <w:rFonts w:hint="eastAsia" w:ascii="宋体" w:hAnsi="宋体" w:cs="宋体"/>
          <w:szCs w:val="21"/>
        </w:rPr>
      </w:pPr>
    </w:p>
    <w:p w14:paraId="74B5C628">
      <w:pPr>
        <w:adjustRightInd w:val="0"/>
        <w:snapToGrid w:val="0"/>
        <w:spacing w:line="360" w:lineRule="auto"/>
        <w:ind w:firstLine="420" w:firstLineChars="200"/>
        <w:jc w:val="left"/>
        <w:rPr>
          <w:rFonts w:hint="eastAsia" w:ascii="宋体" w:hAnsi="宋体" w:cs="宋体"/>
          <w:szCs w:val="21"/>
        </w:rPr>
      </w:pPr>
    </w:p>
    <w:p w14:paraId="6282B9A4">
      <w:pPr>
        <w:adjustRightInd w:val="0"/>
        <w:snapToGrid w:val="0"/>
        <w:spacing w:line="360" w:lineRule="auto"/>
        <w:ind w:firstLine="420" w:firstLineChars="200"/>
        <w:jc w:val="left"/>
        <w:rPr>
          <w:rFonts w:hint="eastAsia" w:ascii="宋体" w:hAnsi="宋体" w:cs="宋体"/>
          <w:szCs w:val="21"/>
        </w:rPr>
      </w:pPr>
    </w:p>
    <w:p w14:paraId="1E0342C6">
      <w:pPr>
        <w:adjustRightInd w:val="0"/>
        <w:snapToGrid w:val="0"/>
        <w:spacing w:line="360" w:lineRule="auto"/>
        <w:ind w:firstLine="420" w:firstLineChars="200"/>
        <w:jc w:val="left"/>
        <w:rPr>
          <w:rFonts w:hint="eastAsia" w:ascii="宋体" w:hAnsi="宋体" w:cs="宋体"/>
          <w:szCs w:val="21"/>
        </w:rPr>
      </w:pPr>
    </w:p>
    <w:p w14:paraId="5213D76B">
      <w:pPr>
        <w:adjustRightInd w:val="0"/>
        <w:snapToGrid w:val="0"/>
        <w:spacing w:line="360" w:lineRule="auto"/>
        <w:ind w:firstLine="420" w:firstLineChars="200"/>
        <w:jc w:val="left"/>
        <w:rPr>
          <w:rFonts w:hint="eastAsia" w:ascii="宋体" w:hAnsi="宋体" w:cs="宋体"/>
          <w:szCs w:val="21"/>
        </w:rPr>
      </w:pPr>
    </w:p>
    <w:p w14:paraId="5DD1D5E2">
      <w:pPr>
        <w:adjustRightInd w:val="0"/>
        <w:snapToGrid w:val="0"/>
        <w:spacing w:line="360" w:lineRule="auto"/>
        <w:jc w:val="left"/>
        <w:rPr>
          <w:rFonts w:hint="eastAsia"/>
          <w:sz w:val="21"/>
          <w:szCs w:val="21"/>
        </w:rPr>
      </w:pPr>
      <w:r>
        <w:rPr>
          <w:rFonts w:hint="eastAsia" w:ascii="宋体" w:hAnsi="宋体" w:cs="宋体"/>
          <w:bCs/>
          <w:szCs w:val="21"/>
        </w:rPr>
        <w:t>（以下无正文）</w:t>
      </w:r>
    </w:p>
    <w:tbl>
      <w:tblPr>
        <w:tblStyle w:val="9"/>
        <w:tblW w:w="0" w:type="auto"/>
        <w:tblInd w:w="0" w:type="dxa"/>
        <w:tblLayout w:type="fixed"/>
        <w:tblCellMar>
          <w:top w:w="0" w:type="dxa"/>
          <w:left w:w="108" w:type="dxa"/>
          <w:bottom w:w="0" w:type="dxa"/>
          <w:right w:w="108" w:type="dxa"/>
        </w:tblCellMar>
      </w:tblPr>
      <w:tblGrid>
        <w:gridCol w:w="1234"/>
        <w:gridCol w:w="3180"/>
        <w:gridCol w:w="705"/>
        <w:gridCol w:w="1545"/>
        <w:gridCol w:w="2865"/>
      </w:tblGrid>
      <w:tr w14:paraId="2E8B88FC">
        <w:tblPrEx>
          <w:tblCellMar>
            <w:top w:w="0" w:type="dxa"/>
            <w:left w:w="108" w:type="dxa"/>
            <w:bottom w:w="0" w:type="dxa"/>
            <w:right w:w="108" w:type="dxa"/>
          </w:tblCellMar>
        </w:tblPrEx>
        <w:trPr>
          <w:trHeight w:val="567" w:hRule="atLeast"/>
        </w:trPr>
        <w:tc>
          <w:tcPr>
            <w:tcW w:w="1234" w:type="dxa"/>
            <w:noWrap w:val="0"/>
            <w:vAlign w:val="top"/>
          </w:tcPr>
          <w:p w14:paraId="14DDFFAB">
            <w:pPr>
              <w:pStyle w:val="7"/>
              <w:adjustRightInd w:val="0"/>
              <w:snapToGrid w:val="0"/>
              <w:rPr>
                <w:rFonts w:hint="eastAsia"/>
                <w:sz w:val="21"/>
                <w:szCs w:val="21"/>
              </w:rPr>
            </w:pPr>
            <w:permStart w:id="52" w:edGrp="everyone" w:colFirst="3" w:colLast="3"/>
            <w:permStart w:id="53" w:edGrp="everyone" w:colFirst="4" w:colLast="4"/>
            <w:r>
              <w:rPr>
                <w:rFonts w:hint="eastAsia"/>
                <w:sz w:val="21"/>
                <w:szCs w:val="21"/>
              </w:rPr>
              <w:t>甲方名称：</w:t>
            </w:r>
          </w:p>
        </w:tc>
        <w:tc>
          <w:tcPr>
            <w:tcW w:w="3180" w:type="dxa"/>
            <w:noWrap w:val="0"/>
            <w:vAlign w:val="top"/>
          </w:tcPr>
          <w:p w14:paraId="65D5296B">
            <w:pPr>
              <w:pStyle w:val="7"/>
              <w:adjustRightInd w:val="0"/>
              <w:snapToGrid w:val="0"/>
              <w:rPr>
                <w:rFonts w:hint="eastAsia"/>
                <w:sz w:val="21"/>
                <w:szCs w:val="21"/>
              </w:rPr>
            </w:pPr>
            <w:r>
              <w:rPr>
                <w:rFonts w:hint="eastAsia"/>
                <w:sz w:val="21"/>
                <w:szCs w:val="21"/>
              </w:rPr>
              <w:t>南京禄口国际机场空港科技有限公司</w:t>
            </w:r>
          </w:p>
        </w:tc>
        <w:tc>
          <w:tcPr>
            <w:tcW w:w="705" w:type="dxa"/>
            <w:noWrap w:val="0"/>
            <w:vAlign w:val="top"/>
          </w:tcPr>
          <w:p w14:paraId="70E8BE53">
            <w:pPr>
              <w:pStyle w:val="7"/>
              <w:adjustRightInd w:val="0"/>
              <w:snapToGrid w:val="0"/>
              <w:rPr>
                <w:rFonts w:hint="eastAsia"/>
                <w:sz w:val="21"/>
                <w:szCs w:val="21"/>
              </w:rPr>
            </w:pPr>
          </w:p>
        </w:tc>
        <w:tc>
          <w:tcPr>
            <w:tcW w:w="1545" w:type="dxa"/>
            <w:noWrap w:val="0"/>
            <w:vAlign w:val="top"/>
          </w:tcPr>
          <w:p w14:paraId="68F25740">
            <w:pPr>
              <w:pStyle w:val="7"/>
              <w:adjustRightInd w:val="0"/>
              <w:snapToGrid w:val="0"/>
              <w:rPr>
                <w:rFonts w:hint="eastAsia"/>
                <w:sz w:val="21"/>
                <w:szCs w:val="21"/>
              </w:rPr>
            </w:pPr>
            <w:r>
              <w:rPr>
                <w:rFonts w:hint="eastAsia"/>
                <w:sz w:val="21"/>
                <w:szCs w:val="21"/>
              </w:rPr>
              <w:t>乙方名称：</w:t>
            </w:r>
          </w:p>
        </w:tc>
        <w:tc>
          <w:tcPr>
            <w:tcW w:w="2865" w:type="dxa"/>
            <w:noWrap w:val="0"/>
            <w:vAlign w:val="top"/>
          </w:tcPr>
          <w:p w14:paraId="476D9252">
            <w:pPr>
              <w:pStyle w:val="7"/>
              <w:adjustRightInd w:val="0"/>
              <w:snapToGrid w:val="0"/>
              <w:rPr>
                <w:rFonts w:hint="eastAsia"/>
                <w:sz w:val="21"/>
                <w:szCs w:val="21"/>
              </w:rPr>
            </w:pPr>
          </w:p>
        </w:tc>
      </w:tr>
      <w:permEnd w:id="52"/>
      <w:permEnd w:id="53"/>
      <w:tr w14:paraId="5BFB7436">
        <w:tblPrEx>
          <w:tblCellMar>
            <w:top w:w="0" w:type="dxa"/>
            <w:left w:w="108" w:type="dxa"/>
            <w:bottom w:w="0" w:type="dxa"/>
            <w:right w:w="108" w:type="dxa"/>
          </w:tblCellMar>
        </w:tblPrEx>
        <w:trPr>
          <w:trHeight w:val="567" w:hRule="atLeast"/>
        </w:trPr>
        <w:tc>
          <w:tcPr>
            <w:tcW w:w="1234" w:type="dxa"/>
            <w:noWrap w:val="0"/>
            <w:vAlign w:val="top"/>
          </w:tcPr>
          <w:p w14:paraId="11DD51CE">
            <w:pPr>
              <w:pStyle w:val="7"/>
              <w:adjustRightInd w:val="0"/>
              <w:snapToGrid w:val="0"/>
              <w:rPr>
                <w:rFonts w:hint="eastAsia"/>
                <w:sz w:val="21"/>
                <w:szCs w:val="21"/>
              </w:rPr>
            </w:pPr>
            <w:permStart w:id="54" w:edGrp="everyone" w:colFirst="3" w:colLast="3"/>
            <w:permStart w:id="55" w:edGrp="everyone" w:colFirst="4" w:colLast="4"/>
          </w:p>
        </w:tc>
        <w:tc>
          <w:tcPr>
            <w:tcW w:w="3180" w:type="dxa"/>
            <w:noWrap w:val="0"/>
            <w:vAlign w:val="top"/>
          </w:tcPr>
          <w:p w14:paraId="136AACFE">
            <w:pPr>
              <w:pStyle w:val="7"/>
              <w:adjustRightInd w:val="0"/>
              <w:snapToGrid w:val="0"/>
              <w:jc w:val="center"/>
              <w:rPr>
                <w:rFonts w:hint="eastAsia"/>
                <w:sz w:val="21"/>
                <w:szCs w:val="21"/>
              </w:rPr>
            </w:pPr>
            <w:r>
              <w:rPr>
                <w:rFonts w:hint="eastAsia"/>
                <w:sz w:val="21"/>
                <w:szCs w:val="21"/>
              </w:rPr>
              <w:t>（签章）</w:t>
            </w:r>
          </w:p>
        </w:tc>
        <w:tc>
          <w:tcPr>
            <w:tcW w:w="705" w:type="dxa"/>
            <w:noWrap w:val="0"/>
            <w:vAlign w:val="top"/>
          </w:tcPr>
          <w:p w14:paraId="4CB2552D">
            <w:pPr>
              <w:pStyle w:val="7"/>
              <w:adjustRightInd w:val="0"/>
              <w:snapToGrid w:val="0"/>
              <w:rPr>
                <w:rFonts w:hint="eastAsia"/>
                <w:sz w:val="21"/>
                <w:szCs w:val="21"/>
              </w:rPr>
            </w:pPr>
          </w:p>
        </w:tc>
        <w:tc>
          <w:tcPr>
            <w:tcW w:w="1545" w:type="dxa"/>
            <w:noWrap w:val="0"/>
            <w:vAlign w:val="top"/>
          </w:tcPr>
          <w:p w14:paraId="18447587">
            <w:pPr>
              <w:pStyle w:val="7"/>
              <w:adjustRightInd w:val="0"/>
              <w:snapToGrid w:val="0"/>
              <w:rPr>
                <w:rFonts w:hint="eastAsia"/>
                <w:sz w:val="21"/>
                <w:szCs w:val="21"/>
              </w:rPr>
            </w:pPr>
          </w:p>
        </w:tc>
        <w:tc>
          <w:tcPr>
            <w:tcW w:w="2865" w:type="dxa"/>
            <w:noWrap w:val="0"/>
            <w:vAlign w:val="top"/>
          </w:tcPr>
          <w:p w14:paraId="47EC4048">
            <w:pPr>
              <w:pStyle w:val="7"/>
              <w:adjustRightInd w:val="0"/>
              <w:snapToGrid w:val="0"/>
              <w:jc w:val="center"/>
              <w:rPr>
                <w:rFonts w:hint="eastAsia"/>
                <w:sz w:val="21"/>
                <w:szCs w:val="21"/>
              </w:rPr>
            </w:pPr>
            <w:r>
              <w:rPr>
                <w:rFonts w:hint="eastAsia"/>
                <w:sz w:val="21"/>
                <w:szCs w:val="21"/>
              </w:rPr>
              <w:t>（签章）</w:t>
            </w:r>
          </w:p>
        </w:tc>
      </w:tr>
      <w:permEnd w:id="54"/>
      <w:permEnd w:id="55"/>
      <w:tr w14:paraId="1D799DCE">
        <w:tblPrEx>
          <w:tblCellMar>
            <w:top w:w="0" w:type="dxa"/>
            <w:left w:w="108" w:type="dxa"/>
            <w:bottom w:w="0" w:type="dxa"/>
            <w:right w:w="108" w:type="dxa"/>
          </w:tblCellMar>
        </w:tblPrEx>
        <w:trPr>
          <w:trHeight w:val="567" w:hRule="atLeast"/>
        </w:trPr>
        <w:tc>
          <w:tcPr>
            <w:tcW w:w="4414" w:type="dxa"/>
            <w:gridSpan w:val="2"/>
            <w:vMerge w:val="restart"/>
            <w:noWrap w:val="0"/>
            <w:vAlign w:val="top"/>
          </w:tcPr>
          <w:p w14:paraId="0A39C615">
            <w:pPr>
              <w:pStyle w:val="7"/>
              <w:adjustRightInd w:val="0"/>
              <w:snapToGrid w:val="0"/>
              <w:rPr>
                <w:rFonts w:hint="eastAsia"/>
                <w:sz w:val="21"/>
                <w:szCs w:val="21"/>
              </w:rPr>
            </w:pPr>
            <w:permStart w:id="56" w:edGrp="everyone"/>
            <w:permStart w:id="57" w:edGrp="everyone" w:colFirst="2" w:colLast="2"/>
            <w:r>
              <w:rPr>
                <w:rFonts w:hint="eastAsia"/>
                <w:sz w:val="21"/>
                <w:szCs w:val="21"/>
              </w:rPr>
              <w:t>法定代表/授权代表：（签字或盖章）</w:t>
            </w:r>
          </w:p>
          <w:permEnd w:id="56"/>
          <w:p w14:paraId="56CF4F5A">
            <w:pPr>
              <w:pStyle w:val="7"/>
              <w:adjustRightInd w:val="0"/>
              <w:snapToGrid w:val="0"/>
              <w:rPr>
                <w:rFonts w:hint="eastAsia"/>
                <w:sz w:val="21"/>
                <w:szCs w:val="21"/>
              </w:rPr>
            </w:pPr>
          </w:p>
        </w:tc>
        <w:tc>
          <w:tcPr>
            <w:tcW w:w="705" w:type="dxa"/>
            <w:noWrap w:val="0"/>
            <w:vAlign w:val="top"/>
          </w:tcPr>
          <w:p w14:paraId="32874995">
            <w:pPr>
              <w:pStyle w:val="7"/>
              <w:adjustRightInd w:val="0"/>
              <w:snapToGrid w:val="0"/>
              <w:rPr>
                <w:rFonts w:hint="eastAsia"/>
                <w:sz w:val="21"/>
                <w:szCs w:val="21"/>
              </w:rPr>
            </w:pPr>
          </w:p>
        </w:tc>
        <w:tc>
          <w:tcPr>
            <w:tcW w:w="4410" w:type="dxa"/>
            <w:gridSpan w:val="2"/>
            <w:vMerge w:val="restart"/>
            <w:noWrap w:val="0"/>
            <w:vAlign w:val="top"/>
          </w:tcPr>
          <w:p w14:paraId="3AD6664A">
            <w:pPr>
              <w:pStyle w:val="7"/>
              <w:adjustRightInd w:val="0"/>
              <w:snapToGrid w:val="0"/>
              <w:rPr>
                <w:rFonts w:hint="eastAsia"/>
                <w:sz w:val="21"/>
                <w:szCs w:val="21"/>
              </w:rPr>
            </w:pPr>
            <w:r>
              <w:rPr>
                <w:rFonts w:hint="eastAsia"/>
                <w:sz w:val="21"/>
                <w:szCs w:val="21"/>
              </w:rPr>
              <w:t>法定代表/授权代表：（签字或盖章）</w:t>
            </w:r>
          </w:p>
        </w:tc>
      </w:tr>
      <w:permEnd w:id="57"/>
      <w:tr w14:paraId="2F5209A3">
        <w:tblPrEx>
          <w:tblCellMar>
            <w:top w:w="0" w:type="dxa"/>
            <w:left w:w="108" w:type="dxa"/>
            <w:bottom w:w="0" w:type="dxa"/>
            <w:right w:w="108" w:type="dxa"/>
          </w:tblCellMar>
        </w:tblPrEx>
        <w:trPr>
          <w:trHeight w:val="567" w:hRule="atLeast"/>
        </w:trPr>
        <w:tc>
          <w:tcPr>
            <w:tcW w:w="4414" w:type="dxa"/>
            <w:gridSpan w:val="2"/>
            <w:vMerge w:val="continue"/>
            <w:noWrap w:val="0"/>
            <w:vAlign w:val="top"/>
          </w:tcPr>
          <w:p w14:paraId="53F9ADEB">
            <w:pPr>
              <w:pStyle w:val="7"/>
              <w:adjustRightInd w:val="0"/>
              <w:snapToGrid w:val="0"/>
              <w:rPr>
                <w:rFonts w:hint="eastAsia"/>
                <w:sz w:val="21"/>
                <w:szCs w:val="21"/>
              </w:rPr>
            </w:pPr>
            <w:permStart w:id="58" w:edGrp="everyone" w:colFirst="2" w:colLast="2"/>
          </w:p>
        </w:tc>
        <w:tc>
          <w:tcPr>
            <w:tcW w:w="705" w:type="dxa"/>
            <w:noWrap w:val="0"/>
            <w:vAlign w:val="top"/>
          </w:tcPr>
          <w:p w14:paraId="3620B0C8">
            <w:pPr>
              <w:pStyle w:val="7"/>
              <w:adjustRightInd w:val="0"/>
              <w:snapToGrid w:val="0"/>
              <w:rPr>
                <w:rFonts w:hint="eastAsia"/>
                <w:sz w:val="21"/>
                <w:szCs w:val="21"/>
              </w:rPr>
            </w:pPr>
          </w:p>
        </w:tc>
        <w:tc>
          <w:tcPr>
            <w:tcW w:w="4410" w:type="dxa"/>
            <w:gridSpan w:val="2"/>
            <w:vMerge w:val="continue"/>
            <w:noWrap w:val="0"/>
            <w:vAlign w:val="top"/>
          </w:tcPr>
          <w:p w14:paraId="536EDCF8">
            <w:pPr>
              <w:pStyle w:val="7"/>
              <w:adjustRightInd w:val="0"/>
              <w:snapToGrid w:val="0"/>
              <w:rPr>
                <w:rFonts w:hint="eastAsia"/>
                <w:sz w:val="21"/>
                <w:szCs w:val="21"/>
              </w:rPr>
            </w:pPr>
          </w:p>
        </w:tc>
      </w:tr>
      <w:permEnd w:id="58"/>
      <w:tr w14:paraId="2B9103BC">
        <w:tblPrEx>
          <w:tblCellMar>
            <w:top w:w="0" w:type="dxa"/>
            <w:left w:w="108" w:type="dxa"/>
            <w:bottom w:w="0" w:type="dxa"/>
            <w:right w:w="108" w:type="dxa"/>
          </w:tblCellMar>
        </w:tblPrEx>
        <w:trPr>
          <w:trHeight w:val="567" w:hRule="atLeast"/>
        </w:trPr>
        <w:tc>
          <w:tcPr>
            <w:tcW w:w="4414" w:type="dxa"/>
            <w:gridSpan w:val="2"/>
            <w:noWrap w:val="0"/>
            <w:vAlign w:val="top"/>
          </w:tcPr>
          <w:p w14:paraId="04AC4ACF">
            <w:pPr>
              <w:pStyle w:val="7"/>
              <w:adjustRightInd w:val="0"/>
              <w:snapToGrid w:val="0"/>
              <w:rPr>
                <w:rFonts w:hint="eastAsia"/>
                <w:sz w:val="21"/>
                <w:szCs w:val="21"/>
              </w:rPr>
            </w:pPr>
            <w:permStart w:id="59" w:edGrp="everyone" w:colFirst="2" w:colLast="2"/>
            <w:permStart w:id="60" w:edGrp="everyone" w:colFirst="3" w:colLast="3"/>
            <w:r>
              <w:rPr>
                <w:rFonts w:hint="eastAsia"/>
                <w:sz w:val="21"/>
                <w:szCs w:val="21"/>
              </w:rPr>
              <w:t>纳税人识别号：913200007140930345</w:t>
            </w:r>
          </w:p>
        </w:tc>
        <w:tc>
          <w:tcPr>
            <w:tcW w:w="705" w:type="dxa"/>
            <w:noWrap w:val="0"/>
            <w:vAlign w:val="top"/>
          </w:tcPr>
          <w:p w14:paraId="5B7C2142">
            <w:pPr>
              <w:pStyle w:val="7"/>
              <w:adjustRightInd w:val="0"/>
              <w:snapToGrid w:val="0"/>
              <w:rPr>
                <w:rFonts w:hint="eastAsia"/>
                <w:sz w:val="21"/>
                <w:szCs w:val="21"/>
              </w:rPr>
            </w:pPr>
          </w:p>
        </w:tc>
        <w:tc>
          <w:tcPr>
            <w:tcW w:w="1545" w:type="dxa"/>
            <w:noWrap w:val="0"/>
            <w:vAlign w:val="top"/>
          </w:tcPr>
          <w:p w14:paraId="18EBE9B5">
            <w:pPr>
              <w:pStyle w:val="7"/>
              <w:adjustRightInd w:val="0"/>
              <w:snapToGrid w:val="0"/>
              <w:rPr>
                <w:rFonts w:hint="eastAsia"/>
                <w:sz w:val="21"/>
                <w:szCs w:val="21"/>
              </w:rPr>
            </w:pPr>
            <w:r>
              <w:rPr>
                <w:rFonts w:hint="eastAsia"/>
                <w:sz w:val="21"/>
                <w:szCs w:val="21"/>
              </w:rPr>
              <w:t>纳税人识别号</w:t>
            </w:r>
          </w:p>
        </w:tc>
        <w:tc>
          <w:tcPr>
            <w:tcW w:w="2865" w:type="dxa"/>
            <w:noWrap w:val="0"/>
            <w:vAlign w:val="top"/>
          </w:tcPr>
          <w:p w14:paraId="62A0DB8F">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59"/>
      <w:permEnd w:id="60"/>
      <w:tr w14:paraId="1EA7DE6D">
        <w:tblPrEx>
          <w:tblCellMar>
            <w:top w:w="0" w:type="dxa"/>
            <w:left w:w="108" w:type="dxa"/>
            <w:bottom w:w="0" w:type="dxa"/>
            <w:right w:w="108" w:type="dxa"/>
          </w:tblCellMar>
        </w:tblPrEx>
        <w:trPr>
          <w:trHeight w:val="1134" w:hRule="atLeast"/>
        </w:trPr>
        <w:tc>
          <w:tcPr>
            <w:tcW w:w="1234" w:type="dxa"/>
            <w:noWrap w:val="0"/>
            <w:vAlign w:val="top"/>
          </w:tcPr>
          <w:p w14:paraId="67EF7760">
            <w:pPr>
              <w:pStyle w:val="7"/>
              <w:adjustRightInd w:val="0"/>
              <w:snapToGrid w:val="0"/>
              <w:rPr>
                <w:rFonts w:hint="eastAsia"/>
                <w:sz w:val="21"/>
                <w:szCs w:val="21"/>
              </w:rPr>
            </w:pPr>
            <w:permStart w:id="61" w:edGrp="everyone" w:colFirst="3" w:colLast="3"/>
            <w:permStart w:id="62" w:edGrp="everyone" w:colFirst="4" w:colLast="4"/>
            <w:r>
              <w:rPr>
                <w:rFonts w:hint="eastAsia"/>
                <w:sz w:val="21"/>
                <w:szCs w:val="21"/>
              </w:rPr>
              <w:t>甲方地址：</w:t>
            </w:r>
          </w:p>
        </w:tc>
        <w:tc>
          <w:tcPr>
            <w:tcW w:w="3180" w:type="dxa"/>
            <w:noWrap w:val="0"/>
            <w:vAlign w:val="top"/>
          </w:tcPr>
          <w:p w14:paraId="67B6453B">
            <w:pPr>
              <w:pStyle w:val="7"/>
              <w:adjustRightInd w:val="0"/>
              <w:snapToGrid w:val="0"/>
              <w:spacing w:line="480" w:lineRule="auto"/>
              <w:rPr>
                <w:rFonts w:hint="eastAsia"/>
                <w:sz w:val="21"/>
                <w:szCs w:val="21"/>
              </w:rPr>
            </w:pPr>
            <w:r>
              <w:rPr>
                <w:rFonts w:hint="eastAsia"/>
                <w:sz w:val="21"/>
                <w:szCs w:val="21"/>
              </w:rPr>
              <w:t>南京禄口国际机场翔鹰二路9号2号办公楼2楼</w:t>
            </w:r>
          </w:p>
        </w:tc>
        <w:tc>
          <w:tcPr>
            <w:tcW w:w="705" w:type="dxa"/>
            <w:noWrap w:val="0"/>
            <w:vAlign w:val="top"/>
          </w:tcPr>
          <w:p w14:paraId="767E93FA">
            <w:pPr>
              <w:pStyle w:val="7"/>
              <w:adjustRightInd w:val="0"/>
              <w:snapToGrid w:val="0"/>
              <w:rPr>
                <w:rFonts w:hint="eastAsia"/>
                <w:sz w:val="21"/>
                <w:szCs w:val="21"/>
              </w:rPr>
            </w:pPr>
          </w:p>
        </w:tc>
        <w:tc>
          <w:tcPr>
            <w:tcW w:w="1545" w:type="dxa"/>
            <w:noWrap w:val="0"/>
            <w:vAlign w:val="top"/>
          </w:tcPr>
          <w:p w14:paraId="1DE508FE">
            <w:pPr>
              <w:pStyle w:val="7"/>
              <w:adjustRightInd w:val="0"/>
              <w:snapToGrid w:val="0"/>
              <w:rPr>
                <w:rFonts w:hint="eastAsia"/>
                <w:sz w:val="21"/>
                <w:szCs w:val="21"/>
              </w:rPr>
            </w:pPr>
            <w:r>
              <w:rPr>
                <w:rFonts w:hint="eastAsia"/>
                <w:sz w:val="21"/>
                <w:szCs w:val="21"/>
              </w:rPr>
              <w:t>乙方地址：</w:t>
            </w:r>
          </w:p>
        </w:tc>
        <w:tc>
          <w:tcPr>
            <w:tcW w:w="2865" w:type="dxa"/>
            <w:noWrap w:val="0"/>
            <w:vAlign w:val="top"/>
          </w:tcPr>
          <w:p w14:paraId="261157FF">
            <w:pPr>
              <w:pStyle w:val="7"/>
              <w:adjustRightInd w:val="0"/>
              <w:snapToGrid w:val="0"/>
              <w:spacing w:line="480" w:lineRule="auto"/>
              <w:rPr>
                <w:rFonts w:hint="eastAsia" w:eastAsia="宋体"/>
                <w:sz w:val="21"/>
                <w:szCs w:val="21"/>
                <w:lang w:val="en-US" w:eastAsia="zh-CN"/>
              </w:rPr>
            </w:pPr>
            <w:r>
              <w:rPr>
                <w:rFonts w:hint="eastAsia"/>
                <w:sz w:val="21"/>
                <w:szCs w:val="21"/>
                <w:lang w:val="en-US" w:eastAsia="zh-CN"/>
              </w:rPr>
              <w:t xml:space="preserve"> </w:t>
            </w:r>
          </w:p>
        </w:tc>
      </w:tr>
      <w:permEnd w:id="61"/>
      <w:permEnd w:id="62"/>
      <w:tr w14:paraId="0D8EF20B">
        <w:tblPrEx>
          <w:tblCellMar>
            <w:top w:w="0" w:type="dxa"/>
            <w:left w:w="108" w:type="dxa"/>
            <w:bottom w:w="0" w:type="dxa"/>
            <w:right w:w="108" w:type="dxa"/>
          </w:tblCellMar>
        </w:tblPrEx>
        <w:trPr>
          <w:trHeight w:val="567" w:hRule="atLeast"/>
        </w:trPr>
        <w:tc>
          <w:tcPr>
            <w:tcW w:w="1234" w:type="dxa"/>
            <w:noWrap w:val="0"/>
            <w:vAlign w:val="top"/>
          </w:tcPr>
          <w:p w14:paraId="55677DD8">
            <w:pPr>
              <w:pStyle w:val="7"/>
              <w:adjustRightInd w:val="0"/>
              <w:snapToGrid w:val="0"/>
              <w:rPr>
                <w:rFonts w:hint="eastAsia"/>
                <w:sz w:val="21"/>
                <w:szCs w:val="21"/>
              </w:rPr>
            </w:pPr>
            <w:permStart w:id="63" w:edGrp="everyone" w:colFirst="3" w:colLast="3"/>
            <w:permStart w:id="64" w:edGrp="everyone" w:colFirst="4" w:colLast="4"/>
            <w:r>
              <w:rPr>
                <w:rFonts w:hint="eastAsia"/>
                <w:sz w:val="21"/>
                <w:szCs w:val="21"/>
              </w:rPr>
              <w:t>开户银行：</w:t>
            </w:r>
          </w:p>
        </w:tc>
        <w:tc>
          <w:tcPr>
            <w:tcW w:w="3180" w:type="dxa"/>
            <w:noWrap w:val="0"/>
            <w:vAlign w:val="top"/>
          </w:tcPr>
          <w:p w14:paraId="45B5B2B1">
            <w:pPr>
              <w:pStyle w:val="7"/>
              <w:adjustRightInd w:val="0"/>
              <w:snapToGrid w:val="0"/>
              <w:rPr>
                <w:rFonts w:hint="eastAsia"/>
                <w:sz w:val="21"/>
                <w:szCs w:val="21"/>
              </w:rPr>
            </w:pPr>
            <w:r>
              <w:rPr>
                <w:rFonts w:hint="eastAsia"/>
                <w:sz w:val="21"/>
                <w:szCs w:val="21"/>
              </w:rPr>
              <w:t>中国银行南京禄口机场支行</w:t>
            </w:r>
          </w:p>
        </w:tc>
        <w:tc>
          <w:tcPr>
            <w:tcW w:w="705" w:type="dxa"/>
            <w:noWrap w:val="0"/>
            <w:vAlign w:val="top"/>
          </w:tcPr>
          <w:p w14:paraId="349DCEEA">
            <w:pPr>
              <w:pStyle w:val="7"/>
              <w:adjustRightInd w:val="0"/>
              <w:snapToGrid w:val="0"/>
              <w:rPr>
                <w:rFonts w:hint="eastAsia"/>
                <w:sz w:val="21"/>
                <w:szCs w:val="21"/>
              </w:rPr>
            </w:pPr>
          </w:p>
        </w:tc>
        <w:tc>
          <w:tcPr>
            <w:tcW w:w="1545" w:type="dxa"/>
            <w:noWrap w:val="0"/>
            <w:vAlign w:val="top"/>
          </w:tcPr>
          <w:p w14:paraId="5B61DCF6">
            <w:pPr>
              <w:pStyle w:val="7"/>
              <w:adjustRightInd w:val="0"/>
              <w:snapToGrid w:val="0"/>
              <w:rPr>
                <w:rFonts w:hint="eastAsia"/>
                <w:sz w:val="21"/>
                <w:szCs w:val="21"/>
              </w:rPr>
            </w:pPr>
            <w:r>
              <w:rPr>
                <w:rFonts w:hint="eastAsia"/>
                <w:sz w:val="21"/>
                <w:szCs w:val="21"/>
              </w:rPr>
              <w:t>开户银行：</w:t>
            </w:r>
          </w:p>
        </w:tc>
        <w:tc>
          <w:tcPr>
            <w:tcW w:w="2865" w:type="dxa"/>
            <w:noWrap w:val="0"/>
            <w:vAlign w:val="top"/>
          </w:tcPr>
          <w:p w14:paraId="09BE9042">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3"/>
      <w:permEnd w:id="64"/>
      <w:tr w14:paraId="2B548A8D">
        <w:tblPrEx>
          <w:tblCellMar>
            <w:top w:w="0" w:type="dxa"/>
            <w:left w:w="108" w:type="dxa"/>
            <w:bottom w:w="0" w:type="dxa"/>
            <w:right w:w="108" w:type="dxa"/>
          </w:tblCellMar>
        </w:tblPrEx>
        <w:trPr>
          <w:trHeight w:val="567" w:hRule="atLeast"/>
        </w:trPr>
        <w:tc>
          <w:tcPr>
            <w:tcW w:w="1234" w:type="dxa"/>
            <w:noWrap w:val="0"/>
            <w:vAlign w:val="top"/>
          </w:tcPr>
          <w:p w14:paraId="1C1D441B">
            <w:pPr>
              <w:pStyle w:val="7"/>
              <w:adjustRightInd w:val="0"/>
              <w:snapToGrid w:val="0"/>
              <w:rPr>
                <w:rFonts w:hint="eastAsia"/>
                <w:sz w:val="21"/>
                <w:szCs w:val="21"/>
              </w:rPr>
            </w:pPr>
            <w:permStart w:id="65" w:edGrp="everyone" w:colFirst="3" w:colLast="3"/>
            <w:permStart w:id="66" w:edGrp="everyone" w:colFirst="4" w:colLast="4"/>
            <w:r>
              <w:rPr>
                <w:rFonts w:hint="eastAsia"/>
                <w:sz w:val="21"/>
                <w:szCs w:val="21"/>
              </w:rPr>
              <w:t>账    号：</w:t>
            </w:r>
          </w:p>
        </w:tc>
        <w:tc>
          <w:tcPr>
            <w:tcW w:w="3180" w:type="dxa"/>
            <w:noWrap w:val="0"/>
            <w:vAlign w:val="top"/>
          </w:tcPr>
          <w:p w14:paraId="64A18FE2">
            <w:pPr>
              <w:pStyle w:val="7"/>
              <w:adjustRightInd w:val="0"/>
              <w:snapToGrid w:val="0"/>
              <w:rPr>
                <w:rFonts w:hint="eastAsia"/>
                <w:sz w:val="21"/>
                <w:szCs w:val="21"/>
              </w:rPr>
            </w:pPr>
            <w:r>
              <w:rPr>
                <w:rFonts w:hint="eastAsia"/>
                <w:sz w:val="21"/>
                <w:szCs w:val="21"/>
              </w:rPr>
              <w:t>553470001259</w:t>
            </w:r>
          </w:p>
        </w:tc>
        <w:tc>
          <w:tcPr>
            <w:tcW w:w="705" w:type="dxa"/>
            <w:noWrap w:val="0"/>
            <w:vAlign w:val="top"/>
          </w:tcPr>
          <w:p w14:paraId="35EC4AA9">
            <w:pPr>
              <w:pStyle w:val="7"/>
              <w:adjustRightInd w:val="0"/>
              <w:snapToGrid w:val="0"/>
              <w:rPr>
                <w:rFonts w:hint="eastAsia"/>
                <w:sz w:val="21"/>
                <w:szCs w:val="21"/>
              </w:rPr>
            </w:pPr>
          </w:p>
        </w:tc>
        <w:tc>
          <w:tcPr>
            <w:tcW w:w="1545" w:type="dxa"/>
            <w:noWrap w:val="0"/>
            <w:vAlign w:val="top"/>
          </w:tcPr>
          <w:p w14:paraId="21724300">
            <w:pPr>
              <w:pStyle w:val="7"/>
              <w:adjustRightInd w:val="0"/>
              <w:snapToGrid w:val="0"/>
              <w:rPr>
                <w:rFonts w:hint="eastAsia"/>
                <w:sz w:val="21"/>
                <w:szCs w:val="21"/>
              </w:rPr>
            </w:pPr>
            <w:r>
              <w:rPr>
                <w:rFonts w:hint="eastAsia"/>
                <w:sz w:val="21"/>
                <w:szCs w:val="21"/>
              </w:rPr>
              <w:t>账    号：</w:t>
            </w:r>
          </w:p>
        </w:tc>
        <w:tc>
          <w:tcPr>
            <w:tcW w:w="2865" w:type="dxa"/>
            <w:noWrap w:val="0"/>
            <w:vAlign w:val="top"/>
          </w:tcPr>
          <w:p w14:paraId="2723D446">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5"/>
      <w:permEnd w:id="66"/>
      <w:tr w14:paraId="339DFCF1">
        <w:tblPrEx>
          <w:tblCellMar>
            <w:top w:w="0" w:type="dxa"/>
            <w:left w:w="108" w:type="dxa"/>
            <w:bottom w:w="0" w:type="dxa"/>
            <w:right w:w="108" w:type="dxa"/>
          </w:tblCellMar>
        </w:tblPrEx>
        <w:trPr>
          <w:trHeight w:val="567" w:hRule="atLeast"/>
        </w:trPr>
        <w:tc>
          <w:tcPr>
            <w:tcW w:w="1234" w:type="dxa"/>
            <w:noWrap w:val="0"/>
            <w:vAlign w:val="top"/>
          </w:tcPr>
          <w:p w14:paraId="7E0EA165">
            <w:pPr>
              <w:pStyle w:val="7"/>
              <w:adjustRightInd w:val="0"/>
              <w:snapToGrid w:val="0"/>
              <w:rPr>
                <w:rFonts w:hint="eastAsia"/>
                <w:sz w:val="21"/>
                <w:szCs w:val="21"/>
              </w:rPr>
            </w:pPr>
            <w:permStart w:id="67" w:edGrp="everyone" w:colFirst="1" w:colLast="1"/>
            <w:permStart w:id="68" w:edGrp="everyone" w:colFirst="3" w:colLast="3"/>
            <w:permStart w:id="69" w:edGrp="everyone" w:colFirst="4" w:colLast="4"/>
            <w:r>
              <w:rPr>
                <w:rFonts w:hint="eastAsia"/>
                <w:sz w:val="21"/>
                <w:szCs w:val="21"/>
              </w:rPr>
              <w:t>电    话：</w:t>
            </w:r>
          </w:p>
        </w:tc>
        <w:tc>
          <w:tcPr>
            <w:tcW w:w="3180" w:type="dxa"/>
            <w:noWrap w:val="0"/>
            <w:vAlign w:val="top"/>
          </w:tcPr>
          <w:p w14:paraId="722DFCB0">
            <w:pPr>
              <w:pStyle w:val="7"/>
              <w:adjustRightInd w:val="0"/>
              <w:snapToGrid w:val="0"/>
              <w:rPr>
                <w:sz w:val="21"/>
                <w:szCs w:val="21"/>
              </w:rPr>
            </w:pPr>
            <w:r>
              <w:rPr>
                <w:rFonts w:hint="eastAsia"/>
                <w:sz w:val="21"/>
                <w:szCs w:val="21"/>
              </w:rPr>
              <w:t>025-69820630</w:t>
            </w:r>
          </w:p>
        </w:tc>
        <w:tc>
          <w:tcPr>
            <w:tcW w:w="705" w:type="dxa"/>
            <w:noWrap w:val="0"/>
            <w:vAlign w:val="top"/>
          </w:tcPr>
          <w:p w14:paraId="0DD73B87">
            <w:pPr>
              <w:pStyle w:val="7"/>
              <w:adjustRightInd w:val="0"/>
              <w:snapToGrid w:val="0"/>
              <w:rPr>
                <w:rFonts w:hint="eastAsia"/>
                <w:sz w:val="21"/>
                <w:szCs w:val="21"/>
              </w:rPr>
            </w:pPr>
          </w:p>
        </w:tc>
        <w:tc>
          <w:tcPr>
            <w:tcW w:w="1545" w:type="dxa"/>
            <w:noWrap w:val="0"/>
            <w:vAlign w:val="top"/>
          </w:tcPr>
          <w:p w14:paraId="1D12397B">
            <w:pPr>
              <w:pStyle w:val="7"/>
              <w:adjustRightInd w:val="0"/>
              <w:snapToGrid w:val="0"/>
              <w:rPr>
                <w:rFonts w:hint="eastAsia"/>
                <w:sz w:val="21"/>
                <w:szCs w:val="21"/>
              </w:rPr>
            </w:pPr>
            <w:r>
              <w:rPr>
                <w:rFonts w:hint="eastAsia"/>
                <w:sz w:val="21"/>
                <w:szCs w:val="21"/>
              </w:rPr>
              <w:t>电    话：</w:t>
            </w:r>
          </w:p>
        </w:tc>
        <w:tc>
          <w:tcPr>
            <w:tcW w:w="2865" w:type="dxa"/>
            <w:noWrap w:val="0"/>
            <w:vAlign w:val="top"/>
          </w:tcPr>
          <w:p w14:paraId="5D2C8C6E">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7"/>
      <w:permEnd w:id="68"/>
      <w:permEnd w:id="69"/>
      <w:tr w14:paraId="18862CD9">
        <w:tblPrEx>
          <w:tblCellMar>
            <w:top w:w="0" w:type="dxa"/>
            <w:left w:w="108" w:type="dxa"/>
            <w:bottom w:w="0" w:type="dxa"/>
            <w:right w:w="108" w:type="dxa"/>
          </w:tblCellMar>
        </w:tblPrEx>
        <w:trPr>
          <w:trHeight w:val="567" w:hRule="atLeast"/>
        </w:trPr>
        <w:tc>
          <w:tcPr>
            <w:tcW w:w="1234" w:type="dxa"/>
            <w:noWrap w:val="0"/>
            <w:vAlign w:val="top"/>
          </w:tcPr>
          <w:p w14:paraId="34AD9ED5">
            <w:pPr>
              <w:pStyle w:val="7"/>
              <w:adjustRightInd w:val="0"/>
              <w:snapToGrid w:val="0"/>
              <w:rPr>
                <w:rFonts w:hint="eastAsia"/>
                <w:sz w:val="21"/>
                <w:szCs w:val="21"/>
              </w:rPr>
            </w:pPr>
            <w:permStart w:id="70" w:edGrp="everyone" w:colFirst="1" w:colLast="1"/>
            <w:permStart w:id="71" w:edGrp="everyone" w:colFirst="3" w:colLast="3"/>
            <w:permStart w:id="72" w:edGrp="everyone" w:colFirst="4" w:colLast="4"/>
            <w:r>
              <w:rPr>
                <w:rFonts w:hint="eastAsia"/>
                <w:sz w:val="21"/>
                <w:szCs w:val="21"/>
              </w:rPr>
              <w:t>传    真：</w:t>
            </w:r>
          </w:p>
        </w:tc>
        <w:tc>
          <w:tcPr>
            <w:tcW w:w="3180" w:type="dxa"/>
            <w:noWrap w:val="0"/>
            <w:vAlign w:val="top"/>
          </w:tcPr>
          <w:p w14:paraId="57CE5B8E">
            <w:pPr>
              <w:pStyle w:val="7"/>
              <w:adjustRightInd w:val="0"/>
              <w:snapToGrid w:val="0"/>
              <w:rPr>
                <w:rFonts w:hint="eastAsia"/>
                <w:sz w:val="21"/>
                <w:szCs w:val="21"/>
              </w:rPr>
            </w:pPr>
            <w:r>
              <w:rPr>
                <w:rFonts w:hint="eastAsia"/>
                <w:sz w:val="21"/>
                <w:szCs w:val="21"/>
              </w:rPr>
              <w:t>025-69820630</w:t>
            </w:r>
          </w:p>
        </w:tc>
        <w:tc>
          <w:tcPr>
            <w:tcW w:w="705" w:type="dxa"/>
            <w:noWrap w:val="0"/>
            <w:vAlign w:val="top"/>
          </w:tcPr>
          <w:p w14:paraId="0D229BF7">
            <w:pPr>
              <w:pStyle w:val="7"/>
              <w:adjustRightInd w:val="0"/>
              <w:snapToGrid w:val="0"/>
              <w:rPr>
                <w:rFonts w:hint="eastAsia"/>
                <w:sz w:val="21"/>
                <w:szCs w:val="21"/>
              </w:rPr>
            </w:pPr>
          </w:p>
        </w:tc>
        <w:tc>
          <w:tcPr>
            <w:tcW w:w="1545" w:type="dxa"/>
            <w:noWrap w:val="0"/>
            <w:vAlign w:val="top"/>
          </w:tcPr>
          <w:p w14:paraId="5A01219F">
            <w:pPr>
              <w:pStyle w:val="7"/>
              <w:adjustRightInd w:val="0"/>
              <w:snapToGrid w:val="0"/>
              <w:rPr>
                <w:rFonts w:hint="eastAsia"/>
                <w:sz w:val="21"/>
                <w:szCs w:val="21"/>
              </w:rPr>
            </w:pPr>
            <w:r>
              <w:rPr>
                <w:rFonts w:hint="eastAsia"/>
                <w:sz w:val="21"/>
                <w:szCs w:val="21"/>
              </w:rPr>
              <w:t>传    真：</w:t>
            </w:r>
          </w:p>
        </w:tc>
        <w:tc>
          <w:tcPr>
            <w:tcW w:w="2865" w:type="dxa"/>
            <w:noWrap w:val="0"/>
            <w:vAlign w:val="top"/>
          </w:tcPr>
          <w:p w14:paraId="25097D98">
            <w:pPr>
              <w:pStyle w:val="7"/>
              <w:adjustRightInd w:val="0"/>
              <w:snapToGrid w:val="0"/>
              <w:rPr>
                <w:rFonts w:hint="default" w:eastAsia="宋体"/>
                <w:sz w:val="21"/>
                <w:szCs w:val="21"/>
                <w:lang w:val="en-US" w:eastAsia="zh-CN"/>
              </w:rPr>
            </w:pPr>
            <w:r>
              <w:rPr>
                <w:rFonts w:hint="eastAsia" w:eastAsia="宋体"/>
                <w:sz w:val="21"/>
                <w:szCs w:val="21"/>
                <w:lang w:val="en-US" w:eastAsia="zh-CN"/>
              </w:rPr>
              <w:t xml:space="preserve"> </w:t>
            </w:r>
          </w:p>
        </w:tc>
      </w:tr>
      <w:permEnd w:id="70"/>
      <w:permEnd w:id="71"/>
      <w:permEnd w:id="72"/>
      <w:tr w14:paraId="768FB9AA">
        <w:tblPrEx>
          <w:tblCellMar>
            <w:top w:w="0" w:type="dxa"/>
            <w:left w:w="108" w:type="dxa"/>
            <w:bottom w:w="0" w:type="dxa"/>
            <w:right w:w="108" w:type="dxa"/>
          </w:tblCellMar>
        </w:tblPrEx>
        <w:trPr>
          <w:trHeight w:val="567" w:hRule="atLeast"/>
        </w:trPr>
        <w:tc>
          <w:tcPr>
            <w:tcW w:w="1234" w:type="dxa"/>
            <w:noWrap w:val="0"/>
            <w:vAlign w:val="top"/>
          </w:tcPr>
          <w:p w14:paraId="770D98FF">
            <w:pPr>
              <w:pStyle w:val="7"/>
              <w:adjustRightInd w:val="0"/>
              <w:snapToGrid w:val="0"/>
              <w:rPr>
                <w:rFonts w:hint="eastAsia"/>
                <w:sz w:val="21"/>
                <w:szCs w:val="21"/>
              </w:rPr>
            </w:pPr>
            <w:permStart w:id="73" w:edGrp="everyone" w:colFirst="1" w:colLast="1"/>
            <w:permStart w:id="74" w:edGrp="everyone" w:colFirst="3" w:colLast="3"/>
            <w:permStart w:id="75" w:edGrp="everyone" w:colFirst="4" w:colLast="4"/>
            <w:r>
              <w:rPr>
                <w:rFonts w:hint="eastAsia"/>
                <w:sz w:val="21"/>
                <w:szCs w:val="21"/>
              </w:rPr>
              <w:t>电子邮箱：</w:t>
            </w:r>
          </w:p>
        </w:tc>
        <w:tc>
          <w:tcPr>
            <w:tcW w:w="3180" w:type="dxa"/>
            <w:noWrap w:val="0"/>
            <w:vAlign w:val="top"/>
          </w:tcPr>
          <w:p w14:paraId="5BE214BB">
            <w:pPr>
              <w:pStyle w:val="7"/>
              <w:adjustRightInd w:val="0"/>
              <w:snapToGrid w:val="0"/>
              <w:rPr>
                <w:rFonts w:hint="eastAsia"/>
                <w:sz w:val="21"/>
                <w:szCs w:val="21"/>
                <w:u w:val="single"/>
              </w:rPr>
            </w:pPr>
            <w:r>
              <w:rPr>
                <w:sz w:val="21"/>
                <w:szCs w:val="21"/>
                <w:u w:val="single"/>
              </w:rPr>
              <w:t xml:space="preserve">  </w:t>
            </w:r>
            <w:r>
              <w:rPr>
                <w:rFonts w:hint="eastAsia"/>
                <w:sz w:val="21"/>
                <w:szCs w:val="21"/>
                <w:u w:val="single"/>
              </w:rPr>
              <w:t xml:space="preserve">           </w:t>
            </w:r>
            <w:r>
              <w:rPr>
                <w:sz w:val="21"/>
                <w:szCs w:val="21"/>
                <w:u w:val="single"/>
              </w:rPr>
              <w:t xml:space="preserve">  </w:t>
            </w:r>
          </w:p>
        </w:tc>
        <w:tc>
          <w:tcPr>
            <w:tcW w:w="705" w:type="dxa"/>
            <w:noWrap w:val="0"/>
            <w:vAlign w:val="top"/>
          </w:tcPr>
          <w:p w14:paraId="1C2FAF0B">
            <w:pPr>
              <w:pStyle w:val="7"/>
              <w:adjustRightInd w:val="0"/>
              <w:snapToGrid w:val="0"/>
              <w:rPr>
                <w:rFonts w:hint="eastAsia"/>
                <w:sz w:val="21"/>
                <w:szCs w:val="21"/>
              </w:rPr>
            </w:pPr>
          </w:p>
        </w:tc>
        <w:tc>
          <w:tcPr>
            <w:tcW w:w="1545" w:type="dxa"/>
            <w:noWrap w:val="0"/>
            <w:vAlign w:val="top"/>
          </w:tcPr>
          <w:p w14:paraId="7395E7B0">
            <w:pPr>
              <w:pStyle w:val="7"/>
              <w:adjustRightInd w:val="0"/>
              <w:snapToGrid w:val="0"/>
              <w:rPr>
                <w:rFonts w:hint="eastAsia"/>
                <w:sz w:val="21"/>
                <w:szCs w:val="21"/>
              </w:rPr>
            </w:pPr>
            <w:r>
              <w:rPr>
                <w:rFonts w:hint="eastAsia"/>
                <w:sz w:val="21"/>
                <w:szCs w:val="21"/>
              </w:rPr>
              <w:t>电子邮箱：</w:t>
            </w:r>
          </w:p>
        </w:tc>
        <w:tc>
          <w:tcPr>
            <w:tcW w:w="2865" w:type="dxa"/>
            <w:noWrap w:val="0"/>
            <w:vAlign w:val="top"/>
          </w:tcPr>
          <w:p w14:paraId="4A37918C">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73"/>
      <w:permEnd w:id="74"/>
      <w:permEnd w:id="75"/>
      <w:tr w14:paraId="6BE0E7F4">
        <w:tblPrEx>
          <w:tblCellMar>
            <w:top w:w="0" w:type="dxa"/>
            <w:left w:w="108" w:type="dxa"/>
            <w:bottom w:w="0" w:type="dxa"/>
            <w:right w:w="108" w:type="dxa"/>
          </w:tblCellMar>
        </w:tblPrEx>
        <w:trPr>
          <w:trHeight w:val="567" w:hRule="atLeast"/>
        </w:trPr>
        <w:tc>
          <w:tcPr>
            <w:tcW w:w="4414" w:type="dxa"/>
            <w:gridSpan w:val="2"/>
            <w:noWrap w:val="0"/>
            <w:vAlign w:val="top"/>
          </w:tcPr>
          <w:p w14:paraId="37D23A08">
            <w:pPr>
              <w:pStyle w:val="7"/>
              <w:adjustRightInd w:val="0"/>
              <w:snapToGrid w:val="0"/>
              <w:jc w:val="right"/>
              <w:rPr>
                <w:rFonts w:hint="eastAsia"/>
                <w:sz w:val="21"/>
                <w:szCs w:val="21"/>
              </w:rPr>
            </w:pPr>
            <w:permStart w:id="76" w:edGrp="everyone"/>
            <w:r>
              <w:rPr>
                <w:rFonts w:hint="eastAsia"/>
                <w:sz w:val="21"/>
                <w:szCs w:val="21"/>
              </w:rPr>
              <w:t xml:space="preserve">年    月 </w:t>
            </w:r>
            <w:r>
              <w:rPr>
                <w:sz w:val="21"/>
                <w:szCs w:val="21"/>
              </w:rPr>
              <w:t xml:space="preserve"> </w:t>
            </w:r>
            <w:r>
              <w:rPr>
                <w:rFonts w:hint="eastAsia"/>
                <w:sz w:val="21"/>
                <w:szCs w:val="21"/>
              </w:rPr>
              <w:t xml:space="preserve">  日</w:t>
            </w:r>
            <w:permEnd w:id="76"/>
          </w:p>
        </w:tc>
        <w:tc>
          <w:tcPr>
            <w:tcW w:w="705" w:type="dxa"/>
            <w:noWrap w:val="0"/>
            <w:vAlign w:val="top"/>
          </w:tcPr>
          <w:p w14:paraId="424CACD1">
            <w:pPr>
              <w:pStyle w:val="7"/>
              <w:adjustRightInd w:val="0"/>
              <w:snapToGrid w:val="0"/>
              <w:rPr>
                <w:rFonts w:hint="eastAsia"/>
                <w:sz w:val="21"/>
                <w:szCs w:val="21"/>
              </w:rPr>
            </w:pPr>
          </w:p>
        </w:tc>
        <w:tc>
          <w:tcPr>
            <w:tcW w:w="4410" w:type="dxa"/>
            <w:gridSpan w:val="2"/>
            <w:noWrap w:val="0"/>
            <w:vAlign w:val="top"/>
          </w:tcPr>
          <w:p w14:paraId="3720F517">
            <w:pPr>
              <w:pStyle w:val="7"/>
              <w:adjustRightInd w:val="0"/>
              <w:snapToGrid w:val="0"/>
              <w:jc w:val="right"/>
              <w:rPr>
                <w:rFonts w:hint="eastAsia"/>
                <w:sz w:val="21"/>
                <w:szCs w:val="21"/>
              </w:rPr>
            </w:pPr>
            <w:permStart w:id="77" w:edGrp="everyone"/>
            <w:r>
              <w:rPr>
                <w:rFonts w:hint="eastAsia"/>
                <w:sz w:val="21"/>
                <w:szCs w:val="21"/>
              </w:rPr>
              <w:t xml:space="preserve">年    月 </w:t>
            </w:r>
            <w:r>
              <w:rPr>
                <w:sz w:val="21"/>
                <w:szCs w:val="21"/>
              </w:rPr>
              <w:t xml:space="preserve"> </w:t>
            </w:r>
            <w:r>
              <w:rPr>
                <w:rFonts w:hint="eastAsia"/>
                <w:sz w:val="21"/>
                <w:szCs w:val="21"/>
              </w:rPr>
              <w:t xml:space="preserve">  日</w:t>
            </w:r>
            <w:permEnd w:id="77"/>
          </w:p>
        </w:tc>
      </w:tr>
    </w:tbl>
    <w:p w14:paraId="66470221">
      <w:pPr>
        <w:jc w:val="left"/>
      </w:pPr>
    </w:p>
    <w:p w14:paraId="3E9501A7">
      <w:pPr>
        <w:jc w:val="left"/>
      </w:pPr>
    </w:p>
    <w:p w14:paraId="0587B16C">
      <w:pPr>
        <w:jc w:val="left"/>
      </w:pPr>
    </w:p>
    <w:p w14:paraId="06FB4E48">
      <w:pPr>
        <w:jc w:val="left"/>
      </w:pPr>
    </w:p>
    <w:p w14:paraId="49331D8E">
      <w:pPr>
        <w:jc w:val="left"/>
      </w:pPr>
    </w:p>
    <w:p w14:paraId="371E150D">
      <w:pPr>
        <w:jc w:val="left"/>
        <w:rPr>
          <w:rFonts w:hint="default"/>
          <w:lang w:val="en-US" w:eastAsia="zh-CN"/>
        </w:rPr>
      </w:pPr>
    </w:p>
    <w:p w14:paraId="50F4ADEA">
      <w:pPr>
        <w:pStyle w:val="3"/>
        <w:rPr>
          <w:rFonts w:hint="eastAsia"/>
          <w:lang w:val="en-US" w:eastAsia="zh-CN"/>
        </w:rPr>
      </w:pPr>
    </w:p>
    <w:p w14:paraId="3A9E8494">
      <w:pPr>
        <w:rPr>
          <w:rFonts w:hint="eastAsia"/>
          <w:lang w:val="en-US" w:eastAsia="zh-CN"/>
        </w:rPr>
      </w:pPr>
    </w:p>
    <w:sectPr>
      <w:pgSz w:w="11906" w:h="16838"/>
      <w:pgMar w:top="1440" w:right="1519" w:bottom="1440" w:left="129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57E01045"/>
    <w:multiLevelType w:val="singleLevel"/>
    <w:tmpl w:val="57E0104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E367B4"/>
    <w:rsid w:val="00FA294D"/>
    <w:rsid w:val="00FB179F"/>
    <w:rsid w:val="00FC22FE"/>
    <w:rsid w:val="012944F0"/>
    <w:rsid w:val="01635C49"/>
    <w:rsid w:val="017E696D"/>
    <w:rsid w:val="02301FCF"/>
    <w:rsid w:val="0278078C"/>
    <w:rsid w:val="02E50728"/>
    <w:rsid w:val="078F69E9"/>
    <w:rsid w:val="08E150F4"/>
    <w:rsid w:val="0AC534D0"/>
    <w:rsid w:val="0ACC0D02"/>
    <w:rsid w:val="0AED4AF2"/>
    <w:rsid w:val="0C6A07D3"/>
    <w:rsid w:val="0D7B4129"/>
    <w:rsid w:val="0E5350E3"/>
    <w:rsid w:val="10234F21"/>
    <w:rsid w:val="103575C1"/>
    <w:rsid w:val="115D0906"/>
    <w:rsid w:val="11DA5AB3"/>
    <w:rsid w:val="121F524D"/>
    <w:rsid w:val="134A2256"/>
    <w:rsid w:val="16041350"/>
    <w:rsid w:val="19E03E83"/>
    <w:rsid w:val="1A24794A"/>
    <w:rsid w:val="1B28788F"/>
    <w:rsid w:val="1D8138E1"/>
    <w:rsid w:val="20DD321B"/>
    <w:rsid w:val="21C61BB0"/>
    <w:rsid w:val="22243E0C"/>
    <w:rsid w:val="22250FCC"/>
    <w:rsid w:val="2406098A"/>
    <w:rsid w:val="24AD59F2"/>
    <w:rsid w:val="260C00C4"/>
    <w:rsid w:val="282E28F9"/>
    <w:rsid w:val="283D50FD"/>
    <w:rsid w:val="28BF2A3E"/>
    <w:rsid w:val="294C2226"/>
    <w:rsid w:val="294C32E2"/>
    <w:rsid w:val="2A316D5D"/>
    <w:rsid w:val="2AE9690F"/>
    <w:rsid w:val="2B9920E3"/>
    <w:rsid w:val="2B9F0C5F"/>
    <w:rsid w:val="2E3210E4"/>
    <w:rsid w:val="2EA6515C"/>
    <w:rsid w:val="2F6F7604"/>
    <w:rsid w:val="2FB120F1"/>
    <w:rsid w:val="3104623F"/>
    <w:rsid w:val="322A2FB9"/>
    <w:rsid w:val="32DC0FAC"/>
    <w:rsid w:val="331F412B"/>
    <w:rsid w:val="33E175A0"/>
    <w:rsid w:val="34A92764"/>
    <w:rsid w:val="35851A01"/>
    <w:rsid w:val="365C5659"/>
    <w:rsid w:val="37096EB0"/>
    <w:rsid w:val="370E7563"/>
    <w:rsid w:val="377F0AA2"/>
    <w:rsid w:val="37E6017D"/>
    <w:rsid w:val="37F01A66"/>
    <w:rsid w:val="38133FA2"/>
    <w:rsid w:val="39276F80"/>
    <w:rsid w:val="39E35B36"/>
    <w:rsid w:val="3A7D6FCD"/>
    <w:rsid w:val="3A971EE4"/>
    <w:rsid w:val="3B060054"/>
    <w:rsid w:val="3BB93C18"/>
    <w:rsid w:val="3D85630A"/>
    <w:rsid w:val="3F2002BB"/>
    <w:rsid w:val="41B11ADD"/>
    <w:rsid w:val="42880842"/>
    <w:rsid w:val="43B9431B"/>
    <w:rsid w:val="43CC51CD"/>
    <w:rsid w:val="46382D6C"/>
    <w:rsid w:val="46B1043E"/>
    <w:rsid w:val="49487872"/>
    <w:rsid w:val="499B6B7C"/>
    <w:rsid w:val="4A3D6149"/>
    <w:rsid w:val="4AF41787"/>
    <w:rsid w:val="4B970F66"/>
    <w:rsid w:val="4BC81014"/>
    <w:rsid w:val="4BF83138"/>
    <w:rsid w:val="4C3346A1"/>
    <w:rsid w:val="4E4640FD"/>
    <w:rsid w:val="50EC0254"/>
    <w:rsid w:val="512E0FB4"/>
    <w:rsid w:val="51AF590D"/>
    <w:rsid w:val="51C82192"/>
    <w:rsid w:val="532E1C99"/>
    <w:rsid w:val="53446DA8"/>
    <w:rsid w:val="53CA1C02"/>
    <w:rsid w:val="541E59ED"/>
    <w:rsid w:val="54AD25D8"/>
    <w:rsid w:val="54F90545"/>
    <w:rsid w:val="55D25BB9"/>
    <w:rsid w:val="58964825"/>
    <w:rsid w:val="5A2E46EA"/>
    <w:rsid w:val="5B512FA9"/>
    <w:rsid w:val="5C626C78"/>
    <w:rsid w:val="5D264449"/>
    <w:rsid w:val="5D27671A"/>
    <w:rsid w:val="5D35338F"/>
    <w:rsid w:val="5D793204"/>
    <w:rsid w:val="5E1E3CAF"/>
    <w:rsid w:val="5E3653EC"/>
    <w:rsid w:val="5F23446B"/>
    <w:rsid w:val="5F421E8D"/>
    <w:rsid w:val="602837E7"/>
    <w:rsid w:val="607664FC"/>
    <w:rsid w:val="60BB5D97"/>
    <w:rsid w:val="60D10982"/>
    <w:rsid w:val="614926BE"/>
    <w:rsid w:val="61DC10EB"/>
    <w:rsid w:val="620F53D7"/>
    <w:rsid w:val="640C3B9C"/>
    <w:rsid w:val="64AB30F0"/>
    <w:rsid w:val="656478DF"/>
    <w:rsid w:val="662D5327"/>
    <w:rsid w:val="66D46B5D"/>
    <w:rsid w:val="69792EBA"/>
    <w:rsid w:val="6C6967BA"/>
    <w:rsid w:val="6C6C22EE"/>
    <w:rsid w:val="6C9A3FDC"/>
    <w:rsid w:val="6D5E1A98"/>
    <w:rsid w:val="6D9A17B5"/>
    <w:rsid w:val="6E1D0C30"/>
    <w:rsid w:val="71184A7E"/>
    <w:rsid w:val="71381023"/>
    <w:rsid w:val="721B7E4A"/>
    <w:rsid w:val="72C75245"/>
    <w:rsid w:val="72F76BD8"/>
    <w:rsid w:val="74574432"/>
    <w:rsid w:val="74A82012"/>
    <w:rsid w:val="759568B3"/>
    <w:rsid w:val="78743147"/>
    <w:rsid w:val="797A3F30"/>
    <w:rsid w:val="7C896BD7"/>
    <w:rsid w:val="7C98515D"/>
    <w:rsid w:val="7F361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1"/>
    <w:rPr>
      <w:lang w:val="zh-CN"/>
    </w:rPr>
  </w:style>
  <w:style w:type="paragraph" w:styleId="4">
    <w:name w:val="Body Text Indent 2"/>
    <w:basedOn w:val="1"/>
    <w:qFormat/>
    <w:uiPriority w:val="0"/>
    <w:pPr>
      <w:spacing w:after="120" w:line="480" w:lineRule="auto"/>
      <w:ind w:left="420"/>
    </w:p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rFonts w:cs="Times New Roman"/>
      <w:kern w:val="0"/>
      <w:sz w:val="24"/>
    </w:rPr>
  </w:style>
  <w:style w:type="paragraph" w:styleId="8">
    <w:name w:val="Body Text First Indent"/>
    <w:basedOn w:val="1"/>
    <w:unhideWhenUsed/>
    <w:qFormat/>
    <w:uiPriority w:val="0"/>
    <w:pPr>
      <w:ind w:firstLine="420" w:firstLineChars="100"/>
    </w:pPr>
  </w:style>
  <w:style w:type="character" w:styleId="11">
    <w:name w:val="Hyperlink"/>
    <w:basedOn w:val="10"/>
    <w:semiHidden/>
    <w:unhideWhenUsed/>
    <w:qFormat/>
    <w:uiPriority w:val="99"/>
    <w:rPr>
      <w:color w:val="0000FF"/>
      <w:u w:val="single"/>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paragraph" w:customStyle="1" w:styleId="14">
    <w:name w:val="Table Paragraph"/>
    <w:basedOn w:val="1"/>
    <w:qFormat/>
    <w:uiPriority w:val="1"/>
    <w:rPr>
      <w:rFonts w:ascii="宋体" w:hAnsi="宋体" w:eastAsia="宋体" w:cs="宋体"/>
    </w:rPr>
  </w:style>
  <w:style w:type="character" w:customStyle="1" w:styleId="15">
    <w:name w:val="标题 1 字符"/>
    <w:basedOn w:val="10"/>
    <w:link w:val="2"/>
    <w:qFormat/>
    <w:uiPriority w:val="9"/>
    <w:rPr>
      <w:b/>
      <w:bCs/>
      <w:kern w:val="44"/>
      <w:sz w:val="44"/>
      <w:szCs w:val="44"/>
    </w:rPr>
  </w:style>
  <w:style w:type="character" w:customStyle="1" w:styleId="16">
    <w:name w:val="font41"/>
    <w:basedOn w:val="10"/>
    <w:autoRedefine/>
    <w:qFormat/>
    <w:uiPriority w:val="0"/>
    <w:rPr>
      <w:rFonts w:hint="eastAsia" w:ascii="宋体" w:hAnsi="宋体" w:eastAsia="宋体" w:cs="宋体"/>
      <w:color w:val="000000"/>
      <w:sz w:val="20"/>
      <w:szCs w:val="20"/>
      <w:u w:val="none"/>
    </w:rPr>
  </w:style>
  <w:style w:type="character" w:customStyle="1" w:styleId="17">
    <w:name w:val="font81"/>
    <w:basedOn w:val="10"/>
    <w:qFormat/>
    <w:uiPriority w:val="0"/>
    <w:rPr>
      <w:rFonts w:ascii="宋体" w:hAnsi="宋体" w:eastAsia="宋体" w:cs="宋体"/>
      <w:color w:val="000000"/>
      <w:sz w:val="16"/>
      <w:szCs w:val="16"/>
      <w:u w:val="none"/>
    </w:rPr>
  </w:style>
  <w:style w:type="character" w:customStyle="1" w:styleId="18">
    <w:name w:val="font51"/>
    <w:basedOn w:val="10"/>
    <w:qFormat/>
    <w:uiPriority w:val="0"/>
    <w:rPr>
      <w:rFonts w:ascii="宋体" w:hAnsi="宋体" w:eastAsia="宋体" w:cs="宋体"/>
      <w:b/>
      <w:bCs/>
      <w:color w:val="000000"/>
      <w:sz w:val="14"/>
      <w:szCs w:val="14"/>
      <w:u w:val="none"/>
    </w:rPr>
  </w:style>
  <w:style w:type="character" w:customStyle="1" w:styleId="19">
    <w:name w:val="font61"/>
    <w:basedOn w:val="10"/>
    <w:qFormat/>
    <w:uiPriority w:val="0"/>
    <w:rPr>
      <w:rFonts w:hint="default" w:ascii="Arial" w:hAnsi="Arial" w:cs="Arial"/>
      <w:color w:val="000000"/>
      <w:sz w:val="14"/>
      <w:szCs w:val="14"/>
      <w:u w:val="none"/>
    </w:rPr>
  </w:style>
  <w:style w:type="character" w:customStyle="1" w:styleId="20">
    <w:name w:val="font11"/>
    <w:basedOn w:val="10"/>
    <w:qFormat/>
    <w:uiPriority w:val="0"/>
    <w:rPr>
      <w:rFonts w:hint="eastAsia" w:ascii="微软雅黑" w:hAnsi="微软雅黑" w:eastAsia="微软雅黑" w:cs="微软雅黑"/>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9853</Words>
  <Characters>11474</Characters>
  <Lines>14</Lines>
  <Paragraphs>4</Paragraphs>
  <TotalTime>24</TotalTime>
  <ScaleCrop>false</ScaleCrop>
  <LinksUpToDate>false</LinksUpToDate>
  <CharactersWithSpaces>12035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好好吃饭</cp:lastModifiedBy>
  <cp:lastPrinted>2025-11-21T02:03:00Z</cp:lastPrinted>
  <dcterms:modified xsi:type="dcterms:W3CDTF">2025-11-21T06:19:57Z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7409EF3FCD4240F6AA64875F623524DD_13</vt:lpwstr>
  </property>
  <property fmtid="{D5CDD505-2E9C-101B-9397-08002B2CF9AE}" pid="4" name="KSOTemplateDocerSaveRecord">
    <vt:lpwstr>eyJoZGlkIjoiNWNiYzUxMzM3NTIwMTdlMTkyZDlkNGM4NzM2OTFmNDAiLCJ1c2VySWQiOiIxMjg5NDA0OTkyIn0=</vt:lpwstr>
  </property>
</Properties>
</file>