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DA573">
      <w:pPr>
        <w:pageBreakBefore/>
        <w:kinsoku/>
        <w:wordWrap/>
        <w:overflowPunct/>
        <w:topLinePunct w:val="0"/>
        <w:bidi w:val="0"/>
        <w:adjustRightInd w:val="0"/>
        <w:snapToGrid w:val="0"/>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南京禄口国际机场空港科技有限公司采购招标文件</w:t>
      </w:r>
    </w:p>
    <w:p w14:paraId="349CA3FA">
      <w:pPr>
        <w:kinsoku/>
        <w:wordWrap/>
        <w:overflowPunct/>
        <w:topLinePunct w:val="0"/>
        <w:bidi w:val="0"/>
        <w:snapToGrid w:val="0"/>
        <w:spacing w:line="360" w:lineRule="auto"/>
        <w:jc w:val="center"/>
        <w:rPr>
          <w:rFonts w:hint="eastAsia" w:ascii="宋体" w:hAnsi="宋体" w:eastAsia="宋体" w:cs="宋体"/>
          <w:b/>
          <w:sz w:val="28"/>
          <w:szCs w:val="28"/>
          <w:highlight w:val="none"/>
        </w:rPr>
      </w:pPr>
    </w:p>
    <w:p w14:paraId="78881355">
      <w:pPr>
        <w:kinsoku/>
        <w:wordWrap/>
        <w:overflowPunct/>
        <w:topLinePunct w:val="0"/>
        <w:bidi w:val="0"/>
        <w:snapToGrid w:val="0"/>
        <w:spacing w:line="360" w:lineRule="auto"/>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南京禄口国际机场空港科技有限公司</w:t>
      </w:r>
      <w:r>
        <w:rPr>
          <w:rFonts w:hint="eastAsia" w:ascii="宋体" w:hAnsi="宋体" w:eastAsia="宋体" w:cs="宋体"/>
          <w:szCs w:val="21"/>
          <w:highlight w:val="none"/>
        </w:rPr>
        <w:t>拟通过自主招标方式采购</w:t>
      </w:r>
      <w:r>
        <w:rPr>
          <w:rFonts w:hint="eastAsia" w:ascii="宋体" w:hAnsi="宋体" w:eastAsia="宋体" w:cs="宋体"/>
          <w:szCs w:val="21"/>
          <w:highlight w:val="none"/>
          <w:lang w:val="en-US" w:eastAsia="zh-CN"/>
        </w:rPr>
        <w:t>设备一批</w:t>
      </w:r>
      <w:r>
        <w:rPr>
          <w:rFonts w:hint="eastAsia" w:ascii="宋体" w:hAnsi="宋体" w:eastAsia="宋体" w:cs="宋体"/>
          <w:szCs w:val="21"/>
          <w:highlight w:val="none"/>
        </w:rPr>
        <w:t>，现邀请有意向且满足要求的投标人参加，为统一投标文件的编制标准，现明确如下事项：</w:t>
      </w:r>
    </w:p>
    <w:p w14:paraId="5F96CCBB">
      <w:pPr>
        <w:kinsoku/>
        <w:wordWrap/>
        <w:overflowPunct/>
        <w:topLinePunct w:val="0"/>
        <w:bidi w:val="0"/>
        <w:snapToGrid w:val="0"/>
        <w:spacing w:line="360" w:lineRule="auto"/>
        <w:rPr>
          <w:rFonts w:hint="eastAsia" w:ascii="宋体" w:hAnsi="宋体" w:eastAsia="宋体" w:cs="宋体"/>
          <w:szCs w:val="21"/>
          <w:highlight w:val="none"/>
        </w:rPr>
      </w:pPr>
      <w:r>
        <w:rPr>
          <w:rFonts w:hint="eastAsia" w:ascii="宋体" w:hAnsi="宋体" w:eastAsia="宋体" w:cs="宋体"/>
          <w:b/>
          <w:szCs w:val="21"/>
          <w:highlight w:val="none"/>
        </w:rPr>
        <w:t>招标项目内容：</w:t>
      </w:r>
    </w:p>
    <w:p w14:paraId="3DA926CB">
      <w:pPr>
        <w:kinsoku/>
        <w:wordWrap/>
        <w:overflowPunct/>
        <w:topLinePunct w:val="0"/>
        <w:bidi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本项目</w:t>
      </w:r>
      <w:r>
        <w:rPr>
          <w:rFonts w:hint="eastAsia" w:ascii="宋体" w:hAnsi="宋体" w:eastAsia="宋体" w:cs="宋体"/>
          <w:szCs w:val="21"/>
          <w:highlight w:val="none"/>
          <w:lang w:val="en-US" w:eastAsia="zh-CN"/>
        </w:rPr>
        <w:t>为设备</w:t>
      </w:r>
      <w:r>
        <w:rPr>
          <w:rFonts w:hint="eastAsia" w:ascii="宋体" w:hAnsi="宋体" w:eastAsia="宋体" w:cs="宋体"/>
          <w:szCs w:val="21"/>
          <w:highlight w:val="none"/>
        </w:rPr>
        <w:t>采购招标。中标人应按照供货时间要求提供</w:t>
      </w:r>
      <w:r>
        <w:rPr>
          <w:rFonts w:hint="eastAsia" w:ascii="宋体" w:hAnsi="宋体" w:eastAsia="宋体" w:cs="宋体"/>
          <w:szCs w:val="21"/>
          <w:highlight w:val="none"/>
          <w:lang w:val="en-US" w:eastAsia="zh-CN"/>
        </w:rPr>
        <w:t>设备</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设备规格型号和要求必须完全符合招标人要求，</w:t>
      </w:r>
      <w:r>
        <w:rPr>
          <w:rFonts w:hint="eastAsia" w:ascii="宋体" w:hAnsi="宋体" w:eastAsia="宋体" w:cs="宋体"/>
          <w:szCs w:val="21"/>
          <w:highlight w:val="none"/>
        </w:rPr>
        <w:t>招标人有权根据实际需要调整内容，投标人应无条件满足。</w:t>
      </w:r>
    </w:p>
    <w:p w14:paraId="0903BCEB">
      <w:pPr>
        <w:kinsoku/>
        <w:wordWrap/>
        <w:overflowPunct/>
        <w:topLinePunct w:val="0"/>
        <w:bidi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最高投标限制总价：</w:t>
      </w:r>
      <w:r>
        <w:rPr>
          <w:rFonts w:hint="eastAsia" w:ascii="宋体" w:hAnsi="宋体" w:eastAsia="宋体" w:cs="宋体"/>
          <w:szCs w:val="21"/>
          <w:highlight w:val="none"/>
          <w:lang w:val="en-US" w:eastAsia="zh-CN"/>
        </w:rPr>
        <w:t>肆拾贰万壹仟捌佰元整 ，</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42.18</w:t>
      </w:r>
      <w:r>
        <w:rPr>
          <w:rFonts w:hint="eastAsia" w:ascii="宋体" w:hAnsi="宋体" w:eastAsia="宋体" w:cs="宋体"/>
          <w:color w:val="auto"/>
          <w:szCs w:val="21"/>
          <w:highlight w:val="none"/>
        </w:rPr>
        <w:t>万元</w:t>
      </w:r>
      <w:r>
        <w:rPr>
          <w:rFonts w:hint="eastAsia" w:ascii="宋体" w:hAnsi="宋体" w:eastAsia="宋体" w:cs="宋体"/>
          <w:szCs w:val="21"/>
          <w:highlight w:val="none"/>
        </w:rPr>
        <w:t>（注：报价应含</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增值专用发票</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运费、调试等全部费用</w:t>
      </w:r>
      <w:r>
        <w:rPr>
          <w:rFonts w:hint="eastAsia" w:ascii="宋体" w:hAnsi="宋体" w:eastAsia="宋体" w:cs="宋体"/>
          <w:szCs w:val="21"/>
          <w:highlight w:val="none"/>
        </w:rPr>
        <w:t>）。</w:t>
      </w:r>
    </w:p>
    <w:p w14:paraId="2DF937EE">
      <w:pPr>
        <w:spacing w:line="360" w:lineRule="auto"/>
        <w:rPr>
          <w:rFonts w:hint="eastAsia" w:ascii="宋体" w:hAnsi="宋体" w:eastAsia="宋体" w:cs="宋体"/>
          <w:szCs w:val="21"/>
          <w:highlight w:val="none"/>
        </w:rPr>
      </w:pPr>
      <w:r>
        <w:rPr>
          <w:rFonts w:hint="eastAsia" w:ascii="宋体" w:hAnsi="宋体" w:eastAsia="宋体" w:cs="宋体"/>
          <w:b/>
          <w:szCs w:val="21"/>
          <w:highlight w:val="none"/>
        </w:rPr>
        <w:t>一、投标人资质要求：</w:t>
      </w:r>
    </w:p>
    <w:p w14:paraId="227BE0CC">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1、投标人须是中华人民共和国境内正式注册并具有有效独立法人资格的法人，注册资本不少于</w:t>
      </w:r>
      <w:r>
        <w:rPr>
          <w:rFonts w:hint="eastAsia" w:ascii="宋体" w:hAnsi="宋体" w:eastAsia="宋体" w:cs="宋体"/>
          <w:szCs w:val="21"/>
          <w:highlight w:val="none"/>
          <w:lang w:val="en-US" w:eastAsia="zh-CN"/>
        </w:rPr>
        <w:t>20</w:t>
      </w:r>
      <w:r>
        <w:rPr>
          <w:rFonts w:hint="eastAsia" w:ascii="宋体" w:hAnsi="宋体" w:eastAsia="宋体" w:cs="宋体"/>
          <w:szCs w:val="21"/>
          <w:highlight w:val="none"/>
        </w:rPr>
        <w:t>0</w:t>
      </w:r>
      <w:r>
        <w:rPr>
          <w:rFonts w:hint="eastAsia" w:ascii="宋体" w:hAnsi="宋体" w:eastAsia="宋体" w:cs="宋体"/>
          <w:szCs w:val="21"/>
          <w:highlight w:val="none"/>
        </w:rPr>
        <w:t>万。（需提供加盖公章的营业执照复印件）</w:t>
      </w:r>
    </w:p>
    <w:p w14:paraId="74413EC1">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2、投标人须提供2021年1月1日至本公告发布之日止本次采购类似项目业绩。（提供加盖公章的合同复印件，原件备查）。</w:t>
      </w:r>
    </w:p>
    <w:p w14:paraId="30010293">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3、投标人须信誉良好，在经营活动中没有严重违法记录，在“国家企业信用信息公示系统”网站没有被列入严重违法失信企业名单（黑名单）（证明文件：“国家企业信用信息公示系统”网站（http://www.gsxt.gov.cn/index.html）查询结果截图，“黑名单”栏显示为0条记录，加盖投标人公章。若结果截图显示“查询不到该企业”，视同未被列入严重违法失信企业名单）；</w:t>
      </w:r>
    </w:p>
    <w:p w14:paraId="7247298A">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4、需提供针对本项目的质保函并加盖公章，否则视为无效投标。</w:t>
      </w:r>
    </w:p>
    <w:p w14:paraId="108D9C8B">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5、 本项目不接受联合体投标，不得转包、不得挂靠。</w:t>
      </w:r>
    </w:p>
    <w:p w14:paraId="4B1FCA75">
      <w:pPr>
        <w:kinsoku/>
        <w:wordWrap/>
        <w:overflowPunct/>
        <w:topLinePunct w:val="0"/>
        <w:bidi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二、报价方式：</w:t>
      </w:r>
    </w:p>
    <w:p w14:paraId="25E9E1D2">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1、请按报价一览表格式填写。</w:t>
      </w:r>
    </w:p>
    <w:p w14:paraId="5EFE6CE6">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2、本项目的最终报价，为完成该项目全部费用之总和，一旦投标人中标并和招标人签订了本项目合同后，即使投标人发现在报价时费用有计算错误，也不得另行增加费用。</w:t>
      </w:r>
    </w:p>
    <w:p w14:paraId="56758362">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3、根据招标人的实际需求，投标人实际提供的</w:t>
      </w:r>
      <w:r>
        <w:rPr>
          <w:rFonts w:hint="eastAsia" w:ascii="宋体" w:hAnsi="宋体" w:eastAsia="宋体" w:cs="宋体"/>
          <w:szCs w:val="21"/>
          <w:highlight w:val="none"/>
          <w:lang w:val="en-US" w:eastAsia="zh-CN"/>
        </w:rPr>
        <w:t>线材及配管</w:t>
      </w:r>
      <w:r>
        <w:rPr>
          <w:rFonts w:hint="eastAsia" w:ascii="宋体" w:hAnsi="宋体" w:eastAsia="宋体" w:cs="宋体"/>
          <w:szCs w:val="21"/>
          <w:highlight w:val="none"/>
        </w:rPr>
        <w:t>数量如有所变化，在合同单价不变的基础上，招标人可对所增加或减少的产品作相应的费用调整。</w:t>
      </w:r>
    </w:p>
    <w:p w14:paraId="31C44B8F">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4、</w:t>
      </w:r>
      <w:r>
        <w:rPr>
          <w:rFonts w:hint="eastAsia" w:ascii="宋体" w:hAnsi="宋体" w:eastAsia="宋体" w:cs="宋体"/>
          <w:b w:val="0"/>
          <w:bCs w:val="0"/>
          <w:szCs w:val="21"/>
          <w:highlight w:val="none"/>
        </w:rPr>
        <w:t>投标人的投标报价不得超过最高投标限价总价，否则投标将被否决</w:t>
      </w:r>
      <w:r>
        <w:rPr>
          <w:rFonts w:hint="eastAsia" w:ascii="宋体" w:hAnsi="宋体" w:eastAsia="宋体" w:cs="宋体"/>
          <w:szCs w:val="21"/>
          <w:highlight w:val="none"/>
        </w:rPr>
        <w:t>。</w:t>
      </w:r>
    </w:p>
    <w:p w14:paraId="556E0597">
      <w:pPr>
        <w:kinsoku/>
        <w:wordWrap/>
        <w:overflowPunct/>
        <w:topLinePunct w:val="0"/>
        <w:bidi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三、其它说明</w:t>
      </w:r>
    </w:p>
    <w:p w14:paraId="246B691D">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1、售后服务要求：卖方保证向我公司提供完善的售后服务，包括提供相应的技术资料及技术支持；响应及到场时间为</w:t>
      </w:r>
      <w:r>
        <w:rPr>
          <w:rFonts w:hint="eastAsia" w:ascii="宋体" w:hAnsi="宋体" w:eastAsia="宋体" w:cs="宋体"/>
          <w:szCs w:val="21"/>
          <w:highlight w:val="none"/>
          <w:lang w:val="en-US" w:eastAsia="zh-CN"/>
        </w:rPr>
        <w:t>72</w:t>
      </w:r>
      <w:r>
        <w:rPr>
          <w:rFonts w:hint="eastAsia" w:ascii="宋体" w:hAnsi="宋体" w:eastAsia="宋体" w:cs="宋体"/>
          <w:szCs w:val="21"/>
          <w:highlight w:val="none"/>
        </w:rPr>
        <w:t>小时内。</w:t>
      </w:r>
    </w:p>
    <w:p w14:paraId="08AE86C3">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2、不能实质性满足招标文件要求或不能提供实质性满足证明的按废标处理。</w:t>
      </w:r>
    </w:p>
    <w:p w14:paraId="04B01432">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3、投标人应对</w:t>
      </w:r>
      <w:r>
        <w:rPr>
          <w:rFonts w:hint="eastAsia" w:ascii="宋体" w:hAnsi="宋体" w:eastAsia="宋体" w:cs="宋体"/>
          <w:szCs w:val="21"/>
          <w:highlight w:val="none"/>
          <w:lang w:val="en-US" w:eastAsia="zh-CN"/>
        </w:rPr>
        <w:t>设备</w:t>
      </w:r>
      <w:r>
        <w:rPr>
          <w:rFonts w:hint="eastAsia" w:ascii="宋体" w:hAnsi="宋体" w:eastAsia="宋体" w:cs="宋体"/>
          <w:szCs w:val="21"/>
          <w:highlight w:val="none"/>
        </w:rPr>
        <w:t>提供</w:t>
      </w:r>
      <w:r>
        <w:rPr>
          <w:rFonts w:hint="eastAsia" w:ascii="宋体" w:hAnsi="宋体" w:eastAsia="宋体" w:cs="宋体"/>
          <w:color w:val="444444"/>
          <w:sz w:val="24"/>
          <w:highlight w:val="none"/>
          <w:shd w:val="clear" w:color="auto" w:fill="FFFFFF"/>
          <w:lang w:val="en-US" w:eastAsia="zh-CN"/>
        </w:rPr>
        <w:t>2</w:t>
      </w:r>
      <w:r>
        <w:rPr>
          <w:rFonts w:hint="eastAsia" w:ascii="宋体" w:hAnsi="宋体" w:eastAsia="宋体" w:cs="宋体"/>
          <w:szCs w:val="21"/>
          <w:highlight w:val="none"/>
        </w:rPr>
        <w:t>年质保</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质保期自</w:t>
      </w:r>
      <w:r>
        <w:rPr>
          <w:rFonts w:hint="eastAsia" w:ascii="宋体" w:hAnsi="宋体" w:eastAsia="宋体" w:cs="宋体"/>
          <w:szCs w:val="21"/>
          <w:highlight w:val="none"/>
          <w:lang w:val="en-US" w:eastAsia="zh-CN"/>
        </w:rPr>
        <w:t>行业</w:t>
      </w:r>
      <w:r>
        <w:rPr>
          <w:rFonts w:hint="eastAsia" w:ascii="宋体" w:hAnsi="宋体" w:eastAsia="宋体" w:cs="宋体"/>
          <w:szCs w:val="21"/>
          <w:highlight w:val="none"/>
        </w:rPr>
        <w:t>验收</w:t>
      </w:r>
      <w:r>
        <w:rPr>
          <w:rFonts w:hint="eastAsia" w:ascii="宋体" w:hAnsi="宋体" w:eastAsia="宋体" w:cs="宋体"/>
          <w:szCs w:val="21"/>
          <w:highlight w:val="none"/>
          <w:lang w:val="en-US" w:eastAsia="zh-CN"/>
        </w:rPr>
        <w:t>合格</w:t>
      </w:r>
      <w:r>
        <w:rPr>
          <w:rFonts w:hint="eastAsia" w:ascii="宋体" w:hAnsi="宋体" w:eastAsia="宋体" w:cs="宋体"/>
          <w:szCs w:val="21"/>
          <w:highlight w:val="none"/>
        </w:rPr>
        <w:t>之日起计算。</w:t>
      </w:r>
    </w:p>
    <w:p w14:paraId="1480BACB">
      <w:pPr>
        <w:kinsoku/>
        <w:wordWrap/>
        <w:overflowPunct/>
        <w:topLinePunct w:val="0"/>
        <w:bidi w:val="0"/>
        <w:spacing w:line="360" w:lineRule="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4、投标人需要完全响应技术规格书。</w:t>
      </w:r>
    </w:p>
    <w:p w14:paraId="76940AC9">
      <w:pPr>
        <w:kinsoku/>
        <w:wordWrap/>
        <w:overflowPunct/>
        <w:topLinePunct w:val="0"/>
        <w:bidi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四</w:t>
      </w:r>
      <w:r>
        <w:rPr>
          <w:rFonts w:hint="eastAsia" w:ascii="宋体" w:hAnsi="宋体" w:eastAsia="宋体" w:cs="宋体"/>
          <w:b/>
          <w:szCs w:val="21"/>
          <w:highlight w:val="none"/>
        </w:rPr>
        <w:t>、交货时间、地点及相关费用：</w:t>
      </w:r>
    </w:p>
    <w:p w14:paraId="1397FCD7">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1、交货地点：</w:t>
      </w:r>
      <w:r>
        <w:rPr>
          <w:rFonts w:hint="eastAsia" w:ascii="宋体" w:hAnsi="宋体" w:eastAsia="宋体" w:cs="宋体"/>
          <w:szCs w:val="21"/>
          <w:highlight w:val="none"/>
          <w:lang w:val="en-US" w:eastAsia="zh-CN"/>
        </w:rPr>
        <w:t>甲方指定地点</w:t>
      </w:r>
      <w:r>
        <w:rPr>
          <w:rFonts w:hint="eastAsia" w:ascii="宋体" w:hAnsi="宋体" w:eastAsia="宋体" w:cs="宋体"/>
          <w:szCs w:val="21"/>
          <w:highlight w:val="none"/>
        </w:rPr>
        <w:t>。</w:t>
      </w:r>
    </w:p>
    <w:p w14:paraId="128ECBA3">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2、交货时间：</w:t>
      </w:r>
      <w:r>
        <w:rPr>
          <w:rFonts w:hint="eastAsia" w:ascii="宋体" w:hAnsi="宋体" w:eastAsia="宋体" w:cs="宋体"/>
          <w:szCs w:val="21"/>
          <w:highlight w:val="none"/>
          <w:lang w:val="en-US" w:eastAsia="zh-CN"/>
        </w:rPr>
        <w:t>以合同签订为主</w:t>
      </w:r>
      <w:r>
        <w:rPr>
          <w:rFonts w:hint="eastAsia" w:ascii="宋体" w:hAnsi="宋体" w:eastAsia="宋体" w:cs="宋体"/>
          <w:szCs w:val="21"/>
          <w:highlight w:val="none"/>
        </w:rPr>
        <w:t>。</w:t>
      </w:r>
    </w:p>
    <w:p w14:paraId="1EE3D899">
      <w:pPr>
        <w:kinsoku/>
        <w:wordWrap/>
        <w:overflowPunct/>
        <w:topLinePunct w:val="0"/>
        <w:bidi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五</w:t>
      </w:r>
      <w:r>
        <w:rPr>
          <w:rFonts w:hint="eastAsia" w:ascii="宋体" w:hAnsi="宋体" w:eastAsia="宋体" w:cs="宋体"/>
          <w:b/>
          <w:szCs w:val="21"/>
          <w:highlight w:val="none"/>
        </w:rPr>
        <w:t>、评标方法：</w:t>
      </w:r>
    </w:p>
    <w:p w14:paraId="1686C149">
      <w:pPr>
        <w:pStyle w:val="14"/>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outlineLvl w:val="9"/>
        <w:rPr>
          <w:rFonts w:hint="eastAsia" w:ascii="宋体" w:hAnsi="宋体" w:eastAsia="宋体" w:cs="宋体"/>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2"/>
          <w:sz w:val="21"/>
          <w:szCs w:val="21"/>
          <w:highlight w:val="none"/>
          <w:lang w:val="en-US" w:eastAsia="zh-CN" w:bidi="ar-SA"/>
        </w:rPr>
        <w:t>本项目采用</w:t>
      </w:r>
      <w:r>
        <w:rPr>
          <w:rFonts w:hint="eastAsia" w:cs="宋体"/>
          <w:color w:val="auto"/>
          <w:kern w:val="2"/>
          <w:sz w:val="21"/>
          <w:szCs w:val="21"/>
          <w:highlight w:val="none"/>
          <w:lang w:val="en-US" w:eastAsia="zh-CN" w:bidi="ar-SA"/>
        </w:rPr>
        <w:t>合理</w:t>
      </w:r>
      <w:r>
        <w:rPr>
          <w:rFonts w:hint="eastAsia" w:ascii="宋体" w:hAnsi="宋体" w:eastAsia="宋体" w:cs="宋体"/>
          <w:color w:val="auto"/>
          <w:kern w:val="2"/>
          <w:sz w:val="21"/>
          <w:szCs w:val="21"/>
          <w:highlight w:val="none"/>
          <w:lang w:val="en-US" w:eastAsia="zh-CN" w:bidi="ar-SA"/>
        </w:rPr>
        <w:t>最低价中标</w:t>
      </w:r>
      <w:r>
        <w:rPr>
          <w:rFonts w:hint="eastAsia" w:ascii="宋体" w:hAnsi="宋体" w:eastAsia="宋体" w:cs="宋体"/>
          <w:color w:val="auto"/>
          <w:szCs w:val="21"/>
          <w:highlight w:val="none"/>
        </w:rPr>
        <w:t>。</w:t>
      </w:r>
      <w:r>
        <w:rPr>
          <w:rFonts w:hint="eastAsia" w:ascii="宋体" w:hAnsi="宋体" w:eastAsia="宋体" w:cs="宋体"/>
          <w:color w:val="auto"/>
          <w:sz w:val="18"/>
          <w:szCs w:val="18"/>
          <w:highlight w:val="none"/>
        </w:rPr>
        <w:t xml:space="preserve">   </w:t>
      </w:r>
      <w:r>
        <w:rPr>
          <w:rFonts w:hint="eastAsia" w:ascii="宋体" w:hAnsi="宋体" w:eastAsia="宋体" w:cs="宋体"/>
          <w:sz w:val="18"/>
          <w:szCs w:val="18"/>
          <w:highlight w:val="none"/>
        </w:rPr>
        <w:t xml:space="preserve">                                                                                                                                                                                                                                                          </w:t>
      </w:r>
    </w:p>
    <w:p w14:paraId="487B3512">
      <w:pPr>
        <w:kinsoku/>
        <w:wordWrap/>
        <w:overflowPunct/>
        <w:topLinePunct w:val="0"/>
        <w:bidi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六</w:t>
      </w:r>
      <w:r>
        <w:rPr>
          <w:rFonts w:hint="eastAsia" w:ascii="宋体" w:hAnsi="宋体" w:eastAsia="宋体" w:cs="宋体"/>
          <w:b/>
          <w:szCs w:val="21"/>
          <w:highlight w:val="none"/>
        </w:rPr>
        <w:t>、投标文件的递交</w:t>
      </w:r>
    </w:p>
    <w:p w14:paraId="11BF8518">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1、投标文件一式贰份（正本壹本、副本壹本），并明确表明“正本”和“副本”，正、副本如有不同之处，以正本为准，密封后加盖公章，否则无效。</w:t>
      </w:r>
    </w:p>
    <w:p w14:paraId="2673A26F">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2、投标人在收到招标文件后，若需答疑，应在投标文件的截止时间2天前向招标人以书面形式提出。</w:t>
      </w:r>
    </w:p>
    <w:p w14:paraId="714611E8">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3、递交投标文件的截止时间为</w:t>
      </w:r>
      <w:r>
        <w:rPr>
          <w:rFonts w:hint="eastAsia" w:ascii="宋体" w:hAnsi="宋体" w:eastAsia="宋体" w:cs="宋体"/>
          <w:szCs w:val="21"/>
          <w:highlight w:val="none"/>
          <w:lang w:val="en-US" w:eastAsia="zh-CN"/>
        </w:rPr>
        <w:t>2025</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 xml:space="preserve">12 </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18</w:t>
      </w: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10时</w:t>
      </w:r>
      <w:r>
        <w:rPr>
          <w:rFonts w:hint="eastAsia" w:ascii="宋体" w:hAnsi="宋体" w:eastAsia="宋体" w:cs="宋体"/>
          <w:szCs w:val="21"/>
          <w:highlight w:val="none"/>
        </w:rPr>
        <w:t>整，超过截止时间的投标文件将被拒收。</w:t>
      </w:r>
    </w:p>
    <w:p w14:paraId="33C7A9EC">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4、投标文件可采用快递（顺丰或EMS）邮寄或送达我公司，投标书需盖章密封，并在信封上注明项目编号“</w:t>
      </w:r>
      <w:r>
        <w:rPr>
          <w:rFonts w:hint="eastAsia" w:ascii="宋体" w:hAnsi="宋体" w:eastAsia="宋体" w:cs="宋体"/>
          <w:szCs w:val="21"/>
          <w:highlight w:val="none"/>
          <w:lang w:val="en-US" w:eastAsia="zh-CN"/>
        </w:rPr>
        <w:t>KG2025-G006-ZB02</w:t>
      </w:r>
      <w:r>
        <w:rPr>
          <w:rFonts w:hint="eastAsia" w:ascii="宋体" w:hAnsi="宋体" w:eastAsia="宋体" w:cs="宋体"/>
          <w:szCs w:val="21"/>
          <w:highlight w:val="none"/>
        </w:rPr>
        <w:t>”南京市江宁区秣陵街道天元西路199号东部机场集团10楼。</w:t>
      </w:r>
    </w:p>
    <w:p w14:paraId="608D403B">
      <w:pPr>
        <w:kinsoku/>
        <w:wordWrap/>
        <w:overflowPunct/>
        <w:topLinePunct w:val="0"/>
        <w:bidi w:val="0"/>
        <w:spacing w:line="360" w:lineRule="auto"/>
        <w:rPr>
          <w:rFonts w:hint="default" w:ascii="宋体" w:hAnsi="宋体" w:eastAsia="宋体" w:cs="宋体"/>
          <w:szCs w:val="21"/>
          <w:highlight w:val="none"/>
          <w:lang w:val="en-US" w:eastAsia="zh-CN"/>
        </w:rPr>
      </w:pPr>
      <w:r>
        <w:rPr>
          <w:rFonts w:hint="eastAsia" w:ascii="宋体" w:hAnsi="宋体" w:eastAsia="宋体" w:cs="宋体"/>
          <w:szCs w:val="21"/>
          <w:highlight w:val="none"/>
        </w:rPr>
        <w:t>投标事宜的联系：</w:t>
      </w:r>
      <w:r>
        <w:rPr>
          <w:rFonts w:hint="eastAsia" w:ascii="宋体" w:hAnsi="宋体" w:eastAsia="宋体" w:cs="宋体"/>
          <w:szCs w:val="21"/>
          <w:highlight w:val="none"/>
          <w:lang w:val="en-US" w:eastAsia="zh-CN"/>
        </w:rPr>
        <w:t>芦工</w:t>
      </w:r>
      <w:r>
        <w:rPr>
          <w:rFonts w:hint="eastAsia" w:ascii="宋体" w:hAnsi="宋体" w:eastAsia="宋体" w:cs="宋体"/>
          <w:szCs w:val="21"/>
          <w:highlight w:val="none"/>
        </w:rPr>
        <w:t xml:space="preserve">  电话：025-698212</w:t>
      </w:r>
      <w:r>
        <w:rPr>
          <w:rFonts w:hint="eastAsia" w:ascii="宋体" w:hAnsi="宋体" w:eastAsia="宋体" w:cs="宋体"/>
          <w:szCs w:val="21"/>
          <w:highlight w:val="none"/>
          <w:lang w:val="en-US" w:eastAsia="zh-CN"/>
        </w:rPr>
        <w:t>55</w:t>
      </w:r>
    </w:p>
    <w:p w14:paraId="579E41E2">
      <w:pPr>
        <w:kinsoku/>
        <w:wordWrap/>
        <w:overflowPunct/>
        <w:topLinePunct w:val="0"/>
        <w:bidi w:val="0"/>
        <w:spacing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南京禄口国际机场空港科技有限公司</w:t>
      </w:r>
    </w:p>
    <w:p w14:paraId="2BEF7F31">
      <w:pPr>
        <w:kinsoku/>
        <w:wordWrap/>
        <w:overflowPunct/>
        <w:topLinePunct w:val="0"/>
        <w:bidi w:val="0"/>
        <w:spacing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2025</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12</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08</w:t>
      </w:r>
      <w:r>
        <w:rPr>
          <w:rFonts w:hint="eastAsia" w:ascii="宋体" w:hAnsi="宋体" w:eastAsia="宋体" w:cs="宋体"/>
          <w:szCs w:val="21"/>
          <w:highlight w:val="none"/>
        </w:rPr>
        <w:t>日</w:t>
      </w:r>
    </w:p>
    <w:p w14:paraId="7F0F03C2">
      <w:pPr>
        <w:pageBreakBefore/>
        <w:kinsoku/>
        <w:wordWrap/>
        <w:overflowPunct/>
        <w:topLinePunct w:val="0"/>
        <w:bidi w:val="0"/>
        <w:snapToGrid w:val="0"/>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 标 文 件 组 成</w:t>
      </w:r>
    </w:p>
    <w:p w14:paraId="3C7439CE">
      <w:pPr>
        <w:kinsoku/>
        <w:wordWrap/>
        <w:overflowPunct/>
        <w:topLinePunct w:val="0"/>
        <w:bidi w:val="0"/>
        <w:snapToGrid w:val="0"/>
        <w:spacing w:line="360" w:lineRule="auto"/>
        <w:jc w:val="center"/>
        <w:rPr>
          <w:rFonts w:hint="eastAsia" w:ascii="宋体" w:hAnsi="宋体" w:eastAsia="宋体" w:cs="宋体"/>
          <w:szCs w:val="21"/>
          <w:highlight w:val="none"/>
        </w:rPr>
      </w:pPr>
    </w:p>
    <w:p w14:paraId="14491DB0">
      <w:pPr>
        <w:numPr>
          <w:ilvl w:val="0"/>
          <w:numId w:val="1"/>
        </w:numPr>
        <w:kinsoku/>
        <w:wordWrap/>
        <w:overflowPunct/>
        <w:topLinePunct w:val="0"/>
        <w:bidi w:val="0"/>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投标函（格式见附件一）</w:t>
      </w:r>
    </w:p>
    <w:p w14:paraId="5FAA277A">
      <w:pPr>
        <w:numPr>
          <w:ilvl w:val="0"/>
          <w:numId w:val="1"/>
        </w:numPr>
        <w:kinsoku/>
        <w:wordWrap/>
        <w:overflowPunct/>
        <w:topLinePunct w:val="0"/>
        <w:bidi w:val="0"/>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法定代表人授权委托书（格式见附件二）</w:t>
      </w:r>
    </w:p>
    <w:p w14:paraId="04DE073E">
      <w:pPr>
        <w:numPr>
          <w:ilvl w:val="0"/>
          <w:numId w:val="1"/>
        </w:numPr>
        <w:kinsoku/>
        <w:wordWrap/>
        <w:overflowPunct/>
        <w:topLinePunct w:val="0"/>
        <w:bidi w:val="0"/>
        <w:adjustRightInd w:val="0"/>
        <w:snapToGrid w:val="0"/>
        <w:spacing w:line="360" w:lineRule="auto"/>
        <w:rPr>
          <w:rFonts w:hint="eastAsia" w:ascii="宋体" w:hAnsi="宋体" w:eastAsia="宋体" w:cs="宋体"/>
          <w:szCs w:val="21"/>
          <w:highlight w:val="none"/>
        </w:rPr>
      </w:pPr>
      <w:r>
        <w:rPr>
          <w:rFonts w:hint="eastAsia" w:ascii="宋体" w:hAnsi="宋体" w:eastAsia="宋体" w:cs="宋体"/>
          <w:snapToGrid w:val="0"/>
          <w:szCs w:val="21"/>
          <w:highlight w:val="none"/>
        </w:rPr>
        <w:t>报价一览表</w:t>
      </w:r>
      <w:r>
        <w:rPr>
          <w:rFonts w:hint="eastAsia" w:ascii="宋体" w:hAnsi="宋体" w:eastAsia="宋体" w:cs="宋体"/>
          <w:szCs w:val="21"/>
          <w:highlight w:val="none"/>
        </w:rPr>
        <w:t>（格式见附件三）</w:t>
      </w:r>
    </w:p>
    <w:p w14:paraId="7AB10347">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highlight w:val="none"/>
        </w:rPr>
      </w:pPr>
      <w:r>
        <w:rPr>
          <w:rFonts w:hint="eastAsia" w:ascii="宋体" w:hAnsi="宋体" w:eastAsia="宋体" w:cs="宋体"/>
          <w:snapToGrid w:val="0"/>
          <w:szCs w:val="21"/>
          <w:highlight w:val="none"/>
        </w:rPr>
        <w:t>营业执照</w:t>
      </w:r>
    </w:p>
    <w:p w14:paraId="109869D8">
      <w:pPr>
        <w:pStyle w:val="3"/>
        <w:numPr>
          <w:ilvl w:val="0"/>
          <w:numId w:val="1"/>
        </w:numPr>
        <w:ind w:left="0" w:leftChars="0" w:firstLine="0" w:firstLineChars="0"/>
        <w:rPr>
          <w:rFonts w:hint="eastAsia" w:ascii="宋体" w:hAnsi="宋体" w:eastAsia="宋体" w:cs="宋体"/>
          <w:snapToGrid w:val="0"/>
          <w:kern w:val="2"/>
          <w:sz w:val="21"/>
          <w:szCs w:val="21"/>
          <w:highlight w:val="none"/>
          <w:lang w:val="en-US" w:eastAsia="zh-CN" w:bidi="ar-SA"/>
        </w:rPr>
      </w:pPr>
      <w:r>
        <w:rPr>
          <w:rFonts w:hint="eastAsia" w:ascii="宋体" w:hAnsi="宋体" w:eastAsia="宋体" w:cs="宋体"/>
          <w:snapToGrid w:val="0"/>
          <w:kern w:val="2"/>
          <w:sz w:val="21"/>
          <w:szCs w:val="21"/>
          <w:highlight w:val="none"/>
          <w:lang w:val="en-US" w:eastAsia="zh-CN" w:bidi="ar-SA"/>
        </w:rPr>
        <w:t>合同模板</w:t>
      </w:r>
    </w:p>
    <w:p w14:paraId="032A3391">
      <w:pPr>
        <w:kinsoku/>
        <w:wordWrap/>
        <w:overflowPunct/>
        <w:topLinePunct w:val="0"/>
        <w:bidi w:val="0"/>
        <w:spacing w:line="360" w:lineRule="auto"/>
        <w:rPr>
          <w:rFonts w:hint="eastAsia" w:ascii="宋体" w:hAnsi="宋体" w:eastAsia="宋体" w:cs="宋体"/>
          <w:snapToGrid w:val="0"/>
          <w:szCs w:val="21"/>
          <w:highlight w:val="none"/>
        </w:rPr>
      </w:pPr>
      <w:r>
        <w:rPr>
          <w:rFonts w:hint="eastAsia" w:ascii="宋体" w:hAnsi="宋体" w:eastAsia="宋体" w:cs="宋体"/>
          <w:snapToGrid w:val="0"/>
          <w:szCs w:val="21"/>
          <w:highlight w:val="none"/>
        </w:rPr>
        <w:br w:type="page"/>
      </w:r>
    </w:p>
    <w:p w14:paraId="1EFCE6D2">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szCs w:val="21"/>
          <w:highlight w:val="none"/>
          <w:lang w:val="en-US" w:eastAsia="zh-CN"/>
        </w:rPr>
        <w:t>附件一：投标函</w:t>
      </w:r>
    </w:p>
    <w:p w14:paraId="29896E39">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招标人名称：</w:t>
      </w:r>
    </w:p>
    <w:p w14:paraId="3B93185D">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1、我方已仔细研究了（项目名称：</w:t>
      </w:r>
      <w:r>
        <w:rPr>
          <w:rFonts w:hint="eastAsia" w:ascii="宋体" w:hAnsi="宋体" w:eastAsia="宋体" w:cs="宋体"/>
          <w:color w:val="auto"/>
          <w:highlight w:val="none"/>
          <w:lang w:val="en-US" w:eastAsia="zh-CN"/>
        </w:rPr>
        <w:t>新疆机场集团智能门禁监督系统项目-线材、配管采购</w:t>
      </w:r>
      <w:r>
        <w:rPr>
          <w:rFonts w:hint="eastAsia" w:ascii="宋体" w:hAnsi="宋体" w:eastAsia="宋体" w:cs="宋体"/>
          <w:highlight w:val="none"/>
          <w:lang w:val="en-US" w:eastAsia="zh-CN"/>
        </w:rPr>
        <w:t>）</w:t>
      </w:r>
      <w:r>
        <w:rPr>
          <w:rFonts w:hint="eastAsia" w:ascii="宋体" w:hAnsi="宋体" w:eastAsia="宋体" w:cs="宋体"/>
          <w:highlight w:val="none"/>
          <w:lang w:val="en-US" w:eastAsia="zh-CN"/>
        </w:rPr>
        <w:t>招标文件的全部内容，愿意以人民币</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（大写）元（¥</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）的投标报价，项目周期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，按合同约定时间提供相应服务。</w:t>
      </w:r>
    </w:p>
    <w:p w14:paraId="79EE396D">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2、我方承诺投标时填写的单价、合价及合同总价在合同实施期间不因市场和政策性调价等变化因素而变动，该价格己经考虑合理损耗，为包干费用。</w:t>
      </w:r>
    </w:p>
    <w:p w14:paraId="5CCD6A1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3、我方承诺在投标有效期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日内不修改、撤销投标文件。</w:t>
      </w:r>
    </w:p>
    <w:p w14:paraId="3658FF29">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4、如我方中标：</w:t>
      </w:r>
    </w:p>
    <w:p w14:paraId="49C58C1F">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4.1、我方承诺在收到中标通知书后，在中标通知书规定的期限内与你方签订合同。</w:t>
      </w:r>
    </w:p>
    <w:p w14:paraId="6161A28A">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4.2、我方承诺按照招标文件规定的主要合同条款及格式签订合同。</w:t>
      </w:r>
    </w:p>
    <w:p w14:paraId="767E47DE">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4.3、我方承诺在合同约定的期限内完成并移交全部合同工程。</w:t>
      </w:r>
    </w:p>
    <w:p w14:paraId="58BC8FA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4.4、我方承诺投标文件内容及形式完全符合招标文件相关要求。</w:t>
      </w:r>
    </w:p>
    <w:p w14:paraId="5011AC0C">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4.5、我方在此声明，所递交的投标文件及有关资料内容完整、真实和准确。</w:t>
      </w:r>
    </w:p>
    <w:p w14:paraId="3FBB86E0">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4.6、</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(其他补充说明）。</w:t>
      </w:r>
    </w:p>
    <w:p w14:paraId="496D4E4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4732895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11B53A01">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7E249742">
      <w:pPr>
        <w:numPr>
          <w:ilvl w:val="0"/>
          <w:numId w:val="0"/>
        </w:numPr>
        <w:kinsoku/>
        <w:wordWrap/>
        <w:overflowPunct/>
        <w:topLinePunct w:val="0"/>
        <w:bidi w:val="0"/>
        <w:adjustRightInd w:val="0"/>
        <w:snapToGrid w:val="0"/>
        <w:spacing w:line="360" w:lineRule="auto"/>
        <w:ind w:left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投标人：（盖单位章）</w:t>
      </w:r>
    </w:p>
    <w:p w14:paraId="21E39FBA">
      <w:pPr>
        <w:numPr>
          <w:ilvl w:val="0"/>
          <w:numId w:val="0"/>
        </w:numPr>
        <w:kinsoku/>
        <w:wordWrap/>
        <w:overflowPunct/>
        <w:topLinePunct w:val="0"/>
        <w:bidi w:val="0"/>
        <w:adjustRightInd w:val="0"/>
        <w:snapToGrid w:val="0"/>
        <w:spacing w:line="360" w:lineRule="auto"/>
        <w:ind w:leftChars="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法定代表人或期委托代理人：（签字）</w:t>
      </w:r>
    </w:p>
    <w:p w14:paraId="4905CF12">
      <w:pPr>
        <w:numPr>
          <w:ilvl w:val="0"/>
          <w:numId w:val="0"/>
        </w:numPr>
        <w:kinsoku/>
        <w:wordWrap/>
        <w:overflowPunct/>
        <w:topLinePunct w:val="0"/>
        <w:bidi w:val="0"/>
        <w:adjustRightInd w:val="0"/>
        <w:snapToGrid w:val="0"/>
        <w:spacing w:line="360" w:lineRule="auto"/>
        <w:ind w:leftChars="0" w:firstLine="840" w:firstLineChars="40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年    月     日</w:t>
      </w:r>
    </w:p>
    <w:p w14:paraId="645445FD">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1010B82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469CAAC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07273308">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A2C8E19">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13279A4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77A5A0E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1502960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1B8AFF7">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144B19F">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Cs w:val="21"/>
          <w:highlight w:val="none"/>
        </w:rPr>
      </w:pPr>
      <w:r>
        <w:rPr>
          <w:rFonts w:hint="eastAsia" w:ascii="宋体" w:hAnsi="宋体" w:eastAsia="宋体" w:cs="宋体"/>
          <w:b/>
          <w:bCs/>
          <w:highlight w:val="none"/>
          <w:lang w:val="en-US" w:eastAsia="zh-CN"/>
        </w:rPr>
        <w:t>附件二：法定代表人授权委托书</w:t>
      </w:r>
    </w:p>
    <w:p w14:paraId="68274CB2">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本人（姓名）系（投标人名称）的法定代表人，现委托（姓名）为我方代理人，代理人根据授权，以我方名义签署、澄清、说明、补正、递交、撤回、修改（项目名称）投标文件、签订合同和处理有关事宜，其法律后果由我方承担。</w:t>
      </w:r>
    </w:p>
    <w:p w14:paraId="222BD8E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代理人无转委托权。</w:t>
      </w:r>
    </w:p>
    <w:p w14:paraId="0D75FA8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附：法定代表人身份证明</w:t>
      </w:r>
    </w:p>
    <w:p w14:paraId="0E826D0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附：委托代理人身份证明    </w:t>
      </w:r>
    </w:p>
    <w:p w14:paraId="21D90A67">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投标人：（盖单位章）</w:t>
      </w:r>
    </w:p>
    <w:p w14:paraId="08705C2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法定代表人：（签字或盖章）</w:t>
      </w:r>
    </w:p>
    <w:p w14:paraId="7B4035C9">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09EA083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委托代理人：（签字）</w:t>
      </w:r>
    </w:p>
    <w:p w14:paraId="3B923677">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73492F52">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0A23112">
      <w:pPr>
        <w:rPr>
          <w:rFonts w:hint="eastAsia"/>
          <w:highlight w:val="none"/>
          <w:lang w:val="en-US" w:eastAsia="zh-CN"/>
        </w:rPr>
      </w:pPr>
      <w:r>
        <w:rPr>
          <w:rFonts w:hint="eastAsia"/>
          <w:highlight w:val="none"/>
          <w:lang w:val="en-US" w:eastAsia="zh-CN"/>
        </w:rPr>
        <w:br w:type="page"/>
      </w:r>
    </w:p>
    <w:p w14:paraId="6F7FDFE5">
      <w:pPr>
        <w:rPr>
          <w:rFonts w:hint="eastAsia"/>
          <w:highlight w:val="none"/>
          <w:lang w:val="en-US" w:eastAsia="zh-CN"/>
        </w:rPr>
        <w:sectPr>
          <w:footerReference r:id="rId3" w:type="default"/>
          <w:pgSz w:w="11906" w:h="16838"/>
          <w:pgMar w:top="1270" w:right="1689" w:bottom="1270" w:left="1633"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53562E3">
      <w:pPr>
        <w:rPr>
          <w:rFonts w:hint="eastAsia" w:eastAsia="宋体"/>
          <w:b/>
          <w:bCs/>
          <w:highlight w:val="none"/>
          <w:lang w:val="en-US" w:eastAsia="zh-CN"/>
        </w:rPr>
      </w:pPr>
      <w:r>
        <w:rPr>
          <w:rFonts w:hint="eastAsia" w:eastAsia="宋体"/>
          <w:b/>
          <w:bCs/>
          <w:highlight w:val="none"/>
          <w:lang w:val="en-US" w:eastAsia="zh-CN"/>
        </w:rPr>
        <w:t>附件三：报价一览表</w:t>
      </w:r>
    </w:p>
    <w:tbl>
      <w:tblPr>
        <w:tblStyle w:val="10"/>
        <w:tblW w:w="89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7"/>
        <w:gridCol w:w="2062"/>
        <w:gridCol w:w="2338"/>
        <w:gridCol w:w="856"/>
        <w:gridCol w:w="1012"/>
        <w:gridCol w:w="1969"/>
      </w:tblGrid>
      <w:tr w14:paraId="4092D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A8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99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w:t>
            </w:r>
          </w:p>
        </w:tc>
        <w:tc>
          <w:tcPr>
            <w:tcW w:w="2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32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E3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2F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F4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14:paraId="146D8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F7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BB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光缆</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17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GYTS-4B1.3</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39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1E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7A19">
            <w:pPr>
              <w:jc w:val="center"/>
              <w:rPr>
                <w:rFonts w:hint="eastAsia" w:ascii="宋体" w:hAnsi="宋体" w:eastAsia="宋体" w:cs="宋体"/>
                <w:i w:val="0"/>
                <w:iCs w:val="0"/>
                <w:color w:val="000000"/>
                <w:sz w:val="20"/>
                <w:szCs w:val="20"/>
                <w:highlight w:val="none"/>
                <w:u w:val="none"/>
              </w:rPr>
            </w:pPr>
          </w:p>
        </w:tc>
      </w:tr>
      <w:tr w14:paraId="0F044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EE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85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光缆</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A3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GYTA53-4B1.3</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BA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3E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CF8A">
            <w:pPr>
              <w:jc w:val="center"/>
              <w:rPr>
                <w:rFonts w:hint="eastAsia" w:ascii="宋体" w:hAnsi="宋体" w:eastAsia="宋体" w:cs="宋体"/>
                <w:i w:val="0"/>
                <w:iCs w:val="0"/>
                <w:color w:val="000000"/>
                <w:sz w:val="20"/>
                <w:szCs w:val="20"/>
                <w:highlight w:val="none"/>
                <w:u w:val="none"/>
              </w:rPr>
            </w:pPr>
          </w:p>
        </w:tc>
      </w:tr>
      <w:tr w14:paraId="62CCC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2B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8B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保护管</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94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JDG25</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4D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9B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3650</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0B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含接头等配件</w:t>
            </w:r>
          </w:p>
        </w:tc>
      </w:tr>
      <w:tr w14:paraId="5EF2C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A7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BF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保护管</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F8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JDG20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50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F8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1580</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24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含接头等配件</w:t>
            </w:r>
          </w:p>
        </w:tc>
      </w:tr>
      <w:tr w14:paraId="60F24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E9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12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六类网线</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FE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六类非屏蔽双绞线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4A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箱</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87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6F42">
            <w:pPr>
              <w:jc w:val="center"/>
              <w:rPr>
                <w:rFonts w:hint="eastAsia" w:ascii="宋体" w:hAnsi="宋体" w:eastAsia="宋体" w:cs="宋体"/>
                <w:i w:val="0"/>
                <w:iCs w:val="0"/>
                <w:color w:val="000000"/>
                <w:sz w:val="20"/>
                <w:szCs w:val="20"/>
                <w:highlight w:val="none"/>
                <w:u w:val="none"/>
              </w:rPr>
            </w:pPr>
          </w:p>
        </w:tc>
      </w:tr>
      <w:tr w14:paraId="2C981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B6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09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配线架</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6D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D3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AD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27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满配</w:t>
            </w:r>
          </w:p>
        </w:tc>
      </w:tr>
      <w:tr w14:paraId="30BC5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13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5F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光纤终端盒</w:t>
            </w:r>
          </w:p>
        </w:tc>
        <w:tc>
          <w:tcPr>
            <w:tcW w:w="2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10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1D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6C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E6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满配</w:t>
            </w:r>
          </w:p>
        </w:tc>
      </w:tr>
      <w:tr w14:paraId="52055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4F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2D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PVC管</w:t>
            </w:r>
          </w:p>
        </w:tc>
        <w:tc>
          <w:tcPr>
            <w:tcW w:w="2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56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6F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AB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94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含接头等配件</w:t>
            </w:r>
          </w:p>
        </w:tc>
      </w:tr>
      <w:tr w14:paraId="2108A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F3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94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镀锌钢管</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B4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C1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9F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33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含接头等配件</w:t>
            </w:r>
          </w:p>
        </w:tc>
      </w:tr>
      <w:tr w14:paraId="2EBC3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23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51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JDG管</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CC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FA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73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2700</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1D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含接头等配件</w:t>
            </w:r>
          </w:p>
        </w:tc>
      </w:tr>
      <w:tr w14:paraId="04B7B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DF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5D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JDG管</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74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09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9F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3800</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12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含接头等配件</w:t>
            </w:r>
          </w:p>
        </w:tc>
      </w:tr>
      <w:tr w14:paraId="05D28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72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61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电线电缆</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9C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RVVP-300/300V 4×1</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26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BF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1430</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7BB3">
            <w:pPr>
              <w:jc w:val="center"/>
              <w:rPr>
                <w:rFonts w:hint="eastAsia" w:ascii="宋体" w:hAnsi="宋体" w:eastAsia="宋体" w:cs="宋体"/>
                <w:i w:val="0"/>
                <w:iCs w:val="0"/>
                <w:color w:val="000000"/>
                <w:sz w:val="20"/>
                <w:szCs w:val="20"/>
                <w:highlight w:val="none"/>
                <w:u w:val="none"/>
              </w:rPr>
            </w:pPr>
          </w:p>
        </w:tc>
      </w:tr>
      <w:tr w14:paraId="1BB7F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81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C9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电线电缆</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9B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RVVP-300/300V 2×1</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F3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E9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35600</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2FB4">
            <w:pPr>
              <w:jc w:val="center"/>
              <w:rPr>
                <w:rFonts w:hint="eastAsia" w:ascii="宋体" w:hAnsi="宋体" w:eastAsia="宋体" w:cs="宋体"/>
                <w:i w:val="0"/>
                <w:iCs w:val="0"/>
                <w:color w:val="000000"/>
                <w:sz w:val="20"/>
                <w:szCs w:val="20"/>
                <w:highlight w:val="none"/>
                <w:u w:val="none"/>
              </w:rPr>
            </w:pPr>
          </w:p>
        </w:tc>
      </w:tr>
      <w:tr w14:paraId="4E8B6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AB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0D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电线电缆</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A5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YJV22-0.6/1kV 3×4</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6B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93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1150</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C2FF">
            <w:pPr>
              <w:jc w:val="center"/>
              <w:rPr>
                <w:rFonts w:hint="eastAsia" w:ascii="宋体" w:hAnsi="宋体" w:eastAsia="宋体" w:cs="宋体"/>
                <w:i w:val="0"/>
                <w:iCs w:val="0"/>
                <w:color w:val="000000"/>
                <w:sz w:val="20"/>
                <w:szCs w:val="20"/>
                <w:highlight w:val="none"/>
                <w:u w:val="none"/>
              </w:rPr>
            </w:pPr>
          </w:p>
        </w:tc>
      </w:tr>
      <w:tr w14:paraId="7ADB1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93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9B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电线电缆</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83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BV-450/750V 2.5</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E6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27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100A">
            <w:pPr>
              <w:jc w:val="center"/>
              <w:rPr>
                <w:rFonts w:hint="eastAsia" w:ascii="宋体" w:hAnsi="宋体" w:eastAsia="宋体" w:cs="宋体"/>
                <w:i w:val="0"/>
                <w:iCs w:val="0"/>
                <w:color w:val="000000"/>
                <w:sz w:val="20"/>
                <w:szCs w:val="20"/>
                <w:highlight w:val="none"/>
                <w:u w:val="none"/>
              </w:rPr>
            </w:pPr>
          </w:p>
        </w:tc>
      </w:tr>
      <w:tr w14:paraId="22A8F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A9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8D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继电器</w:t>
            </w:r>
          </w:p>
        </w:tc>
        <w:tc>
          <w:tcPr>
            <w:tcW w:w="2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FDC0">
            <w:pPr>
              <w:jc w:val="center"/>
              <w:rPr>
                <w:rFonts w:hint="eastAsia" w:ascii="宋体" w:hAnsi="宋体" w:eastAsia="宋体" w:cs="宋体"/>
                <w:i w:val="0"/>
                <w:iCs w:val="0"/>
                <w:color w:val="000000"/>
                <w:sz w:val="20"/>
                <w:szCs w:val="20"/>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73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9E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E81E">
            <w:pPr>
              <w:jc w:val="center"/>
              <w:rPr>
                <w:rFonts w:hint="eastAsia" w:ascii="宋体" w:hAnsi="宋体" w:eastAsia="宋体" w:cs="宋体"/>
                <w:i w:val="0"/>
                <w:iCs w:val="0"/>
                <w:color w:val="000000"/>
                <w:sz w:val="20"/>
                <w:szCs w:val="20"/>
                <w:highlight w:val="none"/>
                <w:u w:val="none"/>
              </w:rPr>
            </w:pPr>
          </w:p>
        </w:tc>
      </w:tr>
      <w:tr w14:paraId="65169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C9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B4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光纤跳线</w:t>
            </w:r>
          </w:p>
        </w:tc>
        <w:tc>
          <w:tcPr>
            <w:tcW w:w="2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EE6C">
            <w:pPr>
              <w:jc w:val="center"/>
              <w:rPr>
                <w:rFonts w:hint="eastAsia" w:ascii="宋体" w:hAnsi="宋体" w:eastAsia="宋体" w:cs="宋体"/>
                <w:i w:val="0"/>
                <w:iCs w:val="0"/>
                <w:color w:val="000000"/>
                <w:sz w:val="20"/>
                <w:szCs w:val="20"/>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3B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条</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A1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18F6">
            <w:pPr>
              <w:jc w:val="center"/>
              <w:rPr>
                <w:rFonts w:hint="eastAsia" w:ascii="宋体" w:hAnsi="宋体" w:eastAsia="宋体" w:cs="宋体"/>
                <w:i w:val="0"/>
                <w:iCs w:val="0"/>
                <w:color w:val="000000"/>
                <w:sz w:val="20"/>
                <w:szCs w:val="20"/>
                <w:highlight w:val="none"/>
                <w:u w:val="none"/>
              </w:rPr>
            </w:pPr>
          </w:p>
        </w:tc>
      </w:tr>
    </w:tbl>
    <w:p w14:paraId="2FA3129C">
      <w:pPr>
        <w:rPr>
          <w:rFonts w:hint="eastAsia" w:eastAsia="宋体"/>
          <w:b/>
          <w:bCs/>
          <w:highlight w:val="none"/>
          <w:lang w:val="en-US" w:eastAsia="zh-CN"/>
        </w:rPr>
      </w:pPr>
    </w:p>
    <w:p w14:paraId="3E242C44">
      <w:pPr>
        <w:rPr>
          <w:rFonts w:hint="default" w:eastAsia="宋体"/>
          <w:b/>
          <w:bCs/>
          <w:highlight w:val="none"/>
          <w:lang w:val="en-US" w:eastAsia="zh-CN"/>
        </w:rPr>
        <w:sectPr>
          <w:pgSz w:w="11906" w:h="16838"/>
          <w:pgMar w:top="1440" w:right="1519" w:bottom="1440" w:left="129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bookmarkStart w:id="0" w:name="_GoBack"/>
      <w:bookmarkEnd w:id="0"/>
    </w:p>
    <w:p w14:paraId="6DB4BEC3">
      <w:pPr>
        <w:rPr>
          <w:rFonts w:hint="eastAsia" w:ascii="黑体" w:hAnsi="黑体" w:eastAsia="黑体" w:cs="宋体"/>
          <w:b w:val="0"/>
          <w:bCs w:val="0"/>
          <w:color w:val="auto"/>
          <w:position w:val="-3"/>
          <w:sz w:val="22"/>
          <w:szCs w:val="22"/>
          <w:lang w:val="en-US" w:eastAsia="zh-CN"/>
        </w:rPr>
      </w:pPr>
      <w:r>
        <w:rPr>
          <w:rFonts w:hint="eastAsia" w:ascii="黑体" w:hAnsi="黑体" w:eastAsia="黑体" w:cs="宋体"/>
          <w:b w:val="0"/>
          <w:bCs w:val="0"/>
          <w:color w:val="auto"/>
          <w:position w:val="-3"/>
          <w:sz w:val="22"/>
          <w:szCs w:val="22"/>
          <w:lang w:val="en-US" w:eastAsia="zh-CN"/>
        </w:rPr>
        <w:t>附件：合同模板</w:t>
      </w:r>
    </w:p>
    <w:p w14:paraId="2E389C92">
      <w:pPr>
        <w:rPr>
          <w:rFonts w:hint="default" w:ascii="黑体" w:hAnsi="黑体" w:eastAsia="黑体" w:cs="宋体"/>
          <w:b w:val="0"/>
          <w:bCs w:val="0"/>
          <w:color w:val="auto"/>
          <w:position w:val="-3"/>
          <w:sz w:val="22"/>
          <w:szCs w:val="22"/>
          <w:lang w:val="en-US" w:eastAsia="zh-CN"/>
        </w:rPr>
      </w:pPr>
    </w:p>
    <w:p w14:paraId="5135AD0E">
      <w:pPr>
        <w:rPr>
          <w:rFonts w:hint="default" w:ascii="宋体" w:hAnsi="宋体" w:eastAsia="宋体" w:cs="宋体"/>
          <w:b/>
          <w:bCs/>
          <w:position w:val="-3"/>
          <w:sz w:val="32"/>
          <w:szCs w:val="32"/>
          <w:lang w:val="en-US" w:eastAsia="zh-CN"/>
        </w:rPr>
      </w:pPr>
      <w:r>
        <w:rPr>
          <w:rFonts w:hint="eastAsia" w:ascii="宋体" w:hAnsi="宋体" w:cs="宋体"/>
          <w:b/>
          <w:bCs/>
          <w:position w:val="-3"/>
          <w:sz w:val="28"/>
          <w:szCs w:val="28"/>
        </w:rPr>
        <w:t>合同编号：</w:t>
      </w:r>
      <w:permStart w:id="0"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0"/>
    </w:p>
    <w:p w14:paraId="28AAE06D">
      <w:pPr>
        <w:jc w:val="center"/>
        <w:rPr>
          <w:rFonts w:hint="eastAsia" w:ascii="宋体" w:hAnsi="宋体" w:cs="宋体"/>
          <w:b/>
          <w:bCs/>
          <w:position w:val="-3"/>
          <w:sz w:val="72"/>
          <w:szCs w:val="72"/>
        </w:rPr>
      </w:pPr>
    </w:p>
    <w:p w14:paraId="28C8D3B7">
      <w:pPr>
        <w:jc w:val="center"/>
        <w:rPr>
          <w:rFonts w:hint="eastAsia" w:ascii="宋体" w:hAnsi="宋体" w:cs="宋体"/>
          <w:b/>
          <w:bCs/>
          <w:w w:val="99"/>
          <w:sz w:val="72"/>
          <w:szCs w:val="72"/>
        </w:rPr>
      </w:pPr>
      <w:permStart w:id="1" w:edGrp="everyone"/>
      <w:r>
        <w:rPr>
          <w:rFonts w:hint="eastAsia" w:ascii="宋体" w:hAnsi="宋体"/>
          <w:sz w:val="72"/>
          <w:szCs w:val="72"/>
          <w:u w:val="single"/>
        </w:rPr>
        <w:t xml:space="preserve"> </w:t>
      </w:r>
      <w:r>
        <w:rPr>
          <w:rFonts w:hint="eastAsia" w:ascii="宋体" w:hAnsi="宋体"/>
          <w:sz w:val="72"/>
          <w:szCs w:val="72"/>
          <w:u w:val="single"/>
          <w:lang w:val="en-US" w:eastAsia="zh-CN"/>
        </w:rPr>
        <w:t xml:space="preserve">项目名称：    </w:t>
      </w:r>
      <w:r>
        <w:rPr>
          <w:rFonts w:hint="eastAsia" w:ascii="宋体" w:hAnsi="宋体"/>
          <w:szCs w:val="21"/>
          <w:u w:val="single"/>
        </w:rPr>
        <w:t xml:space="preserve"> </w:t>
      </w:r>
      <w:permEnd w:id="1"/>
    </w:p>
    <w:p w14:paraId="072910AA">
      <w:pPr>
        <w:jc w:val="center"/>
        <w:rPr>
          <w:rFonts w:hint="eastAsia" w:ascii="宋体" w:hAnsi="宋体" w:cs="宋体"/>
          <w:b/>
          <w:bCs/>
          <w:w w:val="99"/>
          <w:sz w:val="72"/>
          <w:szCs w:val="72"/>
        </w:rPr>
      </w:pPr>
    </w:p>
    <w:p w14:paraId="70D7CE07">
      <w:pPr>
        <w:jc w:val="center"/>
        <w:rPr>
          <w:rFonts w:hint="eastAsia" w:ascii="宋体" w:hAnsi="宋体" w:cs="宋体"/>
          <w:b/>
          <w:bCs/>
          <w:w w:val="99"/>
          <w:sz w:val="72"/>
          <w:szCs w:val="72"/>
        </w:rPr>
      </w:pPr>
    </w:p>
    <w:p w14:paraId="709BB422">
      <w:pPr>
        <w:jc w:val="center"/>
        <w:rPr>
          <w:rFonts w:ascii="宋体" w:hAnsi="宋体" w:cs="宋体"/>
          <w:b/>
          <w:bCs/>
          <w:w w:val="99"/>
          <w:sz w:val="72"/>
          <w:szCs w:val="72"/>
        </w:rPr>
      </w:pPr>
      <w:r>
        <w:rPr>
          <w:rFonts w:hint="eastAsia" w:ascii="宋体" w:hAnsi="宋体" w:cs="宋体"/>
          <w:b/>
          <w:bCs/>
          <w:w w:val="99"/>
          <w:sz w:val="72"/>
          <w:szCs w:val="72"/>
        </w:rPr>
        <w:t>采</w:t>
      </w:r>
    </w:p>
    <w:p w14:paraId="6A5C329E">
      <w:pPr>
        <w:jc w:val="center"/>
        <w:rPr>
          <w:rFonts w:ascii="宋体" w:hAnsi="宋体" w:cs="宋体"/>
          <w:b/>
          <w:bCs/>
          <w:w w:val="99"/>
          <w:sz w:val="72"/>
          <w:szCs w:val="72"/>
        </w:rPr>
      </w:pPr>
      <w:r>
        <w:rPr>
          <w:rFonts w:hint="eastAsia" w:ascii="宋体" w:hAnsi="宋体" w:cs="宋体"/>
          <w:b/>
          <w:bCs/>
          <w:w w:val="99"/>
          <w:sz w:val="72"/>
          <w:szCs w:val="72"/>
        </w:rPr>
        <w:t>购</w:t>
      </w:r>
    </w:p>
    <w:p w14:paraId="2E9F1227">
      <w:pPr>
        <w:jc w:val="center"/>
        <w:rPr>
          <w:rFonts w:ascii="宋体" w:hAnsi="宋体" w:cs="宋体"/>
          <w:b/>
          <w:bCs/>
          <w:w w:val="99"/>
          <w:sz w:val="72"/>
          <w:szCs w:val="72"/>
        </w:rPr>
      </w:pPr>
      <w:r>
        <w:rPr>
          <w:rFonts w:hint="eastAsia" w:ascii="宋体" w:hAnsi="宋体" w:cs="宋体"/>
          <w:b/>
          <w:bCs/>
          <w:w w:val="99"/>
          <w:sz w:val="72"/>
          <w:szCs w:val="72"/>
        </w:rPr>
        <w:t>合</w:t>
      </w:r>
    </w:p>
    <w:p w14:paraId="28429FE7">
      <w:pPr>
        <w:jc w:val="center"/>
        <w:rPr>
          <w:rFonts w:ascii="宋体" w:hAnsi="宋体" w:cs="宋体"/>
          <w:b/>
          <w:bCs/>
          <w:w w:val="99"/>
          <w:sz w:val="72"/>
          <w:szCs w:val="72"/>
        </w:rPr>
      </w:pPr>
      <w:r>
        <w:rPr>
          <w:rFonts w:hint="eastAsia" w:ascii="宋体" w:hAnsi="宋体" w:cs="宋体"/>
          <w:b/>
          <w:bCs/>
          <w:w w:val="99"/>
          <w:sz w:val="72"/>
          <w:szCs w:val="72"/>
        </w:rPr>
        <w:t>同</w:t>
      </w:r>
    </w:p>
    <w:p w14:paraId="2B8F46CF">
      <w:pPr>
        <w:jc w:val="center"/>
        <w:rPr>
          <w:rFonts w:ascii="宋体" w:hAnsi="宋体" w:cs="宋体"/>
          <w:b/>
          <w:bCs/>
          <w:w w:val="99"/>
          <w:sz w:val="84"/>
          <w:szCs w:val="84"/>
        </w:rPr>
      </w:pPr>
    </w:p>
    <w:p w14:paraId="1F66FB2F">
      <w:pPr>
        <w:rPr>
          <w:rFonts w:ascii="仿宋_GB2312" w:hAnsi="宋体" w:eastAsia="仿宋_GB2312" w:cs="宋体"/>
          <w:b/>
          <w:bCs/>
          <w:position w:val="-3"/>
          <w:sz w:val="32"/>
          <w:szCs w:val="32"/>
        </w:rPr>
      </w:pPr>
    </w:p>
    <w:p w14:paraId="584CC715">
      <w:pPr>
        <w:rPr>
          <w:rFonts w:ascii="仿宋_GB2312" w:hAnsi="宋体" w:eastAsia="仿宋_GB2312" w:cs="宋体"/>
          <w:b/>
          <w:bCs/>
          <w:position w:val="-3"/>
          <w:sz w:val="32"/>
          <w:szCs w:val="32"/>
        </w:rPr>
      </w:pPr>
    </w:p>
    <w:p w14:paraId="498C39C1">
      <w:pPr>
        <w:pStyle w:val="8"/>
        <w:spacing w:before="0" w:after="0"/>
        <w:jc w:val="left"/>
        <w:rPr>
          <w:rFonts w:ascii="黑体" w:hAnsi="黑体" w:eastAsia="黑体"/>
          <w:color w:val="000000"/>
        </w:rPr>
      </w:pPr>
      <w:r>
        <w:rPr>
          <w:rFonts w:hint="eastAsia" w:ascii="黑体" w:hAnsi="黑体" w:eastAsia="黑体"/>
          <w:color w:val="000000"/>
        </w:rPr>
        <w:t>买方（甲方）：</w:t>
      </w:r>
      <w:r>
        <w:rPr>
          <w:rFonts w:hint="eastAsia" w:ascii="黑体" w:hAnsi="黑体" w:eastAsia="黑体"/>
          <w:color w:val="000000"/>
          <w:u w:val="single"/>
        </w:rPr>
        <w:t>南京禄口国际机场空港科技有限公司</w:t>
      </w:r>
    </w:p>
    <w:p w14:paraId="0F28975B">
      <w:pPr>
        <w:pStyle w:val="8"/>
        <w:spacing w:before="0" w:after="0"/>
        <w:jc w:val="left"/>
        <w:rPr>
          <w:rFonts w:ascii="黑体" w:hAnsi="黑体" w:eastAsia="黑体"/>
          <w:color w:val="000000"/>
        </w:rPr>
      </w:pPr>
      <w:r>
        <w:rPr>
          <w:rFonts w:hint="eastAsia" w:ascii="黑体" w:hAnsi="黑体" w:eastAsia="黑体"/>
          <w:color w:val="000000"/>
        </w:rPr>
        <w:t>卖方（乙方）：</w:t>
      </w:r>
      <w:permStart w:id="2"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2"/>
      <w:r>
        <w:rPr>
          <w:rFonts w:ascii="黑体" w:hAnsi="黑体" w:eastAsia="黑体"/>
          <w:color w:val="000000"/>
        </w:rPr>
        <w:t xml:space="preserve"> </w:t>
      </w:r>
    </w:p>
    <w:p w14:paraId="7913FD8B">
      <w:pPr>
        <w:tabs>
          <w:tab w:val="center" w:pos="4215"/>
          <w:tab w:val="left" w:pos="7413"/>
        </w:tabs>
        <w:spacing w:line="360" w:lineRule="auto"/>
        <w:jc w:val="center"/>
        <w:rPr>
          <w:rFonts w:hint="eastAsia" w:ascii="宋体" w:hAnsi="宋体" w:cs="宋体"/>
          <w:b/>
          <w:sz w:val="72"/>
          <w:szCs w:val="72"/>
        </w:rPr>
      </w:pPr>
    </w:p>
    <w:p w14:paraId="4238272F">
      <w:pPr>
        <w:tabs>
          <w:tab w:val="center" w:pos="4215"/>
          <w:tab w:val="left" w:pos="7413"/>
        </w:tabs>
        <w:spacing w:line="360" w:lineRule="auto"/>
        <w:jc w:val="center"/>
        <w:rPr>
          <w:rFonts w:hint="eastAsia" w:ascii="宋体" w:hAnsi="宋体" w:cs="宋体"/>
          <w:b/>
          <w:sz w:val="72"/>
          <w:szCs w:val="72"/>
        </w:rPr>
      </w:pPr>
      <w:r>
        <w:rPr>
          <w:rFonts w:hint="eastAsia" w:ascii="宋体" w:hAnsi="宋体"/>
          <w:b/>
          <w:bCs/>
          <w:sz w:val="24"/>
          <w:szCs w:val="24"/>
        </w:rPr>
        <w:t xml:space="preserve"> </w:t>
      </w:r>
      <w:r>
        <w:rPr>
          <w:rFonts w:hint="eastAsia" w:ascii="黑体" w:hAnsi="黑体" w:eastAsia="黑体" w:cs="Times New Roman"/>
          <w:b/>
          <w:bCs/>
          <w:sz w:val="24"/>
          <w:szCs w:val="24"/>
          <w:lang w:val="en-US" w:eastAsia="zh-CN"/>
        </w:rPr>
        <w:t xml:space="preserve">  </w:t>
      </w:r>
      <w:permStart w:id="3"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3"/>
      <w:r>
        <w:rPr>
          <w:rFonts w:hint="eastAsia" w:ascii="黑体" w:hAnsi="黑体" w:eastAsia="黑体"/>
          <w:b/>
          <w:bCs/>
          <w:sz w:val="24"/>
          <w:szCs w:val="24"/>
        </w:rPr>
        <w:t>年</w:t>
      </w:r>
      <w:permStart w:id="4"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permEnd w:id="4"/>
      <w:r>
        <w:rPr>
          <w:rFonts w:hint="eastAsia" w:ascii="黑体" w:hAnsi="黑体" w:eastAsia="黑体"/>
          <w:b/>
          <w:bCs/>
          <w:sz w:val="24"/>
          <w:szCs w:val="24"/>
        </w:rPr>
        <w:t>月</w:t>
      </w:r>
      <w:permStart w:id="5"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permEnd w:id="5"/>
      <w:r>
        <w:rPr>
          <w:rFonts w:hint="eastAsia" w:ascii="黑体" w:hAnsi="黑体" w:eastAsia="黑体"/>
          <w:b/>
          <w:bCs/>
          <w:sz w:val="24"/>
          <w:szCs w:val="24"/>
        </w:rPr>
        <w:t>日</w:t>
      </w:r>
    </w:p>
    <w:p w14:paraId="0274E99D">
      <w:pPr>
        <w:pageBreakBefore/>
        <w:tabs>
          <w:tab w:val="center" w:pos="4215"/>
          <w:tab w:val="left" w:pos="7413"/>
        </w:tabs>
        <w:spacing w:line="360" w:lineRule="auto"/>
        <w:jc w:val="center"/>
        <w:rPr>
          <w:rFonts w:ascii="宋体" w:hAnsi="宋体" w:cs="黑体"/>
          <w:b/>
          <w:sz w:val="24"/>
          <w:szCs w:val="24"/>
        </w:rPr>
      </w:pPr>
      <w:r>
        <w:rPr>
          <w:rFonts w:hint="eastAsia" w:ascii="宋体" w:hAnsi="宋体" w:cs="宋体"/>
          <w:b/>
          <w:sz w:val="72"/>
          <w:szCs w:val="72"/>
        </w:rPr>
        <w:t xml:space="preserve">采  购  </w:t>
      </w:r>
      <w:r>
        <w:rPr>
          <w:rFonts w:ascii="宋体" w:hAnsi="宋体" w:cs="宋体"/>
          <w:b/>
          <w:sz w:val="72"/>
          <w:szCs w:val="72"/>
        </w:rPr>
        <w:t>合</w:t>
      </w:r>
      <w:r>
        <w:rPr>
          <w:rFonts w:ascii="宋体" w:hAnsi="宋体" w:cs="华文行楷"/>
          <w:b/>
          <w:sz w:val="72"/>
          <w:szCs w:val="72"/>
        </w:rPr>
        <w:t xml:space="preserve">  </w:t>
      </w:r>
      <w:r>
        <w:rPr>
          <w:rFonts w:ascii="宋体" w:hAnsi="宋体" w:cs="宋体"/>
          <w:b/>
          <w:sz w:val="72"/>
          <w:szCs w:val="72"/>
        </w:rPr>
        <w:t>同</w:t>
      </w:r>
    </w:p>
    <w:p w14:paraId="15422E52">
      <w:pPr>
        <w:spacing w:line="360" w:lineRule="auto"/>
        <w:rPr>
          <w:rFonts w:ascii="黑体" w:hAnsi="黑体" w:eastAsia="黑体" w:cs="Arial"/>
          <w:b/>
          <w:sz w:val="24"/>
          <w:szCs w:val="24"/>
        </w:rPr>
      </w:pPr>
      <w:r>
        <w:rPr>
          <w:rFonts w:hint="eastAsia" w:ascii="宋体" w:hAnsi="宋体" w:cs="黑体"/>
          <w:b/>
          <w:sz w:val="24"/>
          <w:szCs w:val="24"/>
        </w:rPr>
        <w:t xml:space="preserve"> </w:t>
      </w:r>
      <w:r>
        <w:rPr>
          <w:rFonts w:ascii="黑体" w:hAnsi="黑体" w:eastAsia="黑体" w:cs="黑体"/>
          <w:b/>
          <w:sz w:val="24"/>
          <w:szCs w:val="24"/>
        </w:rPr>
        <w:t>购货单位：</w:t>
      </w:r>
      <w:r>
        <w:rPr>
          <w:rFonts w:hint="eastAsia" w:ascii="黑体" w:hAnsi="黑体" w:eastAsia="黑体"/>
          <w:b/>
          <w:sz w:val="24"/>
          <w:szCs w:val="24"/>
          <w:u w:val="single"/>
        </w:rPr>
        <w:t>南京禄口国际机场空港科技有限公司</w:t>
      </w:r>
      <w:r>
        <w:rPr>
          <w:rFonts w:hint="eastAsia" w:ascii="黑体" w:hAnsi="黑体" w:eastAsia="黑体"/>
          <w:b/>
          <w:sz w:val="24"/>
          <w:szCs w:val="24"/>
        </w:rPr>
        <w:t xml:space="preserve">  （以下简称甲方）</w:t>
      </w:r>
    </w:p>
    <w:p w14:paraId="57170320">
      <w:pPr>
        <w:spacing w:line="360" w:lineRule="auto"/>
        <w:rPr>
          <w:rFonts w:ascii="黑体" w:hAnsi="黑体" w:eastAsia="黑体"/>
          <w:b/>
          <w:sz w:val="24"/>
          <w:szCs w:val="24"/>
        </w:rPr>
      </w:pPr>
      <w:r>
        <w:rPr>
          <w:rFonts w:ascii="黑体" w:hAnsi="黑体" w:eastAsia="黑体" w:cs="黑体"/>
          <w:b/>
          <w:sz w:val="24"/>
          <w:szCs w:val="24"/>
        </w:rPr>
        <w:t xml:space="preserve"> 供货单位：</w:t>
      </w:r>
      <w:permStart w:id="6"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6"/>
      <w:r>
        <w:rPr>
          <w:rFonts w:hint="eastAsia" w:ascii="黑体" w:hAnsi="黑体" w:eastAsia="黑体"/>
          <w:b/>
          <w:sz w:val="24"/>
          <w:szCs w:val="24"/>
        </w:rPr>
        <w:t xml:space="preserve">          </w:t>
      </w:r>
      <w:r>
        <w:rPr>
          <w:rFonts w:ascii="黑体" w:hAnsi="黑体" w:eastAsia="黑体"/>
          <w:b/>
          <w:sz w:val="24"/>
          <w:szCs w:val="24"/>
        </w:rPr>
        <w:t>（以下简称乙方）</w:t>
      </w:r>
    </w:p>
    <w:p w14:paraId="5E2E6C04">
      <w:pPr>
        <w:spacing w:line="360" w:lineRule="auto"/>
        <w:ind w:firstLine="720" w:firstLineChars="300"/>
        <w:rPr>
          <w:rFonts w:hint="eastAsia" w:ascii="宋体" w:hAnsi="宋体"/>
          <w:sz w:val="24"/>
          <w:szCs w:val="24"/>
        </w:rPr>
      </w:pPr>
      <w:r>
        <w:rPr>
          <w:rFonts w:ascii="宋体" w:hAnsi="宋体"/>
          <w:bCs/>
          <w:sz w:val="24"/>
          <w:szCs w:val="24"/>
        </w:rPr>
        <w:t>根据《中华人民共和国</w:t>
      </w:r>
      <w:r>
        <w:rPr>
          <w:rFonts w:hint="eastAsia" w:ascii="宋体" w:hAnsi="宋体"/>
          <w:bCs/>
          <w:sz w:val="24"/>
          <w:szCs w:val="24"/>
          <w:lang w:val="en-US" w:eastAsia="zh-CN"/>
        </w:rPr>
        <w:t>民法典</w:t>
      </w:r>
      <w:r>
        <w:rPr>
          <w:rFonts w:ascii="宋体" w:hAnsi="宋体"/>
          <w:bCs/>
          <w:sz w:val="24"/>
          <w:szCs w:val="24"/>
        </w:rPr>
        <w:t>》，经甲乙双方协商一致</w:t>
      </w:r>
      <w:r>
        <w:rPr>
          <w:rFonts w:hint="eastAsia" w:ascii="宋体" w:hAnsi="宋体"/>
          <w:bCs/>
          <w:sz w:val="24"/>
          <w:szCs w:val="24"/>
        </w:rPr>
        <w:t>，</w:t>
      </w:r>
      <w:r>
        <w:rPr>
          <w:rFonts w:ascii="宋体" w:hAnsi="宋体"/>
          <w:bCs/>
          <w:sz w:val="24"/>
          <w:szCs w:val="24"/>
        </w:rPr>
        <w:t>在公平自愿的基础上签定本合同</w:t>
      </w:r>
      <w:r>
        <w:rPr>
          <w:rFonts w:ascii="宋体" w:hAnsi="宋体"/>
          <w:sz w:val="24"/>
          <w:szCs w:val="24"/>
        </w:rPr>
        <w:t xml:space="preserve"> </w:t>
      </w:r>
      <w:r>
        <w:rPr>
          <w:rFonts w:hint="eastAsia" w:ascii="宋体" w:hAnsi="宋体"/>
          <w:sz w:val="24"/>
          <w:szCs w:val="24"/>
        </w:rPr>
        <w:t>，</w:t>
      </w:r>
      <w:r>
        <w:rPr>
          <w:rFonts w:hint="eastAsia" w:ascii="宋体" w:hAnsi="宋体" w:cs="Arial"/>
          <w:sz w:val="24"/>
          <w:szCs w:val="24"/>
        </w:rPr>
        <w:t>就所购产品拟订以下条款，以资共同信守。</w:t>
      </w:r>
    </w:p>
    <w:p w14:paraId="43EB8DAE">
      <w:pPr>
        <w:tabs>
          <w:tab w:val="left" w:pos="8669"/>
        </w:tabs>
        <w:spacing w:line="360" w:lineRule="auto"/>
        <w:ind w:firstLine="482" w:firstLineChars="200"/>
        <w:rPr>
          <w:rFonts w:ascii="黑体" w:hAnsi="黑体" w:eastAsia="黑体" w:cs="Arial"/>
          <w:b/>
          <w:bCs/>
          <w:sz w:val="24"/>
          <w:szCs w:val="24"/>
        </w:rPr>
      </w:pPr>
      <w:r>
        <w:rPr>
          <w:rFonts w:hint="eastAsia" w:ascii="黑体" w:hAnsi="黑体" w:eastAsia="黑体" w:cs="Arial"/>
          <w:b/>
          <w:bCs/>
          <w:sz w:val="24"/>
          <w:szCs w:val="24"/>
        </w:rPr>
        <w:t>一、产品采购清单：</w:t>
      </w:r>
    </w:p>
    <w:p w14:paraId="610789EA">
      <w:pPr>
        <w:spacing w:line="360" w:lineRule="auto"/>
        <w:ind w:right="211"/>
        <w:jc w:val="right"/>
        <w:rPr>
          <w:rFonts w:hint="eastAsia" w:ascii="黑体" w:hAnsi="黑体" w:eastAsia="黑体" w:cs="Arial"/>
          <w:b/>
          <w:bCs/>
          <w:szCs w:val="21"/>
        </w:rPr>
      </w:pPr>
      <w:r>
        <w:rPr>
          <w:rFonts w:hint="eastAsia" w:ascii="黑体" w:hAnsi="黑体" w:eastAsia="黑体" w:cs="Arial"/>
          <w:b/>
          <w:bCs/>
          <w:szCs w:val="21"/>
        </w:rPr>
        <w:t>单位：人民币/元</w:t>
      </w:r>
    </w:p>
    <w:tbl>
      <w:tblPr>
        <w:tblStyle w:val="10"/>
        <w:tblW w:w="10080" w:type="dxa"/>
        <w:tblInd w:w="93" w:type="dxa"/>
        <w:tblLayout w:type="fixed"/>
        <w:tblCellMar>
          <w:top w:w="0" w:type="dxa"/>
          <w:left w:w="108" w:type="dxa"/>
          <w:bottom w:w="0" w:type="dxa"/>
          <w:right w:w="108" w:type="dxa"/>
        </w:tblCellMar>
      </w:tblPr>
      <w:tblGrid>
        <w:gridCol w:w="640"/>
        <w:gridCol w:w="1751"/>
        <w:gridCol w:w="2142"/>
        <w:gridCol w:w="918"/>
        <w:gridCol w:w="749"/>
        <w:gridCol w:w="781"/>
        <w:gridCol w:w="939"/>
        <w:gridCol w:w="876"/>
        <w:gridCol w:w="1284"/>
      </w:tblGrid>
      <w:tr w14:paraId="7164CDCC">
        <w:tblPrEx>
          <w:tblCellMar>
            <w:top w:w="0" w:type="dxa"/>
            <w:left w:w="108" w:type="dxa"/>
            <w:bottom w:w="0" w:type="dxa"/>
            <w:right w:w="108" w:type="dxa"/>
          </w:tblCellMar>
        </w:tblPrEx>
        <w:trPr>
          <w:trHeight w:val="540" w:hRule="atLeast"/>
        </w:trPr>
        <w:tc>
          <w:tcPr>
            <w:tcW w:w="640" w:type="dxa"/>
            <w:tcBorders>
              <w:top w:val="single" w:color="auto" w:sz="4" w:space="0"/>
              <w:left w:val="single" w:color="auto" w:sz="4" w:space="0"/>
              <w:bottom w:val="single" w:color="auto" w:sz="4" w:space="0"/>
              <w:right w:val="single" w:color="auto" w:sz="4" w:space="0"/>
            </w:tcBorders>
            <w:shd w:val="clear" w:color="000000" w:fill="C0C0C0"/>
            <w:noWrap w:val="0"/>
            <w:vAlign w:val="bottom"/>
          </w:tcPr>
          <w:p w14:paraId="6359B271">
            <w:pPr>
              <w:jc w:val="center"/>
              <w:rPr>
                <w:rFonts w:ascii="黑体" w:hAnsi="黑体" w:eastAsia="黑体" w:cs="宋体"/>
                <w:b/>
                <w:bCs/>
                <w:kern w:val="0"/>
                <w:sz w:val="22"/>
                <w:szCs w:val="22"/>
              </w:rPr>
            </w:pPr>
            <w:r>
              <w:rPr>
                <w:rFonts w:hint="eastAsia" w:ascii="黑体" w:hAnsi="黑体" w:eastAsia="黑体" w:cs="宋体"/>
                <w:b/>
                <w:bCs/>
                <w:kern w:val="0"/>
                <w:sz w:val="22"/>
                <w:szCs w:val="22"/>
              </w:rPr>
              <w:t>序号</w:t>
            </w:r>
          </w:p>
        </w:tc>
        <w:tc>
          <w:tcPr>
            <w:tcW w:w="1751" w:type="dxa"/>
            <w:tcBorders>
              <w:top w:val="single" w:color="auto" w:sz="4" w:space="0"/>
              <w:left w:val="nil"/>
              <w:bottom w:val="single" w:color="auto" w:sz="4" w:space="0"/>
              <w:right w:val="single" w:color="auto" w:sz="4" w:space="0"/>
            </w:tcBorders>
            <w:shd w:val="clear" w:color="000000" w:fill="C0C0C0"/>
            <w:noWrap w:val="0"/>
            <w:vAlign w:val="bottom"/>
          </w:tcPr>
          <w:p w14:paraId="257E9B78">
            <w:pPr>
              <w:jc w:val="center"/>
              <w:rPr>
                <w:rFonts w:ascii="黑体" w:hAnsi="黑体" w:eastAsia="黑体" w:cs="宋体"/>
                <w:b/>
                <w:bCs/>
                <w:kern w:val="0"/>
                <w:sz w:val="22"/>
                <w:szCs w:val="22"/>
              </w:rPr>
            </w:pPr>
            <w:r>
              <w:rPr>
                <w:rFonts w:hint="eastAsia" w:ascii="黑体" w:hAnsi="黑体" w:eastAsia="黑体" w:cs="宋体"/>
                <w:b/>
                <w:bCs/>
                <w:kern w:val="0"/>
                <w:sz w:val="22"/>
                <w:szCs w:val="22"/>
              </w:rPr>
              <w:t>设备名称</w:t>
            </w:r>
          </w:p>
        </w:tc>
        <w:tc>
          <w:tcPr>
            <w:tcW w:w="2142" w:type="dxa"/>
            <w:tcBorders>
              <w:top w:val="single" w:color="auto" w:sz="4" w:space="0"/>
              <w:left w:val="nil"/>
              <w:bottom w:val="single" w:color="auto" w:sz="4" w:space="0"/>
              <w:right w:val="single" w:color="auto" w:sz="4" w:space="0"/>
            </w:tcBorders>
            <w:shd w:val="clear" w:color="000000" w:fill="C0C0C0"/>
            <w:noWrap w:val="0"/>
            <w:vAlign w:val="bottom"/>
          </w:tcPr>
          <w:p w14:paraId="15A8E03C">
            <w:pPr>
              <w:jc w:val="center"/>
              <w:rPr>
                <w:rFonts w:ascii="黑体" w:hAnsi="黑体" w:eastAsia="黑体" w:cs="宋体"/>
                <w:b/>
                <w:bCs/>
                <w:kern w:val="0"/>
                <w:sz w:val="22"/>
                <w:szCs w:val="22"/>
              </w:rPr>
            </w:pPr>
            <w:r>
              <w:rPr>
                <w:rFonts w:hint="eastAsia" w:ascii="黑体" w:hAnsi="黑体" w:eastAsia="黑体" w:cs="宋体"/>
                <w:b/>
                <w:bCs/>
                <w:kern w:val="0"/>
                <w:sz w:val="22"/>
                <w:szCs w:val="22"/>
              </w:rPr>
              <w:t>规格型号</w:t>
            </w:r>
          </w:p>
        </w:tc>
        <w:tc>
          <w:tcPr>
            <w:tcW w:w="918" w:type="dxa"/>
            <w:tcBorders>
              <w:top w:val="single" w:color="auto" w:sz="4" w:space="0"/>
              <w:left w:val="nil"/>
              <w:bottom w:val="single" w:color="auto" w:sz="4" w:space="0"/>
              <w:right w:val="single" w:color="auto" w:sz="4" w:space="0"/>
            </w:tcBorders>
            <w:shd w:val="clear" w:color="000000" w:fill="C0C0C0"/>
            <w:noWrap w:val="0"/>
            <w:vAlign w:val="bottom"/>
          </w:tcPr>
          <w:p w14:paraId="096F4ACB">
            <w:pPr>
              <w:jc w:val="center"/>
              <w:rPr>
                <w:rFonts w:ascii="黑体" w:hAnsi="黑体" w:eastAsia="黑体" w:cs="宋体"/>
                <w:b/>
                <w:bCs/>
                <w:kern w:val="0"/>
                <w:sz w:val="22"/>
                <w:szCs w:val="22"/>
              </w:rPr>
            </w:pPr>
            <w:r>
              <w:rPr>
                <w:rFonts w:hint="eastAsia" w:ascii="黑体" w:hAnsi="黑体" w:eastAsia="黑体" w:cs="宋体"/>
                <w:b/>
                <w:bCs/>
                <w:kern w:val="0"/>
                <w:sz w:val="22"/>
                <w:szCs w:val="22"/>
              </w:rPr>
              <w:t>品牌</w:t>
            </w:r>
          </w:p>
        </w:tc>
        <w:tc>
          <w:tcPr>
            <w:tcW w:w="749" w:type="dxa"/>
            <w:tcBorders>
              <w:top w:val="single" w:color="auto" w:sz="4" w:space="0"/>
              <w:left w:val="nil"/>
              <w:bottom w:val="single" w:color="auto" w:sz="4" w:space="0"/>
              <w:right w:val="single" w:color="auto" w:sz="4" w:space="0"/>
            </w:tcBorders>
            <w:shd w:val="clear" w:color="000000" w:fill="C0C0C0"/>
            <w:noWrap w:val="0"/>
            <w:vAlign w:val="bottom"/>
          </w:tcPr>
          <w:p w14:paraId="700CFD7D">
            <w:pPr>
              <w:jc w:val="center"/>
              <w:rPr>
                <w:rFonts w:ascii="黑体" w:hAnsi="黑体" w:eastAsia="黑体" w:cs="宋体"/>
                <w:b/>
                <w:bCs/>
                <w:kern w:val="0"/>
                <w:sz w:val="22"/>
                <w:szCs w:val="22"/>
              </w:rPr>
            </w:pPr>
            <w:r>
              <w:rPr>
                <w:rFonts w:hint="eastAsia" w:ascii="黑体" w:hAnsi="黑体" w:eastAsia="黑体" w:cs="宋体"/>
                <w:b/>
                <w:bCs/>
                <w:kern w:val="0"/>
                <w:sz w:val="22"/>
                <w:szCs w:val="22"/>
              </w:rPr>
              <w:t>单位</w:t>
            </w:r>
          </w:p>
        </w:tc>
        <w:tc>
          <w:tcPr>
            <w:tcW w:w="781" w:type="dxa"/>
            <w:tcBorders>
              <w:top w:val="single" w:color="auto" w:sz="4" w:space="0"/>
              <w:left w:val="nil"/>
              <w:bottom w:val="single" w:color="auto" w:sz="4" w:space="0"/>
              <w:right w:val="single" w:color="auto" w:sz="4" w:space="0"/>
            </w:tcBorders>
            <w:shd w:val="clear" w:color="000000" w:fill="C0C0C0"/>
            <w:noWrap w:val="0"/>
            <w:vAlign w:val="bottom"/>
          </w:tcPr>
          <w:p w14:paraId="01F6362A">
            <w:pPr>
              <w:jc w:val="center"/>
              <w:rPr>
                <w:rFonts w:ascii="黑体" w:hAnsi="黑体" w:eastAsia="黑体" w:cs="宋体"/>
                <w:b/>
                <w:bCs/>
                <w:kern w:val="0"/>
                <w:sz w:val="22"/>
                <w:szCs w:val="22"/>
              </w:rPr>
            </w:pPr>
            <w:r>
              <w:rPr>
                <w:rFonts w:hint="eastAsia" w:ascii="黑体" w:hAnsi="黑体" w:eastAsia="黑体" w:cs="宋体"/>
                <w:b/>
                <w:bCs/>
                <w:kern w:val="0"/>
                <w:sz w:val="22"/>
                <w:szCs w:val="22"/>
              </w:rPr>
              <w:t>数量</w:t>
            </w:r>
          </w:p>
        </w:tc>
        <w:tc>
          <w:tcPr>
            <w:tcW w:w="939" w:type="dxa"/>
            <w:tcBorders>
              <w:top w:val="single" w:color="auto" w:sz="4" w:space="0"/>
              <w:left w:val="nil"/>
              <w:bottom w:val="single" w:color="auto" w:sz="4" w:space="0"/>
              <w:right w:val="single" w:color="auto" w:sz="4" w:space="0"/>
            </w:tcBorders>
            <w:shd w:val="clear" w:color="000000" w:fill="C0C0C0"/>
            <w:noWrap w:val="0"/>
            <w:vAlign w:val="bottom"/>
          </w:tcPr>
          <w:p w14:paraId="47BA7211">
            <w:pPr>
              <w:jc w:val="center"/>
              <w:rPr>
                <w:rFonts w:ascii="黑体" w:hAnsi="黑体" w:eastAsia="黑体" w:cs="宋体"/>
                <w:b/>
                <w:bCs/>
                <w:kern w:val="0"/>
                <w:sz w:val="22"/>
                <w:szCs w:val="22"/>
              </w:rPr>
            </w:pPr>
            <w:r>
              <w:rPr>
                <w:rFonts w:hint="eastAsia" w:ascii="黑体" w:hAnsi="黑体" w:eastAsia="黑体" w:cs="宋体"/>
                <w:b/>
                <w:bCs/>
                <w:kern w:val="0"/>
                <w:sz w:val="22"/>
                <w:szCs w:val="22"/>
              </w:rPr>
              <w:t>单价</w:t>
            </w:r>
          </w:p>
        </w:tc>
        <w:tc>
          <w:tcPr>
            <w:tcW w:w="876" w:type="dxa"/>
            <w:tcBorders>
              <w:top w:val="single" w:color="auto" w:sz="4" w:space="0"/>
              <w:left w:val="nil"/>
              <w:bottom w:val="single" w:color="auto" w:sz="4" w:space="0"/>
              <w:right w:val="single" w:color="auto" w:sz="4" w:space="0"/>
            </w:tcBorders>
            <w:shd w:val="clear" w:color="000000" w:fill="C0C0C0"/>
            <w:noWrap w:val="0"/>
            <w:vAlign w:val="bottom"/>
          </w:tcPr>
          <w:p w14:paraId="1F25146C">
            <w:pPr>
              <w:jc w:val="center"/>
              <w:rPr>
                <w:rFonts w:ascii="黑体" w:hAnsi="黑体" w:eastAsia="黑体" w:cs="宋体"/>
                <w:b/>
                <w:bCs/>
                <w:kern w:val="0"/>
                <w:sz w:val="22"/>
                <w:szCs w:val="22"/>
              </w:rPr>
            </w:pPr>
            <w:r>
              <w:rPr>
                <w:rFonts w:hint="eastAsia" w:ascii="黑体" w:hAnsi="黑体" w:eastAsia="黑体" w:cs="宋体"/>
                <w:b/>
                <w:bCs/>
                <w:kern w:val="0"/>
                <w:sz w:val="22"/>
                <w:szCs w:val="22"/>
              </w:rPr>
              <w:t>总价</w:t>
            </w:r>
          </w:p>
        </w:tc>
        <w:tc>
          <w:tcPr>
            <w:tcW w:w="1284" w:type="dxa"/>
            <w:tcBorders>
              <w:top w:val="single" w:color="auto" w:sz="4" w:space="0"/>
              <w:left w:val="nil"/>
              <w:bottom w:val="single" w:color="auto" w:sz="4" w:space="0"/>
              <w:right w:val="single" w:color="auto" w:sz="4" w:space="0"/>
            </w:tcBorders>
            <w:shd w:val="clear" w:color="000000" w:fill="C0C0C0"/>
            <w:noWrap w:val="0"/>
            <w:vAlign w:val="bottom"/>
          </w:tcPr>
          <w:p w14:paraId="04727035">
            <w:pPr>
              <w:jc w:val="center"/>
              <w:rPr>
                <w:rFonts w:ascii="黑体" w:hAnsi="黑体" w:eastAsia="黑体" w:cs="宋体"/>
                <w:b/>
                <w:bCs/>
                <w:kern w:val="0"/>
                <w:sz w:val="22"/>
                <w:szCs w:val="22"/>
              </w:rPr>
            </w:pPr>
            <w:r>
              <w:rPr>
                <w:rFonts w:hint="eastAsia" w:ascii="黑体" w:hAnsi="黑体" w:eastAsia="黑体" w:cs="宋体"/>
                <w:b/>
                <w:bCs/>
                <w:kern w:val="0"/>
                <w:sz w:val="22"/>
                <w:szCs w:val="22"/>
              </w:rPr>
              <w:t>备注</w:t>
            </w:r>
          </w:p>
        </w:tc>
      </w:tr>
      <w:tr w14:paraId="407D3F7B">
        <w:tblPrEx>
          <w:tblCellMar>
            <w:top w:w="0" w:type="dxa"/>
            <w:left w:w="108" w:type="dxa"/>
            <w:bottom w:w="0" w:type="dxa"/>
            <w:right w:w="108" w:type="dxa"/>
          </w:tblCellMar>
        </w:tblPrEx>
        <w:trPr>
          <w:trHeight w:val="660" w:hRule="atLeast"/>
        </w:trPr>
        <w:tc>
          <w:tcPr>
            <w:tcW w:w="640" w:type="dxa"/>
            <w:tcBorders>
              <w:top w:val="nil"/>
              <w:left w:val="single" w:color="auto" w:sz="4" w:space="0"/>
              <w:bottom w:val="single" w:color="auto" w:sz="4" w:space="0"/>
              <w:right w:val="single" w:color="auto" w:sz="4" w:space="0"/>
            </w:tcBorders>
            <w:noWrap/>
            <w:vAlign w:val="center"/>
          </w:tcPr>
          <w:p w14:paraId="283621E8">
            <w:pPr>
              <w:jc w:val="center"/>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w:t>
            </w:r>
          </w:p>
        </w:tc>
        <w:tc>
          <w:tcPr>
            <w:tcW w:w="1751" w:type="dxa"/>
            <w:tcBorders>
              <w:top w:val="nil"/>
              <w:left w:val="nil"/>
              <w:bottom w:val="single" w:color="auto" w:sz="4" w:space="0"/>
              <w:right w:val="single" w:color="auto" w:sz="4" w:space="0"/>
            </w:tcBorders>
            <w:noWrap w:val="0"/>
            <w:vAlign w:val="center"/>
          </w:tcPr>
          <w:p w14:paraId="07D80A91">
            <w:pPr>
              <w:keepNext w:val="0"/>
              <w:keepLines w:val="0"/>
              <w:widowControl/>
              <w:suppressLineNumbers w:val="0"/>
              <w:jc w:val="center"/>
              <w:textAlignment w:val="center"/>
              <w:rPr>
                <w:rFonts w:hint="eastAsia" w:ascii="宋体" w:hAnsi="宋体" w:eastAsia="宋体" w:cs="宋体"/>
                <w:kern w:val="0"/>
                <w:sz w:val="22"/>
                <w:szCs w:val="22"/>
                <w:lang w:val="en-US" w:eastAsia="zh-CN"/>
              </w:rPr>
            </w:pPr>
          </w:p>
        </w:tc>
        <w:tc>
          <w:tcPr>
            <w:tcW w:w="2142" w:type="dxa"/>
            <w:tcBorders>
              <w:top w:val="nil"/>
              <w:left w:val="nil"/>
              <w:bottom w:val="single" w:color="auto" w:sz="4" w:space="0"/>
              <w:right w:val="single" w:color="auto" w:sz="4" w:space="0"/>
            </w:tcBorders>
            <w:noWrap w:val="0"/>
            <w:vAlign w:val="center"/>
          </w:tcPr>
          <w:p w14:paraId="2E9278DB">
            <w:pPr>
              <w:keepNext w:val="0"/>
              <w:keepLines w:val="0"/>
              <w:widowControl/>
              <w:suppressLineNumbers w:val="0"/>
              <w:jc w:val="center"/>
              <w:textAlignment w:val="center"/>
              <w:rPr>
                <w:rFonts w:hint="default" w:ascii="宋体" w:hAnsi="宋体" w:eastAsia="宋体" w:cs="宋体"/>
                <w:kern w:val="0"/>
                <w:sz w:val="22"/>
                <w:szCs w:val="22"/>
                <w:lang w:val="en-US" w:eastAsia="zh-CN"/>
              </w:rPr>
            </w:pPr>
          </w:p>
        </w:tc>
        <w:tc>
          <w:tcPr>
            <w:tcW w:w="918" w:type="dxa"/>
            <w:tcBorders>
              <w:top w:val="nil"/>
              <w:left w:val="nil"/>
              <w:bottom w:val="single" w:color="auto" w:sz="4" w:space="0"/>
              <w:right w:val="single" w:color="auto" w:sz="4" w:space="0"/>
            </w:tcBorders>
            <w:noWrap w:val="0"/>
            <w:vAlign w:val="center"/>
          </w:tcPr>
          <w:p w14:paraId="7AB21BDC">
            <w:pPr>
              <w:keepNext w:val="0"/>
              <w:keepLines w:val="0"/>
              <w:widowControl/>
              <w:suppressLineNumbers w:val="0"/>
              <w:jc w:val="center"/>
              <w:textAlignment w:val="center"/>
              <w:rPr>
                <w:rFonts w:hint="eastAsia" w:ascii="宋体" w:hAnsi="宋体" w:eastAsia="宋体" w:cs="宋体"/>
                <w:kern w:val="0"/>
                <w:sz w:val="22"/>
                <w:szCs w:val="22"/>
                <w:lang w:val="en-US" w:eastAsia="zh-CN"/>
              </w:rPr>
            </w:pPr>
          </w:p>
        </w:tc>
        <w:tc>
          <w:tcPr>
            <w:tcW w:w="749" w:type="dxa"/>
            <w:tcBorders>
              <w:top w:val="nil"/>
              <w:left w:val="nil"/>
              <w:bottom w:val="single" w:color="auto" w:sz="4" w:space="0"/>
              <w:right w:val="single" w:color="auto" w:sz="4" w:space="0"/>
            </w:tcBorders>
            <w:noWrap w:val="0"/>
            <w:vAlign w:val="center"/>
          </w:tcPr>
          <w:p w14:paraId="295FFCBE">
            <w:pPr>
              <w:keepNext w:val="0"/>
              <w:keepLines w:val="0"/>
              <w:widowControl/>
              <w:suppressLineNumbers w:val="0"/>
              <w:jc w:val="center"/>
              <w:textAlignment w:val="center"/>
              <w:rPr>
                <w:rFonts w:hint="eastAsia" w:ascii="宋体" w:hAnsi="宋体" w:eastAsia="宋体" w:cs="宋体"/>
                <w:kern w:val="0"/>
                <w:sz w:val="22"/>
                <w:szCs w:val="22"/>
                <w:lang w:val="en-US" w:eastAsia="zh-CN"/>
              </w:rPr>
            </w:pPr>
          </w:p>
        </w:tc>
        <w:tc>
          <w:tcPr>
            <w:tcW w:w="781" w:type="dxa"/>
            <w:tcBorders>
              <w:top w:val="nil"/>
              <w:left w:val="nil"/>
              <w:bottom w:val="single" w:color="auto" w:sz="4" w:space="0"/>
              <w:right w:val="single" w:color="auto" w:sz="4" w:space="0"/>
            </w:tcBorders>
            <w:noWrap w:val="0"/>
            <w:vAlign w:val="center"/>
          </w:tcPr>
          <w:p w14:paraId="3155E98E">
            <w:pPr>
              <w:keepNext w:val="0"/>
              <w:keepLines w:val="0"/>
              <w:widowControl/>
              <w:suppressLineNumbers w:val="0"/>
              <w:jc w:val="center"/>
              <w:textAlignment w:val="center"/>
              <w:rPr>
                <w:rFonts w:hint="eastAsia" w:ascii="宋体" w:hAnsi="宋体" w:cs="宋体"/>
                <w:kern w:val="0"/>
                <w:sz w:val="22"/>
                <w:szCs w:val="22"/>
                <w:lang w:val="en-US" w:eastAsia="zh-CN"/>
              </w:rPr>
            </w:pPr>
          </w:p>
        </w:tc>
        <w:tc>
          <w:tcPr>
            <w:tcW w:w="939" w:type="dxa"/>
            <w:tcBorders>
              <w:top w:val="nil"/>
              <w:left w:val="nil"/>
              <w:bottom w:val="single" w:color="auto" w:sz="4" w:space="0"/>
              <w:right w:val="single" w:color="auto" w:sz="4" w:space="0"/>
            </w:tcBorders>
            <w:noWrap/>
            <w:vAlign w:val="center"/>
          </w:tcPr>
          <w:p w14:paraId="4B48FF2A">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rPr>
            </w:pPr>
          </w:p>
        </w:tc>
        <w:tc>
          <w:tcPr>
            <w:tcW w:w="876" w:type="dxa"/>
            <w:tcBorders>
              <w:top w:val="nil"/>
              <w:left w:val="nil"/>
              <w:bottom w:val="single" w:color="auto" w:sz="4" w:space="0"/>
              <w:right w:val="single" w:color="auto" w:sz="4" w:space="0"/>
            </w:tcBorders>
            <w:noWrap/>
            <w:vAlign w:val="center"/>
          </w:tcPr>
          <w:p w14:paraId="47B103BD">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rPr>
            </w:pPr>
          </w:p>
        </w:tc>
        <w:tc>
          <w:tcPr>
            <w:tcW w:w="1284" w:type="dxa"/>
            <w:tcBorders>
              <w:top w:val="nil"/>
              <w:left w:val="single" w:color="auto" w:sz="4" w:space="0"/>
              <w:bottom w:val="single" w:color="auto" w:sz="4" w:space="0"/>
              <w:right w:val="single" w:color="auto" w:sz="4" w:space="0"/>
            </w:tcBorders>
            <w:noWrap w:val="0"/>
            <w:vAlign w:val="center"/>
          </w:tcPr>
          <w:p w14:paraId="2421ADFC">
            <w:pPr>
              <w:jc w:val="center"/>
              <w:rPr>
                <w:rFonts w:hint="eastAsia" w:ascii="宋体" w:hAnsi="宋体" w:eastAsia="宋体" w:cs="宋体"/>
                <w:kern w:val="0"/>
                <w:sz w:val="24"/>
                <w:szCs w:val="24"/>
                <w:lang w:val="en-US" w:eastAsia="zh-CN"/>
              </w:rPr>
            </w:pPr>
          </w:p>
        </w:tc>
      </w:tr>
      <w:tr w14:paraId="378C16CC">
        <w:tblPrEx>
          <w:tblCellMar>
            <w:top w:w="0" w:type="dxa"/>
            <w:left w:w="108" w:type="dxa"/>
            <w:bottom w:w="0" w:type="dxa"/>
            <w:right w:w="108" w:type="dxa"/>
          </w:tblCellMar>
        </w:tblPrEx>
        <w:trPr>
          <w:trHeight w:val="495" w:hRule="atLeast"/>
        </w:trPr>
        <w:tc>
          <w:tcPr>
            <w:tcW w:w="7920" w:type="dxa"/>
            <w:gridSpan w:val="7"/>
            <w:tcBorders>
              <w:top w:val="single" w:color="auto" w:sz="4" w:space="0"/>
              <w:left w:val="single" w:color="auto" w:sz="4" w:space="0"/>
              <w:bottom w:val="single" w:color="auto" w:sz="4" w:space="0"/>
              <w:right w:val="single" w:color="auto" w:sz="4" w:space="0"/>
            </w:tcBorders>
            <w:noWrap/>
            <w:vAlign w:val="center"/>
          </w:tcPr>
          <w:p w14:paraId="61302AEE">
            <w:pPr>
              <w:jc w:val="center"/>
              <w:rPr>
                <w:rFonts w:ascii="宋体" w:hAnsi="宋体" w:cs="宋体"/>
                <w:kern w:val="0"/>
                <w:sz w:val="22"/>
                <w:szCs w:val="22"/>
              </w:rPr>
            </w:pPr>
            <w:r>
              <w:rPr>
                <w:rFonts w:hint="eastAsia" w:ascii="宋体" w:hAnsi="宋体" w:cs="宋体"/>
                <w:kern w:val="0"/>
                <w:sz w:val="22"/>
                <w:szCs w:val="22"/>
                <w:lang w:val="en-US" w:eastAsia="zh-CN"/>
              </w:rPr>
              <w:t xml:space="preserve"> </w:t>
            </w:r>
            <w:r>
              <w:rPr>
                <w:rFonts w:hint="eastAsia" w:ascii="宋体" w:hAnsi="宋体" w:cs="宋体"/>
                <w:kern w:val="0"/>
                <w:sz w:val="22"/>
                <w:szCs w:val="22"/>
              </w:rPr>
              <w:t>合计（大写）：元整</w:t>
            </w:r>
          </w:p>
        </w:tc>
        <w:tc>
          <w:tcPr>
            <w:tcW w:w="876" w:type="dxa"/>
            <w:tcBorders>
              <w:top w:val="nil"/>
              <w:left w:val="nil"/>
              <w:bottom w:val="single" w:color="auto" w:sz="4" w:space="0"/>
              <w:right w:val="single" w:color="auto" w:sz="4" w:space="0"/>
            </w:tcBorders>
            <w:noWrap/>
            <w:vAlign w:val="center"/>
          </w:tcPr>
          <w:p w14:paraId="0952D9BA">
            <w:pPr>
              <w:jc w:val="center"/>
              <w:rPr>
                <w:rFonts w:hint="default" w:ascii="宋体" w:hAnsi="宋体" w:eastAsia="宋体" w:cs="宋体"/>
                <w:color w:val="auto"/>
                <w:kern w:val="0"/>
                <w:sz w:val="22"/>
                <w:szCs w:val="22"/>
                <w:lang w:val="en-US" w:eastAsia="zh-CN"/>
              </w:rPr>
            </w:pPr>
          </w:p>
        </w:tc>
        <w:tc>
          <w:tcPr>
            <w:tcW w:w="1284" w:type="dxa"/>
            <w:tcBorders>
              <w:top w:val="nil"/>
              <w:left w:val="nil"/>
              <w:bottom w:val="single" w:color="auto" w:sz="4" w:space="0"/>
              <w:right w:val="single" w:color="auto" w:sz="4" w:space="0"/>
            </w:tcBorders>
            <w:noWrap/>
            <w:vAlign w:val="center"/>
          </w:tcPr>
          <w:p w14:paraId="50D3C147">
            <w:pPr>
              <w:rPr>
                <w:rFonts w:ascii="宋体" w:hAnsi="宋体" w:cs="宋体"/>
                <w:color w:val="auto"/>
                <w:kern w:val="0"/>
                <w:sz w:val="22"/>
                <w:szCs w:val="22"/>
              </w:rPr>
            </w:pPr>
            <w:r>
              <w:rPr>
                <w:rFonts w:hint="eastAsia" w:ascii="宋体" w:hAnsi="宋体" w:cs="宋体"/>
                <w:color w:val="auto"/>
                <w:kern w:val="0"/>
                <w:sz w:val="22"/>
                <w:szCs w:val="22"/>
              </w:rPr>
              <w:t>　</w:t>
            </w:r>
          </w:p>
        </w:tc>
      </w:tr>
      <w:tr w14:paraId="3A9713DB">
        <w:tblPrEx>
          <w:tblCellMar>
            <w:top w:w="0" w:type="dxa"/>
            <w:left w:w="108" w:type="dxa"/>
            <w:bottom w:w="0" w:type="dxa"/>
            <w:right w:w="108" w:type="dxa"/>
          </w:tblCellMar>
        </w:tblPrEx>
        <w:trPr>
          <w:trHeight w:val="465" w:hRule="atLeast"/>
        </w:trPr>
        <w:tc>
          <w:tcPr>
            <w:tcW w:w="10080" w:type="dxa"/>
            <w:gridSpan w:val="9"/>
            <w:tcBorders>
              <w:top w:val="single" w:color="auto" w:sz="4" w:space="0"/>
              <w:left w:val="single" w:color="auto" w:sz="4" w:space="0"/>
              <w:bottom w:val="single" w:color="auto" w:sz="4" w:space="0"/>
              <w:right w:val="single" w:color="auto" w:sz="4" w:space="0"/>
            </w:tcBorders>
            <w:noWrap/>
            <w:vAlign w:val="center"/>
          </w:tcPr>
          <w:p w14:paraId="1A2C908D">
            <w:pPr>
              <w:rPr>
                <w:rFonts w:ascii="黑体" w:hAnsi="黑体" w:eastAsia="黑体" w:cs="宋体"/>
                <w:b/>
                <w:bCs/>
                <w:kern w:val="0"/>
                <w:sz w:val="22"/>
                <w:szCs w:val="22"/>
              </w:rPr>
            </w:pPr>
            <w:r>
              <w:rPr>
                <w:rFonts w:hint="eastAsia" w:ascii="黑体" w:hAnsi="黑体" w:eastAsia="黑体" w:cs="宋体"/>
                <w:b/>
                <w:bCs/>
                <w:kern w:val="0"/>
                <w:sz w:val="22"/>
                <w:szCs w:val="22"/>
              </w:rPr>
              <w:t>含1</w:t>
            </w:r>
            <w:r>
              <w:rPr>
                <w:rFonts w:hint="eastAsia" w:ascii="黑体" w:hAnsi="黑体" w:eastAsia="黑体" w:cs="宋体"/>
                <w:b/>
                <w:bCs/>
                <w:kern w:val="0"/>
                <w:sz w:val="22"/>
                <w:szCs w:val="22"/>
                <w:lang w:val="en-US" w:eastAsia="zh-CN"/>
              </w:rPr>
              <w:t>3</w:t>
            </w:r>
            <w:r>
              <w:rPr>
                <w:rFonts w:hint="eastAsia" w:ascii="黑体" w:hAnsi="黑体" w:eastAsia="黑体" w:cs="宋体"/>
                <w:b/>
                <w:bCs/>
                <w:kern w:val="0"/>
                <w:sz w:val="22"/>
                <w:szCs w:val="22"/>
              </w:rPr>
              <w:t>%增值税专用发票</w:t>
            </w:r>
            <w:r>
              <w:rPr>
                <w:rFonts w:hint="eastAsia" w:ascii="黑体" w:hAnsi="黑体" w:eastAsia="黑体" w:cs="宋体"/>
                <w:b/>
                <w:bCs/>
                <w:kern w:val="0"/>
                <w:sz w:val="22"/>
                <w:szCs w:val="22"/>
                <w:lang w:eastAsia="zh-CN"/>
              </w:rPr>
              <w:t>、调试</w:t>
            </w:r>
            <w:r>
              <w:rPr>
                <w:rFonts w:hint="eastAsia" w:ascii="黑体" w:hAnsi="黑体" w:eastAsia="黑体" w:cs="宋体"/>
                <w:b/>
                <w:bCs/>
                <w:kern w:val="0"/>
                <w:sz w:val="22"/>
                <w:szCs w:val="22"/>
              </w:rPr>
              <w:t>及运费。</w:t>
            </w:r>
          </w:p>
        </w:tc>
      </w:tr>
      <w:tr w14:paraId="37102B27">
        <w:tblPrEx>
          <w:tblCellMar>
            <w:top w:w="0" w:type="dxa"/>
            <w:left w:w="108" w:type="dxa"/>
            <w:bottom w:w="0" w:type="dxa"/>
            <w:right w:w="108" w:type="dxa"/>
          </w:tblCellMar>
        </w:tblPrEx>
        <w:trPr>
          <w:trHeight w:val="465" w:hRule="atLeast"/>
        </w:trPr>
        <w:tc>
          <w:tcPr>
            <w:tcW w:w="10080" w:type="dxa"/>
            <w:gridSpan w:val="9"/>
            <w:tcBorders>
              <w:top w:val="single" w:color="auto" w:sz="4" w:space="0"/>
              <w:left w:val="single" w:color="auto" w:sz="4" w:space="0"/>
              <w:bottom w:val="single" w:color="auto" w:sz="4" w:space="0"/>
              <w:right w:val="single" w:color="auto" w:sz="4" w:space="0"/>
            </w:tcBorders>
            <w:noWrap/>
            <w:vAlign w:val="center"/>
          </w:tcPr>
          <w:p w14:paraId="7C2D518A">
            <w:pPr>
              <w:rPr>
                <w:rFonts w:hint="default" w:ascii="黑体" w:hAnsi="黑体" w:eastAsia="黑体" w:cs="宋体"/>
                <w:b/>
                <w:bCs/>
                <w:kern w:val="0"/>
                <w:sz w:val="22"/>
                <w:szCs w:val="22"/>
                <w:lang w:val="en-US" w:eastAsia="zh-CN"/>
              </w:rPr>
            </w:pPr>
            <w:r>
              <w:rPr>
                <w:rFonts w:hint="eastAsia" w:ascii="黑体" w:hAnsi="黑体" w:eastAsia="黑体" w:cs="宋体"/>
                <w:b/>
                <w:bCs/>
                <w:kern w:val="0"/>
                <w:sz w:val="22"/>
                <w:szCs w:val="22"/>
                <w:lang w:val="en-US" w:eastAsia="zh-CN"/>
              </w:rPr>
              <w:t>不含税金额为：元；税金为：元。</w:t>
            </w:r>
          </w:p>
        </w:tc>
      </w:tr>
    </w:tbl>
    <w:p w14:paraId="104FE641">
      <w:pPr>
        <w:spacing w:line="360" w:lineRule="auto"/>
        <w:ind w:firstLine="482" w:firstLineChars="200"/>
        <w:rPr>
          <w:rFonts w:ascii="黑体" w:hAnsi="黑体" w:eastAsia="黑体" w:cs="Arial"/>
          <w:b/>
          <w:bCs/>
          <w:sz w:val="24"/>
          <w:szCs w:val="24"/>
        </w:rPr>
      </w:pPr>
      <w:r>
        <w:rPr>
          <w:rFonts w:hint="eastAsia" w:ascii="黑体" w:hAnsi="黑体" w:eastAsia="黑体" w:cs="Arial"/>
          <w:b/>
          <w:bCs/>
          <w:sz w:val="24"/>
          <w:szCs w:val="24"/>
        </w:rPr>
        <w:t>二、产品的质量标准</w:t>
      </w:r>
    </w:p>
    <w:p w14:paraId="0F53079B">
      <w:pPr>
        <w:spacing w:line="360" w:lineRule="auto"/>
        <w:ind w:firstLine="480" w:firstLineChars="200"/>
        <w:rPr>
          <w:rFonts w:ascii="宋体" w:hAnsi="宋体"/>
          <w:sz w:val="24"/>
          <w:szCs w:val="24"/>
        </w:rPr>
      </w:pPr>
      <w:r>
        <w:rPr>
          <w:rFonts w:hint="eastAsia" w:ascii="宋体" w:hAnsi="宋体"/>
          <w:sz w:val="24"/>
          <w:szCs w:val="24"/>
        </w:rPr>
        <w:t>1、产品质量标准：执行最新国家及行业标准、国家和地方行政主管部门的有关规定。本合同货物用于【】</w:t>
      </w:r>
      <w:r>
        <w:rPr>
          <w:rFonts w:hint="eastAsia" w:ascii="宋体" w:hAnsi="宋体"/>
          <w:sz w:val="24"/>
          <w:szCs w:val="24"/>
          <w:lang w:val="en-US" w:eastAsia="zh-CN"/>
        </w:rPr>
        <w:t>项目，</w:t>
      </w:r>
      <w:r>
        <w:rPr>
          <w:rFonts w:hint="eastAsia" w:ascii="宋体" w:hAnsi="宋体"/>
          <w:sz w:val="24"/>
          <w:szCs w:val="24"/>
        </w:rPr>
        <w:t>甲方与</w:t>
      </w:r>
      <w:r>
        <w:rPr>
          <w:rFonts w:hint="eastAsia" w:ascii="宋体" w:hAnsi="宋体"/>
          <w:sz w:val="24"/>
          <w:szCs w:val="24"/>
          <w:lang w:val="en-US" w:eastAsia="zh-CN"/>
        </w:rPr>
        <w:t>项目</w:t>
      </w:r>
      <w:r>
        <w:rPr>
          <w:rFonts w:hint="eastAsia" w:ascii="宋体" w:hAnsi="宋体"/>
          <w:sz w:val="24"/>
          <w:szCs w:val="24"/>
        </w:rPr>
        <w:t>业主方签订的合同</w:t>
      </w:r>
      <w:r>
        <w:rPr>
          <w:rFonts w:hint="eastAsia" w:ascii="宋体" w:hAnsi="宋体"/>
          <w:sz w:val="24"/>
          <w:szCs w:val="24"/>
          <w:lang w:val="en-US" w:eastAsia="zh-CN"/>
        </w:rPr>
        <w:t>及项目招标文件</w:t>
      </w:r>
      <w:r>
        <w:rPr>
          <w:rFonts w:hint="eastAsia" w:ascii="宋体" w:hAnsi="宋体"/>
          <w:sz w:val="24"/>
          <w:szCs w:val="24"/>
        </w:rPr>
        <w:t>中的产品质量标准作为本合同附件，乙方提供的产品应能符合</w:t>
      </w:r>
      <w:r>
        <w:rPr>
          <w:rFonts w:hint="eastAsia" w:ascii="宋体" w:hAnsi="宋体"/>
          <w:sz w:val="24"/>
          <w:szCs w:val="24"/>
          <w:lang w:val="en-US" w:eastAsia="zh-CN"/>
        </w:rPr>
        <w:t>上述</w:t>
      </w:r>
      <w:r>
        <w:rPr>
          <w:rFonts w:hint="eastAsia" w:ascii="宋体" w:hAnsi="宋体"/>
          <w:sz w:val="24"/>
          <w:szCs w:val="24"/>
        </w:rPr>
        <w:t>相关质量及规格要求</w:t>
      </w:r>
      <w:r>
        <w:rPr>
          <w:rFonts w:hint="eastAsia" w:ascii="宋体" w:hAnsi="宋体"/>
          <w:sz w:val="24"/>
          <w:szCs w:val="24"/>
          <w:lang w:val="en-US" w:eastAsia="zh-CN"/>
        </w:rPr>
        <w:t>中的最高要求</w:t>
      </w:r>
      <w:r>
        <w:rPr>
          <w:rFonts w:hint="eastAsia" w:ascii="宋体" w:hAnsi="宋体"/>
          <w:sz w:val="24"/>
          <w:szCs w:val="24"/>
        </w:rPr>
        <w:t>。</w:t>
      </w:r>
    </w:p>
    <w:p w14:paraId="3204A293">
      <w:pPr>
        <w:spacing w:line="360" w:lineRule="auto"/>
        <w:ind w:firstLine="480" w:firstLineChars="200"/>
        <w:rPr>
          <w:rFonts w:ascii="宋体" w:hAnsi="宋体"/>
          <w:sz w:val="24"/>
          <w:szCs w:val="24"/>
        </w:rPr>
      </w:pPr>
      <w:r>
        <w:rPr>
          <w:rFonts w:hint="eastAsia" w:ascii="宋体" w:hAnsi="宋体"/>
          <w:sz w:val="24"/>
          <w:szCs w:val="24"/>
        </w:rPr>
        <w:t>2、乙方保证所提供的本合同标的物在设计、性能、技术和材料方面都是完备的，必须符合本合同约定的“质量标准”，且为原厂全新产品，</w:t>
      </w:r>
      <w:r>
        <w:rPr>
          <w:rFonts w:hint="eastAsia" w:ascii="宋体" w:hAnsi="宋体"/>
          <w:kern w:val="0"/>
          <w:sz w:val="24"/>
          <w:szCs w:val="24"/>
        </w:rPr>
        <w:t>达到产品各项性能指标和参数，</w:t>
      </w:r>
      <w:r>
        <w:rPr>
          <w:rFonts w:hint="eastAsia" w:ascii="宋体" w:hAnsi="宋体"/>
          <w:sz w:val="24"/>
          <w:szCs w:val="24"/>
        </w:rPr>
        <w:t>其质量符合有关的国标标准，</w:t>
      </w:r>
      <w:r>
        <w:rPr>
          <w:rFonts w:hint="eastAsia" w:ascii="宋体" w:hAnsi="宋体"/>
          <w:kern w:val="0"/>
          <w:sz w:val="24"/>
          <w:szCs w:val="24"/>
        </w:rPr>
        <w:t>并能保证工程验收合格。乙方保证所供产品自生产日至交付日的期间未超过保质期的三分之一（如产品有保质期）。</w:t>
      </w:r>
    </w:p>
    <w:p w14:paraId="38B6525A">
      <w:pPr>
        <w:spacing w:line="360" w:lineRule="auto"/>
        <w:ind w:firstLine="480" w:firstLineChars="200"/>
        <w:rPr>
          <w:rFonts w:hint="eastAsia" w:ascii="宋体" w:hAnsi="宋体" w:cs="Arial"/>
          <w:sz w:val="24"/>
          <w:szCs w:val="24"/>
        </w:rPr>
      </w:pPr>
      <w:r>
        <w:rPr>
          <w:rFonts w:hint="eastAsia" w:ascii="宋体" w:hAnsi="宋体" w:cs="Arial"/>
          <w:sz w:val="24"/>
          <w:szCs w:val="24"/>
        </w:rPr>
        <w:t>3、乙方提供的货物必须是正品行货，若为假冒伪劣产品，则假一罚十。</w:t>
      </w:r>
    </w:p>
    <w:p w14:paraId="40C5117C">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4、乙方向甲方所提供的产品在质保期内发现缺陷和供应设备损坏的索赔应在质保期届满后三十天仍然有效。上述保证所包括的任何损坏，应在双方同意的时间内由乙方安排做出必要的维修或更换。在保证期后，乙方有偿向甲方提供完善的保养和维修服务以及零部件</w:t>
      </w:r>
      <w:r>
        <w:rPr>
          <w:rFonts w:hint="eastAsia" w:ascii="宋体" w:hAnsi="宋体"/>
          <w:sz w:val="24"/>
          <w:szCs w:val="24"/>
          <w:lang w:eastAsia="zh-CN"/>
        </w:rPr>
        <w:t>。乙方应</w:t>
      </w:r>
      <w:r>
        <w:rPr>
          <w:rFonts w:hint="eastAsia" w:ascii="宋体" w:hAnsi="宋体"/>
          <w:sz w:val="24"/>
          <w:szCs w:val="24"/>
          <w:lang w:val="en-US" w:eastAsia="zh-CN"/>
        </w:rPr>
        <w:t>在供应</w:t>
      </w:r>
      <w:r>
        <w:rPr>
          <w:rFonts w:hint="eastAsia" w:ascii="宋体" w:hAnsi="宋体"/>
          <w:sz w:val="24"/>
          <w:szCs w:val="24"/>
          <w:lang w:eastAsia="zh-CN"/>
        </w:rPr>
        <w:t>货物之后的10年内，备有在功能和质量上与本合同货物中所含部件实质等同且兼容可用的备品备件。</w:t>
      </w:r>
    </w:p>
    <w:p w14:paraId="72F1C36E">
      <w:pPr>
        <w:spacing w:line="360" w:lineRule="auto"/>
        <w:ind w:firstLine="480" w:firstLineChars="200"/>
        <w:rPr>
          <w:rFonts w:ascii="宋体" w:hAnsi="宋体"/>
          <w:sz w:val="24"/>
          <w:szCs w:val="24"/>
        </w:rPr>
      </w:pPr>
      <w:r>
        <w:rPr>
          <w:rFonts w:hint="eastAsia" w:ascii="宋体" w:hAnsi="宋体"/>
          <w:sz w:val="24"/>
          <w:szCs w:val="24"/>
        </w:rPr>
        <w:t>5、乙方随货提供相应设备的相关报验资料、检验报告、原厂证明书、合格证，进口产品需有报关证明文件，报验资料加盖乙方公司的原件章。乙方随货资料不符合要求，甲方有权拒收该批货物且乙方应赔偿因此给甲方造成的损失。</w:t>
      </w:r>
    </w:p>
    <w:p w14:paraId="7047C885">
      <w:pPr>
        <w:spacing w:line="360" w:lineRule="auto"/>
        <w:ind w:firstLine="482" w:firstLineChars="200"/>
        <w:rPr>
          <w:rFonts w:ascii="黑体" w:hAnsi="黑体" w:eastAsia="黑体" w:cs="Arial"/>
          <w:sz w:val="24"/>
          <w:szCs w:val="24"/>
        </w:rPr>
      </w:pPr>
      <w:r>
        <w:rPr>
          <w:rFonts w:hint="eastAsia" w:ascii="黑体" w:hAnsi="黑体" w:eastAsia="黑体" w:cs="Arial"/>
          <w:b/>
          <w:bCs/>
          <w:sz w:val="24"/>
          <w:szCs w:val="24"/>
        </w:rPr>
        <w:t>三、产品的包装标准</w:t>
      </w:r>
    </w:p>
    <w:p w14:paraId="7DC0744F">
      <w:pPr>
        <w:spacing w:line="360" w:lineRule="auto"/>
        <w:ind w:firstLine="480" w:firstLineChars="200"/>
        <w:rPr>
          <w:rFonts w:ascii="宋体" w:hAnsi="宋体"/>
          <w:sz w:val="24"/>
          <w:szCs w:val="24"/>
        </w:rPr>
      </w:pPr>
      <w:r>
        <w:rPr>
          <w:rFonts w:hint="eastAsia" w:ascii="宋体" w:hAnsi="宋体"/>
          <w:sz w:val="24"/>
          <w:szCs w:val="24"/>
        </w:rPr>
        <w:t>由乙方按照产品出厂包装标准包装，适合长途运输及多次搬运的坚固包装，并采取措施防止设备受潮、防漏、生锈及震动等影响，以保证设备安全抵达安装现场。乙方在</w:t>
      </w:r>
      <w:r>
        <w:rPr>
          <w:rFonts w:hint="eastAsia" w:ascii="宋体" w:hAnsi="宋体"/>
          <w:sz w:val="24"/>
          <w:szCs w:val="24"/>
          <w:lang w:val="en-US" w:eastAsia="zh-CN"/>
        </w:rPr>
        <w:t>货物</w:t>
      </w:r>
      <w:r>
        <w:rPr>
          <w:rFonts w:hint="eastAsia" w:ascii="宋体" w:hAnsi="宋体"/>
          <w:sz w:val="24"/>
          <w:szCs w:val="24"/>
        </w:rPr>
        <w:t>外包装和</w:t>
      </w:r>
      <w:r>
        <w:rPr>
          <w:rFonts w:hint="eastAsia" w:ascii="宋体" w:hAnsi="宋体"/>
          <w:sz w:val="24"/>
          <w:szCs w:val="24"/>
          <w:lang w:val="en-US" w:eastAsia="zh-CN"/>
        </w:rPr>
        <w:t>送货</w:t>
      </w:r>
      <w:r>
        <w:rPr>
          <w:rFonts w:hint="eastAsia" w:ascii="宋体" w:hAnsi="宋体"/>
          <w:sz w:val="24"/>
          <w:szCs w:val="24"/>
        </w:rPr>
        <w:t>单上必须标识清楚与实物相符的品名、品牌、规格、数量等</w:t>
      </w:r>
      <w:r>
        <w:rPr>
          <w:rFonts w:hint="eastAsia" w:ascii="宋体" w:hAnsi="宋体"/>
          <w:sz w:val="24"/>
          <w:szCs w:val="24"/>
          <w:lang w:val="en-US" w:eastAsia="zh-CN"/>
        </w:rPr>
        <w:t>信息</w:t>
      </w:r>
      <w:r>
        <w:rPr>
          <w:rFonts w:hint="eastAsia" w:ascii="宋体" w:hAnsi="宋体"/>
          <w:sz w:val="24"/>
          <w:szCs w:val="24"/>
        </w:rPr>
        <w:t>。由于包装不当而引起的损坏和损失均由乙方负责。包装符合国家法律规定的标准，产品包装不符国家法律规定时，乙方应负责返修或重新包装，并承担返修或重新包装的费用。</w:t>
      </w:r>
    </w:p>
    <w:p w14:paraId="192D7C5B">
      <w:pPr>
        <w:spacing w:line="360" w:lineRule="auto"/>
        <w:ind w:firstLine="482" w:firstLineChars="200"/>
        <w:rPr>
          <w:rFonts w:hint="eastAsia" w:ascii="黑体" w:hAnsi="黑体" w:eastAsia="黑体"/>
          <w:b/>
          <w:sz w:val="24"/>
          <w:szCs w:val="24"/>
        </w:rPr>
      </w:pPr>
      <w:r>
        <w:rPr>
          <w:rFonts w:hint="eastAsia" w:ascii="黑体" w:hAnsi="黑体" w:eastAsia="黑体" w:cs="Arial"/>
          <w:b/>
          <w:bCs/>
          <w:sz w:val="24"/>
          <w:szCs w:val="24"/>
        </w:rPr>
        <w:t>四、产品的</w:t>
      </w:r>
      <w:r>
        <w:rPr>
          <w:rFonts w:hint="eastAsia" w:ascii="黑体" w:hAnsi="黑体" w:eastAsia="黑体"/>
          <w:b/>
          <w:sz w:val="24"/>
          <w:szCs w:val="24"/>
        </w:rPr>
        <w:t>交货条件</w:t>
      </w:r>
    </w:p>
    <w:p w14:paraId="1423F6C8">
      <w:pPr>
        <w:spacing w:line="360" w:lineRule="auto"/>
        <w:ind w:firstLine="480" w:firstLineChars="200"/>
        <w:rPr>
          <w:rFonts w:hint="eastAsia" w:ascii="宋体" w:hAnsi="宋体"/>
          <w:sz w:val="24"/>
          <w:szCs w:val="24"/>
        </w:rPr>
      </w:pPr>
      <w:r>
        <w:rPr>
          <w:rFonts w:hint="eastAsia" w:ascii="宋体" w:hAnsi="宋体"/>
          <w:sz w:val="24"/>
          <w:szCs w:val="24"/>
        </w:rPr>
        <w:t xml:space="preserve">1、交货日期： </w:t>
      </w:r>
      <w:permStart w:id="7"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7"/>
      <w:r>
        <w:rPr>
          <w:rFonts w:hint="eastAsia" w:ascii="宋体" w:hAnsi="宋体"/>
          <w:sz w:val="24"/>
          <w:szCs w:val="24"/>
          <w:u w:val="single"/>
        </w:rPr>
        <w:t xml:space="preserve"> </w:t>
      </w:r>
      <w:r>
        <w:rPr>
          <w:rFonts w:hint="eastAsia" w:ascii="宋体" w:hAnsi="宋体"/>
          <w:sz w:val="24"/>
          <w:szCs w:val="24"/>
        </w:rPr>
        <w:t>。</w:t>
      </w:r>
    </w:p>
    <w:p w14:paraId="7953D0EF">
      <w:pPr>
        <w:spacing w:line="360" w:lineRule="auto"/>
        <w:ind w:firstLine="480" w:firstLineChars="200"/>
        <w:rPr>
          <w:rFonts w:hint="eastAsia" w:ascii="宋体" w:hAnsi="宋体"/>
          <w:sz w:val="24"/>
          <w:szCs w:val="24"/>
          <w:u w:val="single"/>
        </w:rPr>
      </w:pPr>
      <w:r>
        <w:rPr>
          <w:rFonts w:hint="eastAsia" w:ascii="宋体" w:hAnsi="宋体"/>
          <w:sz w:val="24"/>
          <w:szCs w:val="24"/>
        </w:rPr>
        <w:t>2、交货地址：</w:t>
      </w:r>
      <w:permStart w:id="8"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8"/>
      <w:r>
        <w:rPr>
          <w:rFonts w:hint="eastAsia" w:ascii="宋体" w:hAnsi="宋体"/>
          <w:sz w:val="24"/>
          <w:szCs w:val="24"/>
        </w:rPr>
        <w:t>。</w:t>
      </w:r>
    </w:p>
    <w:p w14:paraId="18DC437E">
      <w:pPr>
        <w:spacing w:line="360" w:lineRule="auto"/>
        <w:ind w:firstLine="480" w:firstLineChars="200"/>
        <w:rPr>
          <w:rFonts w:hint="eastAsia" w:ascii="宋体" w:hAnsi="宋体"/>
          <w:sz w:val="24"/>
          <w:szCs w:val="24"/>
        </w:rPr>
      </w:pPr>
      <w:r>
        <w:rPr>
          <w:rFonts w:hint="eastAsia" w:ascii="宋体" w:hAnsi="宋体"/>
          <w:sz w:val="24"/>
          <w:szCs w:val="24"/>
        </w:rPr>
        <w:t>3、</w:t>
      </w:r>
      <w:r>
        <w:rPr>
          <w:rFonts w:hint="eastAsia" w:ascii="宋体" w:hAnsi="宋体" w:cs="Arial"/>
          <w:sz w:val="24"/>
          <w:szCs w:val="24"/>
        </w:rPr>
        <w:t>收货人：</w:t>
      </w:r>
      <w:permStart w:id="9"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9"/>
      <w:r>
        <w:rPr>
          <w:rFonts w:hint="eastAsia" w:ascii="宋体" w:hAnsi="宋体" w:cs="Arial"/>
          <w:color w:val="auto"/>
          <w:sz w:val="24"/>
          <w:szCs w:val="24"/>
          <w:u w:val="single"/>
        </w:rPr>
        <w:t xml:space="preserve"> </w:t>
      </w:r>
      <w:r>
        <w:rPr>
          <w:rFonts w:hint="eastAsia" w:ascii="宋体" w:hAnsi="宋体" w:cs="Arial"/>
          <w:color w:val="auto"/>
          <w:sz w:val="24"/>
          <w:szCs w:val="24"/>
        </w:rPr>
        <w:t xml:space="preserve"> ；联系电话：</w:t>
      </w:r>
      <w:permStart w:id="10"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10"/>
      <w:r>
        <w:rPr>
          <w:rFonts w:hint="eastAsia" w:ascii="宋体" w:hAnsi="宋体" w:cs="Arial"/>
          <w:sz w:val="24"/>
          <w:szCs w:val="24"/>
        </w:rPr>
        <w:t>。乙方应</w:t>
      </w:r>
      <w:r>
        <w:rPr>
          <w:rFonts w:hint="eastAsia" w:ascii="宋体" w:hAnsi="宋体" w:cs="Arial"/>
          <w:sz w:val="24"/>
          <w:szCs w:val="24"/>
          <w:lang w:val="en-US" w:eastAsia="zh-CN"/>
        </w:rPr>
        <w:t>发</w:t>
      </w:r>
      <w:r>
        <w:rPr>
          <w:rFonts w:hint="eastAsia" w:ascii="宋体" w:hAnsi="宋体" w:cs="Arial"/>
          <w:sz w:val="24"/>
          <w:szCs w:val="24"/>
        </w:rPr>
        <w:t>货前</w:t>
      </w:r>
      <w:r>
        <w:rPr>
          <w:rFonts w:hint="eastAsia" w:ascii="宋体" w:hAnsi="宋体" w:cs="Arial"/>
          <w:sz w:val="24"/>
          <w:szCs w:val="24"/>
          <w:lang w:val="en-US" w:eastAsia="zh-CN"/>
        </w:rPr>
        <w:t>48小时</w:t>
      </w:r>
      <w:r>
        <w:rPr>
          <w:rFonts w:hint="eastAsia" w:ascii="宋体" w:hAnsi="宋体" w:cs="Arial"/>
          <w:sz w:val="24"/>
          <w:szCs w:val="24"/>
        </w:rPr>
        <w:t>向甲方提供</w:t>
      </w:r>
      <w:r>
        <w:rPr>
          <w:rFonts w:hint="eastAsia" w:ascii="宋体" w:hAnsi="宋体" w:cs="Arial"/>
          <w:sz w:val="24"/>
          <w:szCs w:val="24"/>
          <w:lang w:val="en-US" w:eastAsia="zh-CN"/>
        </w:rPr>
        <w:t>发货</w:t>
      </w:r>
      <w:r>
        <w:rPr>
          <w:rFonts w:hint="eastAsia" w:ascii="宋体" w:hAnsi="宋体" w:cs="Arial"/>
          <w:sz w:val="24"/>
          <w:szCs w:val="24"/>
        </w:rPr>
        <w:t>计划（内容包括：订单编号、产品名称、规格型号、数量、价格、重量和体积、拟发运的时间及其他必要的说明），</w:t>
      </w:r>
      <w:r>
        <w:rPr>
          <w:rFonts w:hint="eastAsia" w:ascii="宋体" w:hAnsi="宋体" w:cs="Arial"/>
          <w:sz w:val="24"/>
          <w:szCs w:val="24"/>
          <w:lang w:val="en-US" w:eastAsia="zh-CN"/>
        </w:rPr>
        <w:t>征得甲方同意后发货</w:t>
      </w:r>
      <w:r>
        <w:rPr>
          <w:rFonts w:hint="eastAsia" w:ascii="宋体" w:hAnsi="宋体" w:cs="Arial"/>
          <w:sz w:val="24"/>
          <w:szCs w:val="24"/>
        </w:rPr>
        <w:t>。</w:t>
      </w:r>
    </w:p>
    <w:p w14:paraId="2341BAEE">
      <w:pPr>
        <w:spacing w:line="360" w:lineRule="auto"/>
        <w:ind w:firstLine="480" w:firstLineChars="200"/>
        <w:rPr>
          <w:rFonts w:hint="eastAsia" w:ascii="宋体" w:hAnsi="宋体"/>
          <w:sz w:val="24"/>
          <w:szCs w:val="24"/>
        </w:rPr>
      </w:pPr>
      <w:r>
        <w:rPr>
          <w:rFonts w:hint="eastAsia" w:ascii="宋体" w:hAnsi="宋体"/>
          <w:sz w:val="24"/>
          <w:szCs w:val="24"/>
        </w:rPr>
        <w:t>4、乙方负责安排快递或是送货到甲方指定地点，其运输费、保险费、装车费、卸车费、吊装费、加固费等所有与送货相关的费用由乙方承担。</w:t>
      </w:r>
    </w:p>
    <w:p w14:paraId="323D7D5F">
      <w:pPr>
        <w:spacing w:line="360" w:lineRule="auto"/>
        <w:ind w:firstLine="480" w:firstLineChars="200"/>
        <w:rPr>
          <w:rFonts w:hint="eastAsia" w:ascii="宋体" w:hAnsi="宋体"/>
          <w:sz w:val="24"/>
          <w:szCs w:val="24"/>
        </w:rPr>
      </w:pPr>
      <w:r>
        <w:rPr>
          <w:rFonts w:hint="eastAsia" w:ascii="宋体" w:hAnsi="宋体"/>
          <w:sz w:val="24"/>
          <w:szCs w:val="24"/>
        </w:rPr>
        <w:t>5、分批发货：甲方如因现场施工条件等影响，需要分批发货的，乙方应配合。</w:t>
      </w:r>
    </w:p>
    <w:p w14:paraId="1643F4CB">
      <w:pPr>
        <w:spacing w:line="360" w:lineRule="auto"/>
        <w:ind w:firstLine="480" w:firstLineChars="200"/>
        <w:rPr>
          <w:rFonts w:ascii="宋体" w:hAnsi="宋体" w:cs="Arial"/>
          <w:sz w:val="24"/>
          <w:szCs w:val="24"/>
        </w:rPr>
      </w:pPr>
      <w:r>
        <w:rPr>
          <w:rFonts w:hint="eastAsia" w:ascii="宋体" w:hAnsi="宋体"/>
          <w:sz w:val="24"/>
          <w:szCs w:val="24"/>
        </w:rPr>
        <w:t>6、</w:t>
      </w:r>
      <w:r>
        <w:rPr>
          <w:rFonts w:ascii="宋体" w:hAnsi="宋体" w:cs="Arial"/>
          <w:sz w:val="24"/>
          <w:szCs w:val="24"/>
        </w:rPr>
        <w:t>非收货人签收，必须经过甲方书面授权，否则甲方可视为未收到货物。</w:t>
      </w:r>
    </w:p>
    <w:p w14:paraId="0105A4B8">
      <w:pPr>
        <w:spacing w:line="360" w:lineRule="auto"/>
        <w:ind w:firstLine="480" w:firstLineChars="200"/>
        <w:rPr>
          <w:rFonts w:hint="default" w:ascii="宋体" w:hAnsi="宋体" w:eastAsia="宋体" w:cs="Arial"/>
          <w:sz w:val="24"/>
          <w:szCs w:val="24"/>
          <w:lang w:val="en-US" w:eastAsia="zh-CN"/>
        </w:rPr>
      </w:pPr>
      <w:r>
        <w:rPr>
          <w:rFonts w:hint="eastAsia" w:ascii="宋体" w:hAnsi="宋体" w:cs="Arial"/>
          <w:sz w:val="24"/>
          <w:szCs w:val="24"/>
          <w:lang w:val="en-US" w:eastAsia="zh-CN"/>
        </w:rPr>
        <w:t>7、乙方送货人员（含乙方雇佣的物流人员）应遵守收货地的安全管理制度，不得携带火种、易燃易爆等危险物品入内，前述人员违规行为造成损失的，乙方承担连带赔偿责任。</w:t>
      </w:r>
    </w:p>
    <w:p w14:paraId="2702E6DC">
      <w:pPr>
        <w:spacing w:line="360" w:lineRule="auto"/>
        <w:ind w:firstLine="482" w:firstLineChars="200"/>
        <w:rPr>
          <w:rFonts w:ascii="黑体" w:hAnsi="黑体" w:eastAsia="黑体" w:cs="Arial"/>
          <w:b/>
          <w:sz w:val="24"/>
          <w:szCs w:val="24"/>
        </w:rPr>
      </w:pPr>
      <w:r>
        <w:rPr>
          <w:rFonts w:hint="eastAsia" w:ascii="黑体" w:hAnsi="黑体" w:eastAsia="黑体" w:cs="Arial"/>
          <w:b/>
          <w:bCs/>
          <w:sz w:val="24"/>
          <w:szCs w:val="24"/>
        </w:rPr>
        <w:t>五、货款的结算</w:t>
      </w:r>
    </w:p>
    <w:p w14:paraId="36D1976A">
      <w:pPr>
        <w:tabs>
          <w:tab w:val="left" w:pos="1211"/>
        </w:tabs>
        <w:spacing w:line="360" w:lineRule="auto"/>
        <w:ind w:firstLine="480" w:firstLineChars="200"/>
        <w:rPr>
          <w:rFonts w:ascii="宋体" w:hAnsi="宋体" w:cs="Arial"/>
          <w:sz w:val="24"/>
          <w:szCs w:val="24"/>
        </w:rPr>
      </w:pPr>
      <w:r>
        <w:rPr>
          <w:rFonts w:hint="eastAsia" w:ascii="宋体" w:hAnsi="宋体" w:cs="Arial"/>
          <w:sz w:val="24"/>
          <w:szCs w:val="24"/>
        </w:rPr>
        <w:t>1、合同总价：</w:t>
      </w:r>
      <w:permStart w:id="11"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permEnd w:id="11"/>
      <w:r>
        <w:rPr>
          <w:rFonts w:hint="eastAsia" w:ascii="宋体" w:hAnsi="宋体" w:eastAsia="宋体" w:cs="宋体"/>
          <w:kern w:val="0"/>
          <w:sz w:val="22"/>
          <w:szCs w:val="22"/>
          <w:u w:val="single"/>
        </w:rPr>
        <w:t>元</w:t>
      </w:r>
      <w:r>
        <w:rPr>
          <w:rFonts w:hint="eastAsia" w:ascii="宋体" w:hAnsi="宋体" w:cs="宋体"/>
          <w:kern w:val="0"/>
          <w:sz w:val="22"/>
          <w:szCs w:val="22"/>
          <w:u w:val="single"/>
        </w:rPr>
        <w:t>整</w:t>
      </w:r>
      <w:r>
        <w:rPr>
          <w:rFonts w:hint="eastAsia" w:ascii="宋体" w:hAnsi="宋体" w:cs="Arial"/>
          <w:sz w:val="24"/>
          <w:szCs w:val="24"/>
        </w:rPr>
        <w:t>（￥</w:t>
      </w:r>
      <w:r>
        <w:rPr>
          <w:rFonts w:hint="eastAsia" w:ascii="宋体" w:hAnsi="宋体" w:cs="Arial"/>
          <w:sz w:val="24"/>
          <w:szCs w:val="24"/>
          <w:u w:val="single"/>
          <w:lang w:val="en-US" w:eastAsia="zh-CN"/>
        </w:rPr>
        <w:t xml:space="preserve">    </w:t>
      </w:r>
      <w:r>
        <w:rPr>
          <w:rFonts w:hint="eastAsia" w:ascii="宋体" w:hAnsi="宋体" w:cs="Arial"/>
          <w:sz w:val="24"/>
          <w:szCs w:val="24"/>
          <w:u w:val="single"/>
        </w:rPr>
        <w:t>元</w:t>
      </w:r>
      <w:r>
        <w:rPr>
          <w:rFonts w:hint="eastAsia" w:ascii="宋体" w:hAnsi="宋体" w:cs="Arial"/>
          <w:sz w:val="24"/>
          <w:szCs w:val="24"/>
        </w:rPr>
        <w:t>）。</w:t>
      </w:r>
    </w:p>
    <w:p w14:paraId="4D72E263">
      <w:pPr>
        <w:spacing w:line="360" w:lineRule="auto"/>
        <w:ind w:firstLine="480" w:firstLineChars="200"/>
        <w:rPr>
          <w:rFonts w:hint="eastAsia" w:ascii="宋体" w:hAnsi="宋体" w:cs="Arial"/>
          <w:sz w:val="24"/>
          <w:szCs w:val="24"/>
        </w:rPr>
      </w:pPr>
      <w:r>
        <w:rPr>
          <w:rFonts w:hint="eastAsia" w:ascii="宋体" w:hAnsi="宋体" w:cs="Arial"/>
          <w:sz w:val="24"/>
          <w:szCs w:val="24"/>
        </w:rPr>
        <w:t>2、付款形式：</w:t>
      </w:r>
      <w:r>
        <w:rPr>
          <w:rFonts w:hint="eastAsia" w:ascii="宋体" w:hAnsi="宋体" w:cs="Arial"/>
          <w:sz w:val="24"/>
          <w:szCs w:val="24"/>
          <w:lang w:eastAsia="zh-CN"/>
        </w:rPr>
        <w:t>（</w:t>
      </w:r>
      <w:r>
        <w:rPr>
          <w:rFonts w:hint="eastAsia" w:ascii="宋体" w:hAnsi="宋体" w:cs="Arial"/>
          <w:sz w:val="24"/>
          <w:szCs w:val="24"/>
          <w:lang w:val="en-US" w:eastAsia="zh-CN"/>
        </w:rPr>
        <w:t>按双方协商实际填写）</w:t>
      </w:r>
      <w:r>
        <w:rPr>
          <w:rFonts w:hint="eastAsia" w:ascii="宋体" w:hAnsi="宋体" w:cs="Arial"/>
          <w:sz w:val="24"/>
          <w:szCs w:val="24"/>
        </w:rPr>
        <w:t xml:space="preserve">  </w:t>
      </w:r>
    </w:p>
    <w:p w14:paraId="28C8E00F">
      <w:pPr>
        <w:spacing w:line="360" w:lineRule="auto"/>
        <w:ind w:firstLine="480" w:firstLineChars="200"/>
        <w:rPr>
          <w:rFonts w:ascii="宋体" w:hAnsi="宋体" w:cs="Arial"/>
          <w:sz w:val="24"/>
          <w:szCs w:val="24"/>
        </w:rPr>
      </w:pPr>
      <w:r>
        <w:rPr>
          <w:rFonts w:hint="eastAsia" w:ascii="宋体" w:hAnsi="宋体" w:cs="Arial"/>
          <w:sz w:val="24"/>
          <w:szCs w:val="24"/>
        </w:rPr>
        <w:t>乙方须在收款前开具相应的增值税专用发票给甲方。</w:t>
      </w:r>
    </w:p>
    <w:p w14:paraId="7A454926">
      <w:pPr>
        <w:spacing w:line="360" w:lineRule="auto"/>
        <w:ind w:firstLine="480" w:firstLineChars="200"/>
        <w:rPr>
          <w:rFonts w:hint="eastAsia" w:ascii="宋体" w:hAnsi="宋体" w:cs="Arial"/>
          <w:sz w:val="24"/>
          <w:szCs w:val="24"/>
          <w:u w:val="single"/>
        </w:rPr>
      </w:pPr>
      <w:r>
        <w:rPr>
          <w:rFonts w:hint="eastAsia" w:ascii="宋体" w:hAnsi="宋体" w:cs="Arial"/>
          <w:sz w:val="24"/>
          <w:szCs w:val="24"/>
        </w:rPr>
        <w:t>3、支付方式：电汇、网银、现金或</w:t>
      </w:r>
      <w:r>
        <w:rPr>
          <w:rFonts w:hint="eastAsia" w:ascii="宋体" w:hAnsi="宋体" w:cs="Arial"/>
          <w:sz w:val="24"/>
          <w:szCs w:val="24"/>
          <w:lang w:val="en-US" w:eastAsia="zh-CN"/>
        </w:rPr>
        <w:t>银行承兑汇票</w:t>
      </w:r>
      <w:r>
        <w:rPr>
          <w:rFonts w:hint="eastAsia" w:ascii="宋体" w:hAnsi="宋体" w:cs="Arial"/>
          <w:sz w:val="24"/>
          <w:szCs w:val="24"/>
        </w:rPr>
        <w:t>。</w:t>
      </w:r>
    </w:p>
    <w:p w14:paraId="56A142A8">
      <w:pPr>
        <w:spacing w:line="360" w:lineRule="auto"/>
        <w:ind w:firstLine="480" w:firstLineChars="200"/>
        <w:rPr>
          <w:rFonts w:hint="eastAsia" w:ascii="宋体" w:hAnsi="宋体" w:cs="Arial"/>
          <w:sz w:val="24"/>
          <w:szCs w:val="24"/>
          <w:u w:val="single"/>
        </w:rPr>
      </w:pPr>
      <w:r>
        <w:rPr>
          <w:rFonts w:hint="eastAsia" w:ascii="宋体" w:hAnsi="宋体" w:cs="Arial"/>
          <w:sz w:val="24"/>
          <w:szCs w:val="24"/>
        </w:rPr>
        <w:t>4、</w:t>
      </w:r>
      <w:r>
        <w:rPr>
          <w:rFonts w:hint="eastAsia" w:ascii="宋体" w:hAnsi="宋体"/>
          <w:sz w:val="24"/>
          <w:szCs w:val="24"/>
        </w:rPr>
        <w:t>如甲方因故需要取消合同，或变更合同</w:t>
      </w:r>
      <w:r>
        <w:rPr>
          <w:rFonts w:hint="eastAsia" w:ascii="宋体" w:hAnsi="宋体"/>
          <w:sz w:val="24"/>
          <w:szCs w:val="24"/>
          <w:lang w:val="en-US" w:eastAsia="zh-CN"/>
        </w:rPr>
        <w:t>部分</w:t>
      </w:r>
      <w:r>
        <w:rPr>
          <w:rFonts w:hint="eastAsia" w:ascii="宋体" w:hAnsi="宋体"/>
          <w:sz w:val="24"/>
          <w:szCs w:val="24"/>
        </w:rPr>
        <w:t>条款，</w:t>
      </w:r>
      <w:r>
        <w:rPr>
          <w:rFonts w:hint="eastAsia" w:ascii="宋体" w:hAnsi="宋体"/>
          <w:sz w:val="24"/>
          <w:szCs w:val="24"/>
          <w:lang w:val="en-US" w:eastAsia="zh-CN"/>
        </w:rPr>
        <w:t>甲方须在乙方发货前通知乙方，变更通知送达乙方后生效</w:t>
      </w:r>
      <w:r>
        <w:rPr>
          <w:rFonts w:hint="eastAsia" w:ascii="宋体" w:hAnsi="宋体"/>
          <w:sz w:val="24"/>
          <w:szCs w:val="24"/>
        </w:rPr>
        <w:t>。</w:t>
      </w:r>
    </w:p>
    <w:p w14:paraId="72C0D06F">
      <w:pPr>
        <w:spacing w:line="360" w:lineRule="auto"/>
        <w:ind w:firstLine="482" w:firstLineChars="200"/>
        <w:rPr>
          <w:rFonts w:ascii="黑体" w:hAnsi="黑体" w:eastAsia="黑体" w:cs="Arial"/>
          <w:b/>
          <w:bCs/>
          <w:sz w:val="24"/>
          <w:szCs w:val="24"/>
        </w:rPr>
      </w:pPr>
      <w:r>
        <w:rPr>
          <w:rFonts w:hint="eastAsia" w:ascii="黑体" w:hAnsi="黑体" w:eastAsia="黑体" w:cs="Arial"/>
          <w:b/>
          <w:bCs/>
          <w:sz w:val="24"/>
          <w:szCs w:val="24"/>
        </w:rPr>
        <w:t xml:space="preserve">六、验收方法 </w:t>
      </w:r>
    </w:p>
    <w:p w14:paraId="4EF53F83">
      <w:pPr>
        <w:spacing w:line="360" w:lineRule="auto"/>
        <w:ind w:firstLine="480" w:firstLineChars="200"/>
        <w:rPr>
          <w:rFonts w:hint="eastAsia" w:ascii="宋体" w:hAnsi="宋体" w:cs="Arial"/>
          <w:b/>
          <w:bCs/>
          <w:sz w:val="24"/>
          <w:szCs w:val="24"/>
        </w:rPr>
      </w:pPr>
      <w:r>
        <w:rPr>
          <w:rFonts w:hint="eastAsia" w:ascii="宋体" w:hAnsi="宋体"/>
          <w:sz w:val="24"/>
          <w:szCs w:val="24"/>
        </w:rPr>
        <w:t>1、产品运抵甲方指定的地点当日，甲方应组织相关人员进行卸货及</w:t>
      </w:r>
      <w:r>
        <w:rPr>
          <w:rFonts w:hint="eastAsia" w:ascii="宋体" w:hAnsi="宋体"/>
          <w:sz w:val="24"/>
          <w:szCs w:val="24"/>
          <w:lang w:val="en-US" w:eastAsia="zh-CN"/>
        </w:rPr>
        <w:t>初验</w:t>
      </w:r>
      <w:r>
        <w:rPr>
          <w:rFonts w:hint="eastAsia" w:ascii="宋体" w:hAnsi="宋体"/>
          <w:sz w:val="24"/>
          <w:szCs w:val="24"/>
        </w:rPr>
        <w:t>，经</w:t>
      </w:r>
      <w:r>
        <w:rPr>
          <w:rFonts w:hint="eastAsia" w:ascii="宋体" w:hAnsi="宋体"/>
          <w:sz w:val="24"/>
          <w:szCs w:val="24"/>
          <w:lang w:val="en-US" w:eastAsia="zh-CN"/>
        </w:rPr>
        <w:t>初验</w:t>
      </w:r>
      <w:r>
        <w:rPr>
          <w:rFonts w:hint="eastAsia" w:ascii="宋体" w:hAnsi="宋体"/>
          <w:sz w:val="24"/>
          <w:szCs w:val="24"/>
        </w:rPr>
        <w:t>若发现数量、外观有缺损或规格型号等不符合本合同之约定应当面校验；</w:t>
      </w:r>
      <w:r>
        <w:rPr>
          <w:rFonts w:hint="eastAsia" w:ascii="宋体" w:hAnsi="宋体"/>
          <w:kern w:val="0"/>
          <w:sz w:val="24"/>
          <w:szCs w:val="24"/>
        </w:rPr>
        <w:t>乙方应在甲方提出异议后5日内无条件补足或更换，直至符合本合同及附件的约定，由此造成延期交货或安装工期延误的，按本合同有关规定处理。甲方的</w:t>
      </w:r>
      <w:r>
        <w:rPr>
          <w:rFonts w:hint="eastAsia" w:ascii="宋体" w:hAnsi="宋体"/>
          <w:kern w:val="0"/>
          <w:sz w:val="24"/>
          <w:szCs w:val="24"/>
          <w:lang w:val="en-US" w:eastAsia="zh-CN"/>
        </w:rPr>
        <w:t>初验</w:t>
      </w:r>
      <w:r>
        <w:rPr>
          <w:rFonts w:hint="eastAsia" w:ascii="宋体" w:hAnsi="宋体"/>
          <w:kern w:val="0"/>
          <w:sz w:val="24"/>
          <w:szCs w:val="24"/>
        </w:rPr>
        <w:t>不视为对产品质量和潜在瑕疵的认可。</w:t>
      </w:r>
    </w:p>
    <w:p w14:paraId="5A97EBA8">
      <w:pPr>
        <w:spacing w:line="360" w:lineRule="auto"/>
        <w:ind w:firstLine="480" w:firstLineChars="200"/>
        <w:rPr>
          <w:rFonts w:hint="eastAsia" w:ascii="宋体" w:hAnsi="宋体" w:cs="Arial"/>
          <w:b/>
          <w:bCs/>
          <w:sz w:val="24"/>
          <w:szCs w:val="24"/>
        </w:rPr>
      </w:pPr>
      <w:r>
        <w:rPr>
          <w:rFonts w:hint="eastAsia" w:ascii="宋体" w:hAnsi="宋体"/>
          <w:sz w:val="24"/>
          <w:szCs w:val="24"/>
        </w:rPr>
        <w:t>2、乙方未按合同规定的数量交货，甲方仍有需要的，应照数补交，按延期交货处理。如乙方不能达成甲方要求，甲方按货款5%向乙方收取违约金，并承担甲方相关损失。</w:t>
      </w:r>
    </w:p>
    <w:p w14:paraId="26A0CFF2">
      <w:pPr>
        <w:spacing w:line="360" w:lineRule="auto"/>
        <w:ind w:firstLine="480" w:firstLineChars="200"/>
        <w:rPr>
          <w:rFonts w:hint="eastAsia" w:ascii="宋体" w:hAnsi="宋体" w:eastAsia="宋体" w:cs="Arial"/>
          <w:b/>
          <w:bCs/>
          <w:sz w:val="24"/>
          <w:szCs w:val="24"/>
          <w:lang w:eastAsia="zh-CN"/>
        </w:rPr>
      </w:pPr>
      <w:r>
        <w:rPr>
          <w:rFonts w:hint="eastAsia" w:ascii="宋体" w:hAnsi="宋体" w:cs="Arial"/>
          <w:bCs/>
          <w:sz w:val="24"/>
          <w:szCs w:val="24"/>
        </w:rPr>
        <w:t>3、</w:t>
      </w:r>
      <w:r>
        <w:rPr>
          <w:rFonts w:hint="eastAsia" w:ascii="宋体" w:hAnsi="宋体"/>
          <w:sz w:val="24"/>
          <w:szCs w:val="24"/>
        </w:rPr>
        <w:t>甲方现场人员</w:t>
      </w:r>
      <w:r>
        <w:rPr>
          <w:rFonts w:hint="eastAsia" w:ascii="宋体" w:hAnsi="宋体"/>
          <w:sz w:val="24"/>
          <w:szCs w:val="24"/>
          <w:lang w:val="en-US" w:eastAsia="zh-CN"/>
        </w:rPr>
        <w:t>初验</w:t>
      </w:r>
      <w:r>
        <w:rPr>
          <w:rFonts w:hint="eastAsia" w:ascii="宋体" w:hAnsi="宋体"/>
          <w:sz w:val="24"/>
          <w:szCs w:val="24"/>
        </w:rPr>
        <w:t>仅代表对货物的数量、品种、外观、规格型号的确认，不能代表对其质量、性能的验收</w:t>
      </w:r>
      <w:r>
        <w:rPr>
          <w:rFonts w:hint="eastAsia" w:ascii="宋体" w:hAnsi="宋体"/>
          <w:sz w:val="24"/>
          <w:szCs w:val="24"/>
          <w:lang w:eastAsia="zh-CN"/>
        </w:rPr>
        <w:t>，</w:t>
      </w:r>
      <w:r>
        <w:rPr>
          <w:rFonts w:hint="eastAsia" w:ascii="宋体" w:hAnsi="宋体"/>
          <w:sz w:val="24"/>
          <w:szCs w:val="24"/>
        </w:rPr>
        <w:t>最终</w:t>
      </w:r>
      <w:r>
        <w:rPr>
          <w:rFonts w:hint="eastAsia" w:ascii="宋体" w:hAnsi="宋体"/>
          <w:sz w:val="24"/>
          <w:szCs w:val="24"/>
          <w:lang w:val="en-US" w:eastAsia="zh-CN"/>
        </w:rPr>
        <w:t>验收结论以</w:t>
      </w:r>
      <w:r>
        <w:rPr>
          <w:rFonts w:hint="eastAsia" w:ascii="宋体" w:hAnsi="宋体"/>
          <w:sz w:val="24"/>
          <w:szCs w:val="24"/>
        </w:rPr>
        <w:t>甲方</w:t>
      </w:r>
      <w:r>
        <w:rPr>
          <w:rFonts w:hint="eastAsia" w:ascii="宋体" w:hAnsi="宋体"/>
          <w:sz w:val="24"/>
          <w:szCs w:val="24"/>
          <w:lang w:val="en-US" w:eastAsia="zh-CN"/>
        </w:rPr>
        <w:t>承包项目的业主方出具的竣工验收报告为准</w:t>
      </w:r>
      <w:r>
        <w:rPr>
          <w:rFonts w:hint="eastAsia" w:ascii="宋体" w:hAnsi="宋体"/>
          <w:sz w:val="24"/>
          <w:szCs w:val="24"/>
          <w:lang w:eastAsia="zh-CN"/>
        </w:rPr>
        <w:t>。</w:t>
      </w:r>
    </w:p>
    <w:p w14:paraId="15B42179">
      <w:pPr>
        <w:spacing w:line="360" w:lineRule="auto"/>
        <w:ind w:firstLine="480" w:firstLineChars="200"/>
        <w:rPr>
          <w:rFonts w:ascii="宋体" w:hAnsi="宋体" w:cs="Arial"/>
          <w:b/>
          <w:bCs/>
          <w:sz w:val="24"/>
          <w:szCs w:val="24"/>
        </w:rPr>
      </w:pPr>
      <w:r>
        <w:rPr>
          <w:rFonts w:hint="eastAsia" w:ascii="宋体" w:hAnsi="宋体" w:cs="Arial"/>
          <w:bCs/>
          <w:sz w:val="24"/>
          <w:szCs w:val="24"/>
        </w:rPr>
        <w:t>4、</w:t>
      </w:r>
      <w:r>
        <w:rPr>
          <w:rFonts w:hint="eastAsia" w:ascii="宋体" w:hAnsi="宋体"/>
          <w:sz w:val="24"/>
          <w:szCs w:val="24"/>
        </w:rPr>
        <w:t>甲方条件具备后，通知乙方到项目现场进行技术指导、调试、运行等。</w:t>
      </w:r>
    </w:p>
    <w:p w14:paraId="1B17C72D">
      <w:pPr>
        <w:spacing w:line="360" w:lineRule="auto"/>
        <w:ind w:firstLine="482" w:firstLineChars="200"/>
        <w:rPr>
          <w:rFonts w:ascii="黑体" w:hAnsi="黑体" w:eastAsia="黑体" w:cs="Arial"/>
          <w:b/>
          <w:sz w:val="24"/>
          <w:szCs w:val="24"/>
        </w:rPr>
      </w:pPr>
      <w:r>
        <w:rPr>
          <w:rFonts w:hint="eastAsia" w:ascii="黑体" w:hAnsi="黑体" w:eastAsia="黑体" w:cs="Arial"/>
          <w:b/>
          <w:bCs/>
          <w:sz w:val="24"/>
          <w:szCs w:val="24"/>
        </w:rPr>
        <w:t>七、对产品提出异议的时间和办法</w:t>
      </w:r>
    </w:p>
    <w:p w14:paraId="0C23EE17">
      <w:pPr>
        <w:spacing w:line="360" w:lineRule="auto"/>
        <w:ind w:firstLine="480" w:firstLineChars="200"/>
        <w:rPr>
          <w:rFonts w:ascii="宋体" w:hAnsi="宋体" w:cs="Arial"/>
          <w:sz w:val="24"/>
          <w:szCs w:val="24"/>
        </w:rPr>
      </w:pPr>
      <w:r>
        <w:rPr>
          <w:rFonts w:hint="eastAsia" w:ascii="宋体" w:hAnsi="宋体" w:cs="Arial"/>
          <w:sz w:val="24"/>
          <w:szCs w:val="24"/>
        </w:rPr>
        <w:t>1、甲方在验收时，如发现产品的品种、型号、规格和质量不符约定，有权拒收，甲方代为保管的，乙方应承担保管费用，甲方不对非因故意或重大过失或不可抗力因素导致的产品灭失承担任何责任。</w:t>
      </w:r>
    </w:p>
    <w:p w14:paraId="4E2F5173">
      <w:pPr>
        <w:spacing w:line="360" w:lineRule="auto"/>
        <w:ind w:firstLine="480" w:firstLineChars="200"/>
        <w:outlineLvl w:val="0"/>
        <w:rPr>
          <w:rFonts w:ascii="宋体" w:hAnsi="宋体" w:cs="Arial"/>
          <w:sz w:val="24"/>
          <w:szCs w:val="24"/>
        </w:rPr>
      </w:pPr>
      <w:r>
        <w:rPr>
          <w:rFonts w:hint="eastAsia" w:ascii="宋体" w:hAnsi="宋体" w:cs="Arial"/>
          <w:sz w:val="24"/>
          <w:szCs w:val="24"/>
        </w:rPr>
        <w:t>2、乙方接到甲方异议后，应在三天内即负责处理，否则，即视为默认甲方提出的异议。</w:t>
      </w:r>
    </w:p>
    <w:p w14:paraId="67E489B3">
      <w:pPr>
        <w:spacing w:line="360" w:lineRule="auto"/>
        <w:ind w:firstLine="480" w:firstLineChars="200"/>
        <w:rPr>
          <w:rFonts w:ascii="宋体" w:hAnsi="宋体" w:cs="Arial"/>
          <w:sz w:val="24"/>
          <w:szCs w:val="24"/>
        </w:rPr>
      </w:pPr>
      <w:r>
        <w:rPr>
          <w:rFonts w:hint="eastAsia" w:ascii="宋体" w:hAnsi="宋体" w:cs="Arial"/>
          <w:sz w:val="24"/>
          <w:szCs w:val="24"/>
        </w:rPr>
        <w:t>3、甲方提出的异议中，应说明不符约定的情形，提出对不符合约定产品的处理意见，以便乙方及时处理。</w:t>
      </w:r>
    </w:p>
    <w:p w14:paraId="154CD67B">
      <w:pPr>
        <w:spacing w:line="360" w:lineRule="auto"/>
        <w:ind w:firstLine="482" w:firstLineChars="200"/>
        <w:rPr>
          <w:rFonts w:ascii="黑体" w:hAnsi="黑体" w:eastAsia="黑体" w:cs="Arial"/>
          <w:sz w:val="24"/>
          <w:szCs w:val="24"/>
        </w:rPr>
      </w:pPr>
      <w:r>
        <w:rPr>
          <w:rFonts w:hint="eastAsia" w:ascii="黑体" w:hAnsi="黑体" w:eastAsia="黑体" w:cs="Arial"/>
          <w:b/>
          <w:bCs/>
          <w:sz w:val="24"/>
          <w:szCs w:val="24"/>
        </w:rPr>
        <w:t>八、所有权及风险的转移</w:t>
      </w:r>
    </w:p>
    <w:p w14:paraId="61A094FE">
      <w:pPr>
        <w:tabs>
          <w:tab w:val="left" w:pos="720"/>
          <w:tab w:val="left" w:pos="1080"/>
        </w:tabs>
        <w:spacing w:line="360" w:lineRule="auto"/>
        <w:ind w:firstLine="480" w:firstLineChars="200"/>
        <w:rPr>
          <w:rFonts w:ascii="宋体" w:hAnsi="宋体" w:cs="Arial"/>
          <w:sz w:val="24"/>
          <w:szCs w:val="24"/>
        </w:rPr>
      </w:pPr>
      <w:r>
        <w:rPr>
          <w:rFonts w:hint="eastAsia" w:ascii="宋体" w:hAnsi="宋体" w:cs="Arial"/>
          <w:sz w:val="24"/>
          <w:szCs w:val="24"/>
        </w:rPr>
        <w:t>1、在货物交由甲方前，产品的运输风险由乙方承担。</w:t>
      </w:r>
    </w:p>
    <w:p w14:paraId="22284EC8">
      <w:pPr>
        <w:tabs>
          <w:tab w:val="left" w:pos="1080"/>
        </w:tabs>
        <w:spacing w:line="360" w:lineRule="auto"/>
        <w:ind w:firstLine="480" w:firstLineChars="200"/>
        <w:rPr>
          <w:rFonts w:ascii="宋体" w:hAnsi="宋体" w:cs="Arial"/>
          <w:sz w:val="24"/>
          <w:szCs w:val="24"/>
        </w:rPr>
      </w:pPr>
      <w:r>
        <w:rPr>
          <w:rFonts w:hint="eastAsia" w:ascii="宋体" w:hAnsi="宋体" w:cs="Arial"/>
          <w:sz w:val="24"/>
          <w:szCs w:val="24"/>
        </w:rPr>
        <w:t>2、在甲方对产品</w:t>
      </w:r>
      <w:r>
        <w:rPr>
          <w:rFonts w:hint="eastAsia" w:ascii="宋体" w:hAnsi="宋体" w:cs="Arial"/>
          <w:sz w:val="24"/>
          <w:szCs w:val="24"/>
          <w:lang w:val="en-US" w:eastAsia="zh-CN"/>
        </w:rPr>
        <w:t>初验合格后</w:t>
      </w:r>
      <w:r>
        <w:rPr>
          <w:rFonts w:hint="eastAsia" w:ascii="宋体" w:hAnsi="宋体" w:cs="Arial"/>
          <w:sz w:val="24"/>
          <w:szCs w:val="24"/>
        </w:rPr>
        <w:t>，该产品灭失、毁损的风险转移至甲方。</w:t>
      </w:r>
    </w:p>
    <w:p w14:paraId="2F9B65A7">
      <w:pPr>
        <w:spacing w:line="360" w:lineRule="auto"/>
        <w:ind w:firstLine="482" w:firstLineChars="200"/>
        <w:rPr>
          <w:rFonts w:ascii="黑体" w:hAnsi="黑体" w:eastAsia="黑体" w:cs="Arial"/>
          <w:b/>
          <w:bCs/>
          <w:sz w:val="24"/>
          <w:szCs w:val="24"/>
        </w:rPr>
      </w:pPr>
      <w:r>
        <w:rPr>
          <w:rFonts w:hint="eastAsia" w:ascii="黑体" w:hAnsi="黑体" w:eastAsia="黑体" w:cs="Arial"/>
          <w:b/>
          <w:bCs/>
          <w:sz w:val="24"/>
          <w:szCs w:val="24"/>
        </w:rPr>
        <w:t>九、质保期及售后服务</w:t>
      </w:r>
    </w:p>
    <w:p w14:paraId="753C93BF">
      <w:pPr>
        <w:spacing w:line="360" w:lineRule="auto"/>
        <w:ind w:firstLine="480" w:firstLineChars="200"/>
        <w:rPr>
          <w:rFonts w:hint="default" w:ascii="宋体" w:hAnsi="宋体" w:eastAsia="宋体"/>
          <w:sz w:val="24"/>
          <w:szCs w:val="24"/>
          <w:lang w:val="en-US" w:eastAsia="zh-CN"/>
        </w:rPr>
      </w:pPr>
      <w:r>
        <w:rPr>
          <w:rFonts w:hint="eastAsia" w:ascii="宋体" w:hAnsi="宋体" w:cs="Arial"/>
          <w:sz w:val="24"/>
          <w:szCs w:val="24"/>
        </w:rPr>
        <w:t>1、</w:t>
      </w:r>
      <w:r>
        <w:rPr>
          <w:rFonts w:hint="eastAsia" w:ascii="宋体" w:hAnsi="宋体"/>
          <w:sz w:val="24"/>
          <w:szCs w:val="24"/>
        </w:rPr>
        <w:t>乙方承诺所售产品</w:t>
      </w:r>
      <w:r>
        <w:rPr>
          <w:rFonts w:hint="eastAsia" w:ascii="宋体" w:hAnsi="宋体"/>
          <w:sz w:val="24"/>
          <w:szCs w:val="24"/>
          <w:lang w:eastAsia="zh-CN"/>
        </w:rPr>
        <w:t>交换机</w:t>
      </w:r>
      <w:r>
        <w:rPr>
          <w:rFonts w:hint="eastAsia" w:ascii="宋体" w:hAnsi="宋体"/>
          <w:sz w:val="24"/>
          <w:szCs w:val="24"/>
        </w:rPr>
        <w:t>质保期为</w:t>
      </w:r>
      <w:r>
        <w:rPr>
          <w:rFonts w:hint="eastAsia" w:ascii="宋体" w:hAnsi="宋体"/>
          <w:sz w:val="24"/>
          <w:szCs w:val="24"/>
          <w:u w:val="single"/>
          <w:lang w:val="en-US" w:eastAsia="zh-CN"/>
        </w:rPr>
        <w:t xml:space="preserve">    </w:t>
      </w:r>
      <w:r>
        <w:rPr>
          <w:rFonts w:hint="eastAsia" w:ascii="宋体" w:hAnsi="宋体"/>
          <w:sz w:val="24"/>
          <w:szCs w:val="24"/>
        </w:rPr>
        <w:t>年</w:t>
      </w:r>
      <w:r>
        <w:rPr>
          <w:rFonts w:hint="eastAsia" w:ascii="宋体" w:hAnsi="宋体"/>
          <w:sz w:val="24"/>
          <w:szCs w:val="24"/>
          <w:lang w:eastAsia="zh-CN"/>
        </w:rPr>
        <w:t>，</w:t>
      </w:r>
      <w:r>
        <w:rPr>
          <w:rFonts w:hint="eastAsia" w:ascii="宋体" w:hAnsi="宋体"/>
          <w:sz w:val="24"/>
          <w:szCs w:val="24"/>
        </w:rPr>
        <w:t>质保期限从产品正式投产使用或</w:t>
      </w:r>
      <w:r>
        <w:rPr>
          <w:rFonts w:hint="eastAsia" w:ascii="宋体" w:hAnsi="宋体"/>
          <w:sz w:val="24"/>
          <w:szCs w:val="24"/>
          <w:lang w:val="en-US" w:eastAsia="zh-CN"/>
        </w:rPr>
        <w:t>甲方项目竣工</w:t>
      </w:r>
      <w:r>
        <w:rPr>
          <w:rFonts w:hint="eastAsia" w:ascii="宋体" w:hAnsi="宋体"/>
          <w:sz w:val="24"/>
          <w:szCs w:val="24"/>
        </w:rPr>
        <w:t>验收合格之日起算。</w:t>
      </w:r>
      <w:r>
        <w:rPr>
          <w:rFonts w:hint="eastAsia" w:ascii="宋体" w:hAnsi="宋体"/>
          <w:sz w:val="24"/>
          <w:szCs w:val="24"/>
          <w:lang w:val="en-US" w:eastAsia="zh-CN"/>
        </w:rPr>
        <w:t>质保期内产生的人工、配件更换、产品召回更换、运输装卸保险等一切费用均由乙方自行承担。</w:t>
      </w:r>
    </w:p>
    <w:p w14:paraId="0F88EAA0">
      <w:pPr>
        <w:spacing w:line="360" w:lineRule="auto"/>
        <w:ind w:firstLine="480" w:firstLineChars="200"/>
        <w:rPr>
          <w:rFonts w:hint="eastAsia" w:ascii="宋体" w:hAnsi="宋体"/>
          <w:sz w:val="24"/>
          <w:szCs w:val="24"/>
        </w:rPr>
      </w:pPr>
      <w:r>
        <w:rPr>
          <w:rFonts w:hint="eastAsia" w:ascii="宋体" w:hAnsi="宋体"/>
          <w:sz w:val="24"/>
          <w:szCs w:val="24"/>
        </w:rPr>
        <w:t>2、乙方应配合甲方做好现场所供设备的调试运行任务，并针对甲方人员进行现场设备使用的说明及培训。</w:t>
      </w:r>
    </w:p>
    <w:p w14:paraId="09F10D36">
      <w:pPr>
        <w:spacing w:line="360" w:lineRule="auto"/>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乙方保证在所供产品出现质量问题，或接到甲方提出质疑或合理服务要求后</w:t>
      </w:r>
      <w:r>
        <w:rPr>
          <w:rFonts w:hint="eastAsia" w:ascii="宋体" w:hAnsi="宋体"/>
          <w:sz w:val="24"/>
          <w:szCs w:val="24"/>
          <w:lang w:eastAsia="zh-CN"/>
        </w:rPr>
        <w:t>【】</w:t>
      </w:r>
      <w:r>
        <w:rPr>
          <w:rFonts w:hint="eastAsia" w:ascii="宋体" w:hAnsi="宋体"/>
          <w:sz w:val="24"/>
          <w:szCs w:val="24"/>
        </w:rPr>
        <w:t>小时内予以答复，如甲方有要求或必要时，乙方应在接到甲方通知后，</w:t>
      </w:r>
      <w:r>
        <w:rPr>
          <w:rFonts w:hint="eastAsia" w:ascii="宋体" w:hAnsi="宋体"/>
          <w:sz w:val="24"/>
          <w:szCs w:val="24"/>
          <w:lang w:eastAsia="zh-CN"/>
        </w:rPr>
        <w:t>【】</w:t>
      </w:r>
      <w:r>
        <w:rPr>
          <w:rFonts w:hint="eastAsia" w:ascii="宋体" w:hAnsi="宋体"/>
          <w:sz w:val="24"/>
          <w:szCs w:val="24"/>
        </w:rPr>
        <w:t>小时内派人员提供现场服务，并在</w:t>
      </w:r>
      <w:r>
        <w:rPr>
          <w:rFonts w:hint="eastAsia" w:ascii="宋体" w:hAnsi="宋体"/>
          <w:sz w:val="24"/>
          <w:szCs w:val="24"/>
          <w:lang w:eastAsia="zh-CN"/>
        </w:rPr>
        <w:t>【】</w:t>
      </w:r>
      <w:r>
        <w:rPr>
          <w:rFonts w:hint="eastAsia" w:ascii="宋体" w:hAnsi="宋体"/>
          <w:sz w:val="24"/>
          <w:szCs w:val="24"/>
        </w:rPr>
        <w:t>天内完成维修、更换或退货。</w:t>
      </w:r>
    </w:p>
    <w:p w14:paraId="3A7F886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乙方未能按合同约定履行质量保证义务，甲方有权另行委托第三方对产品进行维修或另行购买，由此产生的费用和损失由乙方承担，甲方有权在未付乙方款项中扣除。</w:t>
      </w:r>
    </w:p>
    <w:p w14:paraId="3BBAB958">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lang w:val="en-US" w:eastAsia="zh-CN"/>
        </w:rPr>
        <w:t>5、乙方保证所销售的产品来源合法、无任何权利瑕疵，不侵犯任何第三人的知识产权等合法权益，如遭第三方对甲方提起权利要求，其责任和损失全部由乙方承担。</w:t>
      </w:r>
    </w:p>
    <w:p w14:paraId="700634F2">
      <w:pPr>
        <w:spacing w:line="360" w:lineRule="auto"/>
        <w:ind w:firstLine="482" w:firstLineChars="200"/>
        <w:rPr>
          <w:rFonts w:ascii="黑体" w:hAnsi="黑体" w:eastAsia="黑体" w:cs="Arial"/>
          <w:b/>
          <w:bCs/>
          <w:sz w:val="24"/>
          <w:szCs w:val="24"/>
        </w:rPr>
      </w:pPr>
      <w:r>
        <w:rPr>
          <w:rFonts w:hint="eastAsia" w:ascii="黑体" w:hAnsi="黑体" w:eastAsia="黑体" w:cs="Arial"/>
          <w:b/>
          <w:bCs/>
          <w:sz w:val="24"/>
          <w:szCs w:val="24"/>
        </w:rPr>
        <w:t>十、甲方的违约责任</w:t>
      </w:r>
    </w:p>
    <w:p w14:paraId="4E328E43">
      <w:pPr>
        <w:spacing w:line="360" w:lineRule="auto"/>
        <w:ind w:firstLine="480" w:firstLineChars="200"/>
        <w:rPr>
          <w:rFonts w:ascii="宋体" w:hAnsi="宋体" w:cs="Arial"/>
          <w:sz w:val="24"/>
          <w:szCs w:val="24"/>
        </w:rPr>
      </w:pPr>
      <w:r>
        <w:rPr>
          <w:rFonts w:hint="eastAsia" w:ascii="宋体" w:hAnsi="宋体" w:cs="Arial"/>
          <w:sz w:val="24"/>
          <w:szCs w:val="24"/>
        </w:rPr>
        <w:t>1、甲方</w:t>
      </w:r>
      <w:r>
        <w:rPr>
          <w:rFonts w:hint="eastAsia" w:ascii="宋体" w:hAnsi="宋体" w:cs="Arial"/>
          <w:sz w:val="24"/>
          <w:szCs w:val="24"/>
          <w:lang w:val="en-US" w:eastAsia="zh-CN"/>
        </w:rPr>
        <w:t>在乙方发货前</w:t>
      </w:r>
      <w:r>
        <w:rPr>
          <w:rFonts w:hint="eastAsia" w:ascii="宋体" w:hAnsi="宋体" w:cs="Arial"/>
          <w:sz w:val="24"/>
          <w:szCs w:val="24"/>
        </w:rPr>
        <w:t>取消</w:t>
      </w:r>
      <w:r>
        <w:rPr>
          <w:rFonts w:hint="eastAsia" w:ascii="宋体" w:hAnsi="宋体" w:cs="Arial"/>
          <w:sz w:val="24"/>
          <w:szCs w:val="24"/>
          <w:lang w:val="en-US" w:eastAsia="zh-CN"/>
        </w:rPr>
        <w:t>或变更</w:t>
      </w:r>
      <w:r>
        <w:rPr>
          <w:rFonts w:hint="eastAsia" w:ascii="宋体" w:hAnsi="宋体" w:cs="Arial"/>
          <w:sz w:val="24"/>
          <w:szCs w:val="24"/>
        </w:rPr>
        <w:t>合同，</w:t>
      </w:r>
      <w:r>
        <w:rPr>
          <w:rFonts w:hint="eastAsia" w:ascii="宋体" w:hAnsi="宋体" w:cs="Arial"/>
          <w:sz w:val="24"/>
          <w:szCs w:val="24"/>
          <w:lang w:val="en-US" w:eastAsia="zh-CN"/>
        </w:rPr>
        <w:t>或在乙方发货后</w:t>
      </w:r>
      <w:r>
        <w:rPr>
          <w:rFonts w:hint="eastAsia" w:ascii="宋体" w:hAnsi="宋体" w:cs="Arial"/>
          <w:sz w:val="24"/>
          <w:szCs w:val="24"/>
        </w:rPr>
        <w:t>取消和退货</w:t>
      </w:r>
      <w:r>
        <w:rPr>
          <w:rFonts w:hint="eastAsia" w:ascii="宋体" w:hAnsi="宋体" w:cs="Arial"/>
          <w:sz w:val="24"/>
          <w:szCs w:val="24"/>
          <w:lang w:val="en-US" w:eastAsia="zh-CN"/>
        </w:rPr>
        <w:t>并征得乙方同意的</w:t>
      </w:r>
      <w:r>
        <w:rPr>
          <w:rFonts w:hint="eastAsia" w:ascii="宋体" w:hAnsi="宋体" w:cs="Arial"/>
          <w:sz w:val="24"/>
          <w:szCs w:val="24"/>
        </w:rPr>
        <w:t>，不承担违约责任。</w:t>
      </w:r>
    </w:p>
    <w:p w14:paraId="0AFEAC36">
      <w:pPr>
        <w:spacing w:line="360" w:lineRule="auto"/>
        <w:ind w:firstLine="480" w:firstLineChars="200"/>
        <w:rPr>
          <w:rFonts w:ascii="宋体" w:hAnsi="宋体" w:cs="Arial"/>
          <w:sz w:val="24"/>
          <w:szCs w:val="24"/>
        </w:rPr>
      </w:pPr>
      <w:r>
        <w:rPr>
          <w:rFonts w:hint="eastAsia" w:ascii="宋体" w:hAnsi="宋体" w:cs="Arial"/>
          <w:sz w:val="24"/>
          <w:szCs w:val="24"/>
        </w:rPr>
        <w:t>2、甲方逾期付款的，向乙方偿付逾期付款部分的每日0.1%违约金，但以应付款额的10%为限。</w:t>
      </w:r>
    </w:p>
    <w:p w14:paraId="68B9361E">
      <w:pPr>
        <w:spacing w:line="360" w:lineRule="auto"/>
        <w:ind w:firstLine="480" w:firstLineChars="200"/>
        <w:rPr>
          <w:rFonts w:ascii="宋体" w:hAnsi="宋体" w:cs="Arial"/>
          <w:sz w:val="24"/>
          <w:szCs w:val="24"/>
        </w:rPr>
      </w:pPr>
      <w:r>
        <w:rPr>
          <w:rFonts w:hint="eastAsia" w:ascii="宋体" w:hAnsi="宋体" w:cs="Arial"/>
          <w:sz w:val="24"/>
          <w:szCs w:val="24"/>
        </w:rPr>
        <w:t>3、甲方对自提产品未按照合同约定日期提货的，不得追究乙方的逾期交货责任，并应自己承担该批货物延期提货时间的保管、保养费用。</w:t>
      </w:r>
    </w:p>
    <w:p w14:paraId="4EA77F28">
      <w:pPr>
        <w:spacing w:line="360" w:lineRule="auto"/>
        <w:ind w:firstLine="480" w:firstLineChars="200"/>
        <w:rPr>
          <w:rFonts w:ascii="宋体" w:hAnsi="宋体" w:cs="Arial"/>
          <w:sz w:val="24"/>
          <w:szCs w:val="24"/>
        </w:rPr>
      </w:pPr>
      <w:r>
        <w:rPr>
          <w:rFonts w:hint="eastAsia" w:ascii="宋体" w:hAnsi="宋体" w:cs="Arial"/>
          <w:sz w:val="24"/>
          <w:szCs w:val="24"/>
        </w:rPr>
        <w:t>4、甲方未按乙方要求及时付清款项所造成的货物延期交付应由甲方自己承担责任。</w:t>
      </w:r>
    </w:p>
    <w:p w14:paraId="17EEC411">
      <w:pPr>
        <w:spacing w:line="360" w:lineRule="auto"/>
        <w:ind w:firstLine="482" w:firstLineChars="200"/>
        <w:rPr>
          <w:rFonts w:ascii="黑体" w:hAnsi="黑体" w:eastAsia="黑体" w:cs="Arial"/>
          <w:b/>
          <w:bCs/>
          <w:sz w:val="24"/>
          <w:szCs w:val="24"/>
        </w:rPr>
      </w:pPr>
      <w:r>
        <w:rPr>
          <w:rFonts w:hint="eastAsia" w:ascii="黑体" w:hAnsi="黑体" w:eastAsia="黑体" w:cs="Arial"/>
          <w:b/>
          <w:bCs/>
          <w:sz w:val="24"/>
          <w:szCs w:val="24"/>
        </w:rPr>
        <w:t>十一、乙方的违约责任</w:t>
      </w:r>
    </w:p>
    <w:p w14:paraId="28224193">
      <w:pPr>
        <w:tabs>
          <w:tab w:val="left" w:pos="1320"/>
        </w:tabs>
        <w:spacing w:line="360" w:lineRule="auto"/>
        <w:ind w:firstLine="480" w:firstLineChars="200"/>
        <w:rPr>
          <w:rFonts w:ascii="宋体" w:hAnsi="宋体" w:cs="Arial"/>
          <w:sz w:val="24"/>
          <w:szCs w:val="24"/>
        </w:rPr>
      </w:pPr>
      <w:r>
        <w:rPr>
          <w:rFonts w:hint="eastAsia" w:ascii="宋体" w:hAnsi="宋体" w:cs="Arial"/>
          <w:sz w:val="24"/>
          <w:szCs w:val="24"/>
        </w:rPr>
        <w:t>1、乙方逾期交货的，应按照逾期交货部分的总额，向甲方承担每日0.3%的违约金；该费用包括但不限于价格波动损失以及甲方因此需向第三人所承担的违约金等</w:t>
      </w:r>
      <w:r>
        <w:rPr>
          <w:rFonts w:hint="eastAsia" w:ascii="宋体" w:hAnsi="宋体" w:cs="Arial"/>
          <w:sz w:val="24"/>
          <w:szCs w:val="24"/>
          <w:lang w:eastAsia="zh-CN"/>
        </w:rPr>
        <w:t>。</w:t>
      </w:r>
      <w:r>
        <w:rPr>
          <w:rFonts w:hint="eastAsia" w:ascii="宋体" w:hAnsi="宋体" w:cs="Arial"/>
          <w:sz w:val="24"/>
          <w:szCs w:val="24"/>
        </w:rPr>
        <w:t>逾期交货超过十日，视为无法交货</w:t>
      </w:r>
      <w:r>
        <w:rPr>
          <w:rFonts w:hint="eastAsia" w:ascii="宋体" w:hAnsi="宋体" w:cs="Arial"/>
          <w:sz w:val="24"/>
          <w:szCs w:val="24"/>
          <w:lang w:eastAsia="zh-CN"/>
        </w:rPr>
        <w:t>，</w:t>
      </w:r>
      <w:r>
        <w:rPr>
          <w:rFonts w:hint="eastAsia" w:ascii="宋体" w:hAnsi="宋体" w:cs="Arial"/>
          <w:sz w:val="24"/>
          <w:szCs w:val="24"/>
          <w:lang w:val="en-US" w:eastAsia="zh-CN"/>
        </w:rPr>
        <w:t>甲方有权解除合同</w:t>
      </w:r>
      <w:r>
        <w:rPr>
          <w:rFonts w:hint="eastAsia" w:ascii="宋体" w:hAnsi="宋体" w:cs="Arial"/>
          <w:sz w:val="24"/>
          <w:szCs w:val="24"/>
        </w:rPr>
        <w:t>。乙方无法交货的，应向甲方偿付不超过不能交货部分货款10%的违约金，如该违约金不足以弥补甲方与第三方签订的工程合同的损失金额的，除该违约金外，乙方还需要承担因此给甲方造成的一切损失，损失无法或不易计算衡量的，按照甲方与第三方签订的工程合同的合同金额的10%计算损失金额。</w:t>
      </w:r>
    </w:p>
    <w:p w14:paraId="6C99D18A">
      <w:pPr>
        <w:tabs>
          <w:tab w:val="left" w:pos="1320"/>
        </w:tabs>
        <w:spacing w:line="360" w:lineRule="auto"/>
        <w:ind w:firstLine="480" w:firstLineChars="200"/>
        <w:rPr>
          <w:rFonts w:ascii="宋体" w:hAnsi="宋体"/>
          <w:sz w:val="24"/>
          <w:szCs w:val="24"/>
        </w:rPr>
      </w:pPr>
      <w:r>
        <w:rPr>
          <w:rFonts w:hint="eastAsia" w:ascii="宋体" w:hAnsi="宋体" w:cs="Arial"/>
          <w:sz w:val="24"/>
          <w:szCs w:val="24"/>
        </w:rPr>
        <w:t>2、乙方所交货物的品种、型号、规格、质量等不符合约定的，应由甲方视具体情况决定重新按质论价、修理、调换或退货。因此导致直接损失由乙方承担，损失无法或不易计算衡量的，按照甲方与第三方签订的工程合同的合同金额的10%计算损失金额。</w:t>
      </w:r>
    </w:p>
    <w:p w14:paraId="080CA81E">
      <w:pPr>
        <w:tabs>
          <w:tab w:val="left" w:pos="1320"/>
        </w:tabs>
        <w:spacing w:line="360" w:lineRule="auto"/>
        <w:ind w:firstLine="480" w:firstLineChars="200"/>
        <w:rPr>
          <w:rFonts w:hint="eastAsia"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、货物错发到货地点或接货人的，乙方除应负责运交指定地点和交货人外，还应承担甲方因此多支付的一切费用和承担逾期交货的责任。</w:t>
      </w:r>
    </w:p>
    <w:p w14:paraId="4BB82DB8">
      <w:pPr>
        <w:tabs>
          <w:tab w:val="left" w:pos="1320"/>
        </w:tabs>
        <w:spacing w:line="360" w:lineRule="auto"/>
        <w:ind w:firstLine="480" w:firstLineChars="200"/>
        <w:rPr>
          <w:rFonts w:hint="eastAsia" w:ascii="宋体" w:hAnsi="宋体" w:cs="Arial"/>
          <w:sz w:val="24"/>
          <w:szCs w:val="24"/>
        </w:rPr>
      </w:pPr>
      <w:r>
        <w:rPr>
          <w:rFonts w:hint="eastAsia" w:ascii="宋体" w:hAnsi="宋体" w:cs="Arial"/>
          <w:sz w:val="24"/>
          <w:szCs w:val="24"/>
          <w:lang w:val="en-US" w:eastAsia="zh-CN"/>
        </w:rPr>
        <w:t>4</w:t>
      </w:r>
      <w:r>
        <w:rPr>
          <w:rFonts w:hint="eastAsia" w:ascii="宋体" w:hAnsi="宋体" w:cs="Arial"/>
          <w:sz w:val="24"/>
          <w:szCs w:val="24"/>
        </w:rPr>
        <w:t>、乙方逾期交货的，在发货前应与甲方协商，甲方仍需要的，乙方应如数补交，并负责逾期交货责任；甲方不再需要的，应当在接到乙方通知后十日内告知乙方，甲方有权办理合同解除手续。</w:t>
      </w:r>
    </w:p>
    <w:p w14:paraId="7CC67D9B">
      <w:pPr>
        <w:tabs>
          <w:tab w:val="left" w:pos="1320"/>
        </w:tabs>
        <w:spacing w:line="360" w:lineRule="auto"/>
        <w:ind w:firstLine="480" w:firstLineChars="200"/>
        <w:rPr>
          <w:rFonts w:hint="eastAsia" w:ascii="宋体" w:hAnsi="宋体" w:eastAsia="宋体" w:cs="Arial"/>
          <w:sz w:val="24"/>
          <w:szCs w:val="24"/>
          <w:lang w:val="en-US" w:eastAsia="zh-CN"/>
        </w:rPr>
      </w:pPr>
      <w:r>
        <w:rPr>
          <w:rFonts w:hint="eastAsia" w:ascii="宋体" w:hAnsi="宋体" w:cs="Arial"/>
          <w:sz w:val="24"/>
          <w:szCs w:val="24"/>
          <w:lang w:val="en-US" w:eastAsia="zh-CN"/>
        </w:rPr>
        <w:t>5、本合同所称损失，含直接损失和间接损失、预期利益损失、惩罚性损失，含为维权支付的诉讼费用、律师费、评估鉴定费、调查费、保险费、执行费、差旅费等。</w:t>
      </w:r>
    </w:p>
    <w:p w14:paraId="7C0A9B28">
      <w:pPr>
        <w:spacing w:line="360" w:lineRule="auto"/>
        <w:ind w:firstLine="482" w:firstLineChars="200"/>
        <w:rPr>
          <w:rFonts w:ascii="黑体" w:hAnsi="黑体" w:eastAsia="黑体" w:cs="Arial"/>
          <w:sz w:val="24"/>
          <w:szCs w:val="24"/>
        </w:rPr>
      </w:pPr>
      <w:r>
        <w:rPr>
          <w:rFonts w:hint="eastAsia" w:ascii="黑体" w:hAnsi="黑体" w:eastAsia="黑体" w:cs="Arial"/>
          <w:b/>
          <w:bCs/>
          <w:sz w:val="24"/>
          <w:szCs w:val="24"/>
        </w:rPr>
        <w:t>十二、</w:t>
      </w:r>
      <w:r>
        <w:rPr>
          <w:rFonts w:hint="eastAsia" w:ascii="黑体" w:hAnsi="黑体" w:eastAsia="黑体" w:cs="Arial"/>
          <w:b/>
          <w:bCs/>
          <w:sz w:val="24"/>
          <w:szCs w:val="24"/>
          <w:lang w:val="en-US" w:eastAsia="zh-CN"/>
        </w:rPr>
        <w:t>保密及</w:t>
      </w:r>
      <w:r>
        <w:rPr>
          <w:rFonts w:hint="eastAsia" w:ascii="黑体" w:hAnsi="黑体" w:eastAsia="黑体" w:cs="Arial"/>
          <w:b/>
          <w:bCs/>
          <w:sz w:val="24"/>
          <w:szCs w:val="24"/>
        </w:rPr>
        <w:t>不可抗力</w:t>
      </w:r>
    </w:p>
    <w:p w14:paraId="4930E181">
      <w:pPr>
        <w:spacing w:line="360" w:lineRule="auto"/>
        <w:ind w:firstLine="480" w:firstLineChars="200"/>
        <w:rPr>
          <w:rFonts w:hint="eastAsia" w:ascii="宋体" w:hAnsi="宋体" w:cs="Arial"/>
          <w:sz w:val="24"/>
          <w:szCs w:val="24"/>
        </w:rPr>
      </w:pPr>
      <w:r>
        <w:rPr>
          <w:rFonts w:hint="eastAsia" w:ascii="宋体" w:hAnsi="宋体" w:cs="Arial"/>
          <w:sz w:val="24"/>
          <w:szCs w:val="24"/>
          <w:lang w:val="en-US" w:eastAsia="zh-CN"/>
        </w:rPr>
        <w:t>1、</w:t>
      </w:r>
      <w:r>
        <w:rPr>
          <w:rFonts w:hint="eastAsia" w:ascii="宋体" w:hAnsi="宋体" w:cs="Arial"/>
          <w:sz w:val="24"/>
          <w:szCs w:val="24"/>
        </w:rPr>
        <w:t>本协议签订及履行过程中，乙方知悉的甲方人员信息、采购需求、相关项目情况、工作安排、甲方提供的技术资料、产品目录、样品、图纸及与货物有关的价格、数量、质量信息及甲方的客户信息及本合同相关内容均属于保密信息，乙方应承担保密义务。未经甲方事先书面确认，乙方不得将保密信息以任何形式披露给第三方，或用于本合同以外的目的。若乙方行为违反上述保密条款，应向甲方支付</w:t>
      </w:r>
      <w:r>
        <w:rPr>
          <w:rFonts w:hint="eastAsia" w:ascii="宋体" w:hAnsi="宋体" w:cs="Arial"/>
          <w:sz w:val="24"/>
          <w:szCs w:val="24"/>
          <w:lang w:val="en-US" w:eastAsia="zh-CN"/>
        </w:rPr>
        <w:t>50万元</w:t>
      </w:r>
      <w:r>
        <w:rPr>
          <w:rFonts w:hint="eastAsia" w:ascii="宋体" w:hAnsi="宋体" w:cs="Arial"/>
          <w:sz w:val="24"/>
          <w:szCs w:val="24"/>
        </w:rPr>
        <w:t>违约金，违约金不足以弥补甲方损失的，还应赔偿甲方损失。</w:t>
      </w:r>
    </w:p>
    <w:p w14:paraId="100A06C1">
      <w:pPr>
        <w:spacing w:line="360" w:lineRule="auto"/>
        <w:ind w:firstLine="480" w:firstLineChars="200"/>
        <w:rPr>
          <w:rFonts w:ascii="宋体" w:hAnsi="宋体" w:cs="Arial"/>
          <w:sz w:val="24"/>
          <w:szCs w:val="24"/>
        </w:rPr>
      </w:pPr>
      <w:r>
        <w:rPr>
          <w:rFonts w:hint="eastAsia" w:ascii="宋体" w:hAnsi="宋体" w:cs="Arial"/>
          <w:sz w:val="24"/>
          <w:szCs w:val="24"/>
          <w:lang w:val="en-US" w:eastAsia="zh-CN"/>
        </w:rPr>
        <w:t>2、</w:t>
      </w:r>
      <w:r>
        <w:rPr>
          <w:rFonts w:hint="eastAsia" w:ascii="宋体" w:hAnsi="宋体" w:cs="Arial"/>
          <w:sz w:val="24"/>
          <w:szCs w:val="24"/>
        </w:rPr>
        <w:t>甲乙双方由于不可抗力的原因不能履行合同时，应及时向对方通报理由并取得有关证明，对方应根据情况给予免除或部分免除另一方的违约责任。本条款所指的不可抗力为天灾、战争、政府行为等不可预见、不可避免及不能克服的事件。</w:t>
      </w:r>
    </w:p>
    <w:p w14:paraId="62C08B47">
      <w:pPr>
        <w:spacing w:line="360" w:lineRule="auto"/>
        <w:ind w:firstLine="482" w:firstLineChars="200"/>
        <w:rPr>
          <w:rFonts w:ascii="黑体" w:hAnsi="黑体" w:eastAsia="黑体" w:cs="Arial"/>
          <w:sz w:val="24"/>
          <w:szCs w:val="24"/>
        </w:rPr>
      </w:pPr>
      <w:r>
        <w:rPr>
          <w:rFonts w:hint="eastAsia" w:ascii="黑体" w:hAnsi="黑体" w:eastAsia="黑体" w:cs="Arial"/>
          <w:b/>
          <w:bCs/>
          <w:sz w:val="24"/>
          <w:szCs w:val="24"/>
        </w:rPr>
        <w:t>十三、争议解决方式</w:t>
      </w:r>
    </w:p>
    <w:p w14:paraId="212EE1DF">
      <w:pPr>
        <w:spacing w:line="360" w:lineRule="auto"/>
        <w:ind w:firstLine="480" w:firstLineChars="200"/>
        <w:rPr>
          <w:rFonts w:ascii="宋体" w:hAnsi="宋体" w:cs="Arial"/>
          <w:sz w:val="24"/>
          <w:szCs w:val="24"/>
        </w:rPr>
      </w:pPr>
      <w:r>
        <w:rPr>
          <w:rFonts w:hint="eastAsia" w:ascii="宋体" w:hAnsi="宋体" w:cs="Arial"/>
          <w:sz w:val="24"/>
          <w:szCs w:val="24"/>
        </w:rPr>
        <w:t>因本合同所发生的争议，双方应尽量协商解决。协商不成，任何一方均有权将争议提交起甲方住所所在地人民法院解决。</w:t>
      </w:r>
    </w:p>
    <w:p w14:paraId="54C5D84E">
      <w:pPr>
        <w:spacing w:line="360" w:lineRule="auto"/>
        <w:ind w:left="1136" w:leftChars="200" w:hanging="716" w:hangingChars="297"/>
        <w:rPr>
          <w:rFonts w:ascii="黑体" w:hAnsi="黑体" w:eastAsia="黑体" w:cs="Arial"/>
          <w:b/>
          <w:bCs/>
          <w:sz w:val="24"/>
          <w:szCs w:val="24"/>
        </w:rPr>
      </w:pPr>
      <w:r>
        <w:rPr>
          <w:rFonts w:hint="eastAsia" w:ascii="黑体" w:hAnsi="黑体" w:eastAsia="黑体" w:cs="Arial"/>
          <w:b/>
          <w:bCs/>
          <w:sz w:val="24"/>
          <w:szCs w:val="24"/>
        </w:rPr>
        <w:t>十四、合同生效</w:t>
      </w:r>
    </w:p>
    <w:p w14:paraId="1943DF20">
      <w:pPr>
        <w:spacing w:line="360" w:lineRule="auto"/>
        <w:rPr>
          <w:rFonts w:hint="default" w:ascii="黑体" w:hAnsi="黑体" w:eastAsia="黑体"/>
          <w:b/>
          <w:bCs/>
          <w:sz w:val="24"/>
          <w:szCs w:val="24"/>
          <w:lang w:val="en-US" w:eastAsia="zh-CN"/>
        </w:rPr>
      </w:pPr>
      <w:r>
        <w:rPr>
          <w:rFonts w:hint="eastAsia" w:ascii="宋体" w:hAnsi="宋体" w:cs="Arial"/>
          <w:sz w:val="24"/>
          <w:szCs w:val="24"/>
        </w:rPr>
        <w:t>本合同自甲乙双方签字、盖章之日起生效。</w:t>
      </w:r>
      <w:r>
        <w:rPr>
          <w:rFonts w:hint="eastAsia" w:ascii="宋体" w:hAnsi="宋体" w:cs="Arial"/>
          <w:sz w:val="24"/>
          <w:szCs w:val="24"/>
          <w:lang w:val="en-US" w:eastAsia="zh-CN"/>
        </w:rPr>
        <w:t>合</w:t>
      </w:r>
      <w:r>
        <w:rPr>
          <w:rFonts w:hint="eastAsia" w:ascii="宋体" w:hAnsi="宋体" w:cs="宋体"/>
          <w:szCs w:val="21"/>
        </w:rPr>
        <w:t>同一式</w:t>
      </w:r>
      <w:permStart w:id="12" w:edGrp="everyone"/>
      <w:r>
        <w:rPr>
          <w:rFonts w:hint="eastAsia" w:ascii="宋体" w:hAnsi="宋体" w:cs="宋体"/>
          <w:szCs w:val="21"/>
          <w:u w:val="single"/>
        </w:rPr>
        <w:t xml:space="preserve">  </w:t>
      </w:r>
      <w:permEnd w:id="12"/>
      <w:r>
        <w:rPr>
          <w:rFonts w:hint="eastAsia" w:ascii="宋体" w:hAnsi="宋体" w:cs="宋体"/>
          <w:szCs w:val="21"/>
        </w:rPr>
        <w:t>份，甲方执</w:t>
      </w:r>
      <w:permStart w:id="13" w:edGrp="everyone"/>
      <w:r>
        <w:rPr>
          <w:rFonts w:hint="eastAsia" w:ascii="宋体" w:hAnsi="宋体" w:cs="宋体"/>
          <w:szCs w:val="21"/>
          <w:u w:val="single"/>
        </w:rPr>
        <w:t xml:space="preserve">  </w:t>
      </w:r>
      <w:permEnd w:id="13"/>
      <w:r>
        <w:rPr>
          <w:rFonts w:hint="eastAsia" w:ascii="宋体" w:hAnsi="宋体" w:cs="宋体"/>
          <w:szCs w:val="21"/>
        </w:rPr>
        <w:t>份，乙方执</w:t>
      </w:r>
      <w:permStart w:id="14" w:edGrp="everyone"/>
      <w:r>
        <w:rPr>
          <w:rFonts w:hint="eastAsia" w:ascii="宋体" w:hAnsi="宋体" w:cs="宋体"/>
          <w:szCs w:val="21"/>
          <w:u w:val="single"/>
        </w:rPr>
        <w:t xml:space="preserve">  </w:t>
      </w:r>
      <w:permEnd w:id="14"/>
      <w:r>
        <w:rPr>
          <w:rFonts w:hint="eastAsia" w:ascii="宋体" w:hAnsi="宋体" w:cs="宋体"/>
          <w:szCs w:val="21"/>
        </w:rPr>
        <w:t>份，每份具有同等法律效力。</w:t>
      </w:r>
    </w:p>
    <w:tbl>
      <w:tblPr>
        <w:tblStyle w:val="10"/>
        <w:tblW w:w="0" w:type="auto"/>
        <w:jc w:val="center"/>
        <w:tblLayout w:type="autofit"/>
        <w:tblCellMar>
          <w:top w:w="0" w:type="dxa"/>
          <w:left w:w="108" w:type="dxa"/>
          <w:bottom w:w="0" w:type="dxa"/>
          <w:right w:w="108" w:type="dxa"/>
        </w:tblCellMar>
      </w:tblPr>
      <w:tblGrid>
        <w:gridCol w:w="5034"/>
        <w:gridCol w:w="4820"/>
      </w:tblGrid>
      <w:tr w14:paraId="0D85CD24">
        <w:tblPrEx>
          <w:tblCellMar>
            <w:top w:w="0" w:type="dxa"/>
            <w:left w:w="108" w:type="dxa"/>
            <w:bottom w:w="0" w:type="dxa"/>
            <w:right w:w="108" w:type="dxa"/>
          </w:tblCellMar>
        </w:tblPrEx>
        <w:trPr>
          <w:jc w:val="center"/>
        </w:trPr>
        <w:tc>
          <w:tcPr>
            <w:tcW w:w="5103" w:type="dxa"/>
            <w:noWrap w:val="0"/>
            <w:vAlign w:val="top"/>
          </w:tcPr>
          <w:p w14:paraId="2CEEEAF8">
            <w:pPr>
              <w:spacing w:line="360" w:lineRule="auto"/>
              <w:rPr>
                <w:rFonts w:hint="eastAsia" w:ascii="宋体" w:hAnsi="宋体"/>
                <w:bCs/>
                <w:sz w:val="24"/>
                <w:szCs w:val="24"/>
              </w:rPr>
            </w:pPr>
            <w:r>
              <w:rPr>
                <w:rFonts w:hint="eastAsia" w:ascii="黑体" w:hAnsi="黑体" w:eastAsia="黑体" w:cs="Arial"/>
                <w:b/>
                <w:bCs/>
                <w:sz w:val="24"/>
                <w:szCs w:val="24"/>
              </w:rPr>
              <w:t>甲  方：</w:t>
            </w:r>
            <w:r>
              <w:rPr>
                <w:rFonts w:hint="eastAsia" w:ascii="黑体" w:hAnsi="黑体" w:eastAsia="黑体"/>
                <w:b/>
                <w:sz w:val="24"/>
                <w:szCs w:val="24"/>
                <w:u w:val="single"/>
              </w:rPr>
              <w:t>南京禄口国际机场空港科技有限公司</w:t>
            </w:r>
          </w:p>
        </w:tc>
        <w:tc>
          <w:tcPr>
            <w:tcW w:w="4927" w:type="dxa"/>
            <w:noWrap w:val="0"/>
            <w:vAlign w:val="top"/>
          </w:tcPr>
          <w:p w14:paraId="1ED55326">
            <w:pPr>
              <w:spacing w:line="360" w:lineRule="auto"/>
              <w:rPr>
                <w:rFonts w:hint="eastAsia" w:ascii="宋体" w:hAnsi="宋体"/>
                <w:bCs/>
                <w:sz w:val="24"/>
                <w:szCs w:val="24"/>
              </w:rPr>
            </w:pPr>
            <w:r>
              <w:rPr>
                <w:rFonts w:hint="eastAsia" w:ascii="黑体" w:hAnsi="黑体" w:eastAsia="黑体" w:cs="Arial"/>
                <w:b/>
                <w:bCs/>
                <w:sz w:val="24"/>
                <w:szCs w:val="24"/>
              </w:rPr>
              <w:t>乙 方:</w:t>
            </w:r>
            <w:r>
              <w:rPr>
                <w:rFonts w:hint="eastAsia"/>
                <w:b/>
                <w:bCs/>
                <w:sz w:val="24"/>
                <w:szCs w:val="24"/>
              </w:rPr>
              <w:t xml:space="preserve"> </w:t>
            </w:r>
            <w:r>
              <w:rPr>
                <w:rFonts w:hint="eastAsia" w:ascii="黑体" w:hAnsi="黑体" w:eastAsia="黑体" w:cs="Arial"/>
                <w:b/>
                <w:sz w:val="24"/>
                <w:szCs w:val="24"/>
                <w:u w:val="single"/>
              </w:rPr>
              <w:t xml:space="preserve">       </w:t>
            </w:r>
          </w:p>
        </w:tc>
      </w:tr>
      <w:tr w14:paraId="0C3A662B">
        <w:tblPrEx>
          <w:tblCellMar>
            <w:top w:w="0" w:type="dxa"/>
            <w:left w:w="108" w:type="dxa"/>
            <w:bottom w:w="0" w:type="dxa"/>
            <w:right w:w="108" w:type="dxa"/>
          </w:tblCellMar>
        </w:tblPrEx>
        <w:trPr>
          <w:jc w:val="center"/>
        </w:trPr>
        <w:tc>
          <w:tcPr>
            <w:tcW w:w="5103" w:type="dxa"/>
            <w:noWrap w:val="0"/>
            <w:vAlign w:val="top"/>
          </w:tcPr>
          <w:p w14:paraId="1A131AA9">
            <w:pPr>
              <w:spacing w:line="360" w:lineRule="auto"/>
              <w:rPr>
                <w:rFonts w:hint="eastAsia" w:ascii="宋体" w:hAnsi="宋体"/>
                <w:bCs/>
                <w:sz w:val="24"/>
                <w:szCs w:val="24"/>
              </w:rPr>
            </w:pPr>
            <w:r>
              <w:rPr>
                <w:rFonts w:hint="eastAsia" w:ascii="黑体" w:hAnsi="黑体" w:eastAsia="黑体" w:cs="Arial"/>
                <w:b/>
                <w:bCs/>
                <w:sz w:val="24"/>
                <w:szCs w:val="24"/>
              </w:rPr>
              <w:t>代表人：</w:t>
            </w:r>
            <w:r>
              <w:rPr>
                <w:rFonts w:hint="eastAsia" w:ascii="黑体" w:hAnsi="黑体" w:eastAsia="黑体" w:cs="Arial"/>
                <w:b/>
                <w:bCs/>
                <w:sz w:val="24"/>
                <w:szCs w:val="24"/>
                <w:u w:val="single"/>
              </w:rPr>
              <w:t xml:space="preserve">      </w:t>
            </w:r>
          </w:p>
        </w:tc>
        <w:tc>
          <w:tcPr>
            <w:tcW w:w="4927" w:type="dxa"/>
            <w:noWrap w:val="0"/>
            <w:vAlign w:val="top"/>
          </w:tcPr>
          <w:p w14:paraId="333A059C">
            <w:pPr>
              <w:spacing w:line="360" w:lineRule="auto"/>
              <w:rPr>
                <w:rFonts w:hint="eastAsia" w:ascii="宋体" w:hAnsi="宋体"/>
                <w:bCs/>
                <w:sz w:val="24"/>
                <w:szCs w:val="24"/>
              </w:rPr>
            </w:pPr>
            <w:r>
              <w:rPr>
                <w:rFonts w:hint="eastAsia" w:ascii="黑体" w:hAnsi="黑体" w:eastAsia="黑体" w:cs="Arial"/>
                <w:b/>
                <w:bCs/>
                <w:sz w:val="24"/>
                <w:szCs w:val="24"/>
              </w:rPr>
              <w:t>代表人：</w:t>
            </w:r>
            <w:r>
              <w:rPr>
                <w:rFonts w:hint="eastAsia" w:ascii="黑体" w:hAnsi="黑体" w:eastAsia="黑体" w:cs="Arial"/>
                <w:b/>
                <w:sz w:val="24"/>
                <w:szCs w:val="24"/>
                <w:u w:val="single"/>
              </w:rPr>
              <w:t xml:space="preserve">          </w:t>
            </w:r>
          </w:p>
        </w:tc>
      </w:tr>
      <w:tr w14:paraId="08E6F6E2">
        <w:tblPrEx>
          <w:tblCellMar>
            <w:top w:w="0" w:type="dxa"/>
            <w:left w:w="108" w:type="dxa"/>
            <w:bottom w:w="0" w:type="dxa"/>
            <w:right w:w="108" w:type="dxa"/>
          </w:tblCellMar>
        </w:tblPrEx>
        <w:trPr>
          <w:jc w:val="center"/>
        </w:trPr>
        <w:tc>
          <w:tcPr>
            <w:tcW w:w="5103" w:type="dxa"/>
            <w:noWrap w:val="0"/>
            <w:vAlign w:val="top"/>
          </w:tcPr>
          <w:p w14:paraId="2F40ECEC">
            <w:pPr>
              <w:spacing w:line="360" w:lineRule="auto"/>
              <w:rPr>
                <w:rFonts w:hint="eastAsia" w:ascii="宋体" w:hAnsi="宋体"/>
                <w:bCs/>
                <w:sz w:val="24"/>
                <w:szCs w:val="24"/>
              </w:rPr>
            </w:pPr>
            <w:r>
              <w:rPr>
                <w:rFonts w:hint="eastAsia" w:ascii="黑体" w:hAnsi="黑体" w:eastAsia="黑体" w:cs="Arial"/>
                <w:b/>
                <w:bCs/>
                <w:sz w:val="24"/>
                <w:szCs w:val="24"/>
              </w:rPr>
              <w:t>地  址：</w:t>
            </w:r>
            <w:r>
              <w:rPr>
                <w:rFonts w:hint="eastAsia" w:ascii="黑体" w:hAnsi="黑体" w:eastAsia="黑体" w:cs="Times New Roman"/>
                <w:b/>
                <w:sz w:val="24"/>
                <w:szCs w:val="24"/>
                <w:u w:val="single"/>
              </w:rPr>
              <w:t>南京市江宁区秣陵街道天元西路199号东部机场集团10楼</w:t>
            </w:r>
          </w:p>
        </w:tc>
        <w:tc>
          <w:tcPr>
            <w:tcW w:w="4927" w:type="dxa"/>
            <w:noWrap w:val="0"/>
            <w:vAlign w:val="top"/>
          </w:tcPr>
          <w:p w14:paraId="4B2BCB11">
            <w:pPr>
              <w:spacing w:line="360" w:lineRule="auto"/>
              <w:rPr>
                <w:rFonts w:hint="eastAsia" w:ascii="宋体" w:hAnsi="宋体"/>
                <w:bCs/>
                <w:sz w:val="24"/>
                <w:szCs w:val="24"/>
              </w:rPr>
            </w:pPr>
            <w:r>
              <w:rPr>
                <w:rFonts w:hint="eastAsia" w:ascii="黑体" w:hAnsi="黑体" w:eastAsia="黑体" w:cs="Arial"/>
                <w:b/>
                <w:bCs/>
                <w:sz w:val="24"/>
                <w:szCs w:val="24"/>
              </w:rPr>
              <w:t>地  址：</w:t>
            </w:r>
            <w:r>
              <w:rPr>
                <w:rFonts w:hint="eastAsia" w:ascii="黑体" w:hAnsi="黑体" w:eastAsia="黑体" w:cs="Arial"/>
                <w:b/>
                <w:sz w:val="24"/>
                <w:szCs w:val="24"/>
                <w:u w:val="single"/>
              </w:rPr>
              <w:t xml:space="preserve">       </w:t>
            </w:r>
          </w:p>
        </w:tc>
      </w:tr>
      <w:tr w14:paraId="0275A54D">
        <w:tblPrEx>
          <w:tblCellMar>
            <w:top w:w="0" w:type="dxa"/>
            <w:left w:w="108" w:type="dxa"/>
            <w:bottom w:w="0" w:type="dxa"/>
            <w:right w:w="108" w:type="dxa"/>
          </w:tblCellMar>
        </w:tblPrEx>
        <w:trPr>
          <w:jc w:val="center"/>
        </w:trPr>
        <w:tc>
          <w:tcPr>
            <w:tcW w:w="5103" w:type="dxa"/>
            <w:noWrap w:val="0"/>
            <w:vAlign w:val="top"/>
          </w:tcPr>
          <w:p w14:paraId="5B7B5193">
            <w:pPr>
              <w:spacing w:line="360" w:lineRule="auto"/>
              <w:rPr>
                <w:rFonts w:hint="eastAsia" w:ascii="宋体" w:hAnsi="宋体"/>
                <w:bCs/>
                <w:sz w:val="24"/>
                <w:szCs w:val="24"/>
              </w:rPr>
            </w:pPr>
            <w:r>
              <w:rPr>
                <w:rFonts w:hint="eastAsia" w:ascii="黑体" w:hAnsi="黑体" w:eastAsia="黑体" w:cs="Arial"/>
                <w:b/>
                <w:bCs/>
                <w:sz w:val="24"/>
                <w:szCs w:val="24"/>
              </w:rPr>
              <w:t>电  话：</w:t>
            </w:r>
            <w:r>
              <w:rPr>
                <w:rFonts w:ascii="黑体" w:hAnsi="黑体" w:eastAsia="黑体" w:cs="Arial"/>
                <w:b/>
                <w:bCs/>
                <w:sz w:val="24"/>
                <w:szCs w:val="24"/>
                <w:u w:val="single"/>
              </w:rPr>
              <w:t>025-69820630</w:t>
            </w:r>
            <w:r>
              <w:rPr>
                <w:rFonts w:hint="eastAsia" w:ascii="黑体" w:hAnsi="黑体" w:eastAsia="黑体" w:cs="Arial"/>
                <w:b/>
                <w:bCs/>
                <w:sz w:val="24"/>
                <w:szCs w:val="24"/>
                <w:u w:val="single"/>
              </w:rPr>
              <w:t xml:space="preserve">                </w:t>
            </w:r>
          </w:p>
        </w:tc>
        <w:tc>
          <w:tcPr>
            <w:tcW w:w="4927" w:type="dxa"/>
            <w:noWrap w:val="0"/>
            <w:vAlign w:val="top"/>
          </w:tcPr>
          <w:p w14:paraId="3CCEA262">
            <w:pPr>
              <w:spacing w:line="360" w:lineRule="auto"/>
              <w:rPr>
                <w:rFonts w:hint="eastAsia" w:ascii="宋体" w:hAnsi="宋体"/>
                <w:bCs/>
                <w:sz w:val="24"/>
                <w:szCs w:val="24"/>
              </w:rPr>
            </w:pPr>
            <w:r>
              <w:rPr>
                <w:rFonts w:hint="eastAsia" w:ascii="黑体" w:hAnsi="黑体" w:eastAsia="黑体" w:cs="Arial"/>
                <w:b/>
                <w:bCs/>
                <w:sz w:val="24"/>
                <w:szCs w:val="24"/>
              </w:rPr>
              <w:t>电  话：</w:t>
            </w:r>
            <w:r>
              <w:rPr>
                <w:rFonts w:hint="eastAsia" w:ascii="黑体" w:hAnsi="黑体" w:eastAsia="黑体"/>
                <w:b/>
                <w:sz w:val="24"/>
                <w:szCs w:val="24"/>
                <w:u w:val="single"/>
              </w:rPr>
              <w:t xml:space="preserve"> </w:t>
            </w:r>
            <w:r>
              <w:rPr>
                <w:rFonts w:hint="eastAsia" w:ascii="黑体" w:hAnsi="黑体" w:eastAsia="黑体" w:cs="Arial"/>
                <w:b/>
                <w:sz w:val="24"/>
                <w:szCs w:val="24"/>
                <w:u w:val="single"/>
              </w:rPr>
              <w:t xml:space="preserve">       </w:t>
            </w:r>
          </w:p>
        </w:tc>
      </w:tr>
      <w:tr w14:paraId="1D0CFBA5">
        <w:tblPrEx>
          <w:tblCellMar>
            <w:top w:w="0" w:type="dxa"/>
            <w:left w:w="108" w:type="dxa"/>
            <w:bottom w:w="0" w:type="dxa"/>
            <w:right w:w="108" w:type="dxa"/>
          </w:tblCellMar>
        </w:tblPrEx>
        <w:trPr>
          <w:jc w:val="center"/>
        </w:trPr>
        <w:tc>
          <w:tcPr>
            <w:tcW w:w="5103" w:type="dxa"/>
            <w:noWrap w:val="0"/>
            <w:vAlign w:val="top"/>
          </w:tcPr>
          <w:p w14:paraId="660EC5A3">
            <w:pPr>
              <w:spacing w:line="360" w:lineRule="auto"/>
              <w:rPr>
                <w:rFonts w:hint="eastAsia" w:ascii="黑体" w:hAnsi="黑体" w:eastAsia="黑体" w:cs="Arial"/>
                <w:b/>
                <w:bCs/>
                <w:sz w:val="24"/>
                <w:szCs w:val="24"/>
                <w:u w:val="single"/>
              </w:rPr>
            </w:pPr>
            <w:r>
              <w:rPr>
                <w:rFonts w:hint="eastAsia" w:ascii="黑体" w:hAnsi="黑体" w:eastAsia="黑体" w:cs="Arial"/>
                <w:b/>
                <w:bCs/>
                <w:sz w:val="24"/>
                <w:szCs w:val="24"/>
              </w:rPr>
              <w:t>开户行：</w:t>
            </w:r>
            <w:r>
              <w:rPr>
                <w:rFonts w:hint="eastAsia" w:ascii="黑体" w:hAnsi="黑体" w:eastAsia="黑体" w:cs="Arial"/>
                <w:b/>
                <w:bCs/>
                <w:sz w:val="24"/>
                <w:szCs w:val="24"/>
                <w:u w:val="single"/>
              </w:rPr>
              <w:t>中国银行南京禄口机场支行</w:t>
            </w:r>
          </w:p>
          <w:p w14:paraId="150FB27A">
            <w:pPr>
              <w:spacing w:line="360" w:lineRule="auto"/>
              <w:rPr>
                <w:rFonts w:hint="eastAsia" w:ascii="宋体" w:hAnsi="宋体"/>
                <w:bCs/>
                <w:sz w:val="24"/>
                <w:szCs w:val="24"/>
              </w:rPr>
            </w:pPr>
            <w:r>
              <w:rPr>
                <w:rFonts w:hint="eastAsia" w:ascii="黑体" w:hAnsi="黑体" w:eastAsia="黑体" w:cs="Arial"/>
                <w:b/>
                <w:bCs/>
                <w:sz w:val="24"/>
                <w:szCs w:val="24"/>
              </w:rPr>
              <w:t>开户行帐号：</w:t>
            </w:r>
            <w:r>
              <w:rPr>
                <w:rFonts w:ascii="黑体" w:hAnsi="黑体" w:eastAsia="黑体" w:cs="Arial"/>
                <w:b/>
                <w:bCs/>
                <w:sz w:val="24"/>
                <w:szCs w:val="24"/>
                <w:u w:val="single"/>
              </w:rPr>
              <w:t>553470001259</w:t>
            </w:r>
          </w:p>
        </w:tc>
        <w:tc>
          <w:tcPr>
            <w:tcW w:w="4927" w:type="dxa"/>
            <w:noWrap w:val="0"/>
            <w:vAlign w:val="top"/>
          </w:tcPr>
          <w:p w14:paraId="7F590599">
            <w:pPr>
              <w:spacing w:line="360" w:lineRule="auto"/>
              <w:rPr>
                <w:rFonts w:hint="eastAsia" w:ascii="黑体" w:hAnsi="黑体" w:eastAsia="黑体" w:cs="Arial"/>
                <w:b/>
                <w:bCs/>
                <w:sz w:val="24"/>
                <w:szCs w:val="24"/>
                <w:u w:val="single"/>
              </w:rPr>
            </w:pPr>
            <w:r>
              <w:rPr>
                <w:rFonts w:hint="eastAsia" w:ascii="黑体" w:hAnsi="黑体" w:eastAsia="黑体" w:cs="Arial"/>
                <w:b/>
                <w:bCs/>
                <w:sz w:val="24"/>
                <w:szCs w:val="24"/>
              </w:rPr>
              <w:t>开户行：</w:t>
            </w:r>
            <w:r>
              <w:rPr>
                <w:rFonts w:hint="eastAsia" w:ascii="黑体" w:hAnsi="黑体" w:eastAsia="黑体" w:cs="Arial"/>
                <w:b/>
                <w:sz w:val="24"/>
                <w:szCs w:val="24"/>
                <w:u w:val="single"/>
              </w:rPr>
              <w:t xml:space="preserve">       </w:t>
            </w:r>
          </w:p>
          <w:p w14:paraId="2268D8E3">
            <w:pPr>
              <w:spacing w:line="360" w:lineRule="auto"/>
              <w:rPr>
                <w:rFonts w:hint="eastAsia" w:ascii="宋体" w:hAnsi="宋体"/>
                <w:bCs/>
                <w:sz w:val="24"/>
                <w:szCs w:val="24"/>
              </w:rPr>
            </w:pPr>
            <w:r>
              <w:rPr>
                <w:rFonts w:hint="eastAsia" w:ascii="黑体" w:hAnsi="黑体" w:eastAsia="黑体" w:cs="Arial"/>
                <w:b/>
                <w:bCs/>
                <w:sz w:val="24"/>
                <w:szCs w:val="24"/>
              </w:rPr>
              <w:t>开户行帐号：</w:t>
            </w:r>
            <w:r>
              <w:rPr>
                <w:rFonts w:hint="eastAsia" w:ascii="黑体" w:hAnsi="黑体" w:eastAsia="黑体" w:cs="Arial"/>
                <w:b/>
                <w:sz w:val="24"/>
                <w:szCs w:val="24"/>
                <w:u w:val="single"/>
              </w:rPr>
              <w:t xml:space="preserve">       </w:t>
            </w:r>
          </w:p>
        </w:tc>
      </w:tr>
      <w:tr w14:paraId="2A17B1B4">
        <w:tblPrEx>
          <w:tblCellMar>
            <w:top w:w="0" w:type="dxa"/>
            <w:left w:w="108" w:type="dxa"/>
            <w:bottom w:w="0" w:type="dxa"/>
            <w:right w:w="108" w:type="dxa"/>
          </w:tblCellMar>
        </w:tblPrEx>
        <w:trPr>
          <w:jc w:val="center"/>
        </w:trPr>
        <w:tc>
          <w:tcPr>
            <w:tcW w:w="5103" w:type="dxa"/>
            <w:noWrap w:val="0"/>
            <w:vAlign w:val="top"/>
          </w:tcPr>
          <w:p w14:paraId="7CEB8876">
            <w:pPr>
              <w:spacing w:line="360" w:lineRule="auto"/>
              <w:rPr>
                <w:rFonts w:hint="eastAsia" w:ascii="宋体" w:hAnsi="宋体"/>
                <w:bCs/>
                <w:sz w:val="24"/>
                <w:szCs w:val="24"/>
              </w:rPr>
            </w:pPr>
            <w:r>
              <w:rPr>
                <w:rFonts w:hint="eastAsia" w:ascii="黑体" w:hAnsi="黑体" w:eastAsia="黑体"/>
                <w:b/>
                <w:sz w:val="24"/>
                <w:szCs w:val="24"/>
              </w:rPr>
              <w:t>纳税人识别号：</w:t>
            </w:r>
            <w:r>
              <w:rPr>
                <w:rFonts w:ascii="黑体" w:hAnsi="黑体" w:eastAsia="黑体"/>
                <w:b/>
                <w:sz w:val="24"/>
                <w:szCs w:val="24"/>
                <w:u w:val="single"/>
              </w:rPr>
              <w:t>913200007140930345</w:t>
            </w:r>
          </w:p>
        </w:tc>
        <w:tc>
          <w:tcPr>
            <w:tcW w:w="4927" w:type="dxa"/>
            <w:noWrap w:val="0"/>
            <w:vAlign w:val="top"/>
          </w:tcPr>
          <w:p w14:paraId="38E73BE4">
            <w:pPr>
              <w:spacing w:line="360" w:lineRule="auto"/>
              <w:rPr>
                <w:rFonts w:hint="eastAsia" w:ascii="宋体" w:hAnsi="宋体"/>
                <w:bCs/>
                <w:sz w:val="24"/>
                <w:szCs w:val="24"/>
              </w:rPr>
            </w:pPr>
            <w:r>
              <w:rPr>
                <w:rFonts w:hint="eastAsia" w:ascii="黑体" w:hAnsi="黑体" w:eastAsia="黑体"/>
                <w:b/>
                <w:sz w:val="24"/>
                <w:szCs w:val="24"/>
              </w:rPr>
              <w:t>纳税人识别号：</w:t>
            </w:r>
            <w:r>
              <w:rPr>
                <w:rFonts w:hint="eastAsia" w:ascii="黑体" w:hAnsi="黑体" w:eastAsia="黑体" w:cs="Arial"/>
                <w:b/>
                <w:sz w:val="24"/>
                <w:szCs w:val="24"/>
                <w:u w:val="single"/>
              </w:rPr>
              <w:t xml:space="preserve">       </w:t>
            </w:r>
            <w:r>
              <w:rPr>
                <w:rFonts w:hint="eastAsia" w:ascii="黑体" w:hAnsi="黑体" w:eastAsia="黑体"/>
                <w:b/>
                <w:sz w:val="24"/>
                <w:szCs w:val="24"/>
              </w:rPr>
              <w:t xml:space="preserve"> </w:t>
            </w:r>
          </w:p>
        </w:tc>
      </w:tr>
    </w:tbl>
    <w:p w14:paraId="42E07B33">
      <w:pPr>
        <w:spacing w:line="360" w:lineRule="auto"/>
        <w:rPr>
          <w:rFonts w:ascii="宋体" w:hAnsi="宋体" w:cs="Arial"/>
          <w:b/>
          <w:bCs/>
          <w:sz w:val="24"/>
          <w:szCs w:val="24"/>
        </w:rPr>
      </w:pPr>
    </w:p>
    <w:p w14:paraId="7363E457">
      <w:pPr>
        <w:rPr>
          <w:rFonts w:hint="eastAsia"/>
          <w:lang w:val="en-US" w:eastAsia="zh-CN"/>
        </w:rPr>
      </w:pPr>
    </w:p>
    <w:sectPr>
      <w:headerReference r:id="rId4" w:type="default"/>
      <w:footerReference r:id="rId5" w:type="default"/>
      <w:pgSz w:w="11906" w:h="16838"/>
      <w:pgMar w:top="737" w:right="1134" w:bottom="737" w:left="1134" w:header="851" w:footer="720" w:gutter="0"/>
      <w:pgBorders>
        <w:top w:val="none" w:sz="0" w:space="0"/>
        <w:left w:val="none" w:sz="0" w:space="0"/>
        <w:bottom w:val="none" w:sz="0" w:space="0"/>
        <w:right w:val="none" w:sz="0" w:space="0"/>
      </w:pgBorders>
      <w:pgNumType w:start="1"/>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5944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3EC3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B3EC3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E9F0E">
    <w:pPr>
      <w:pStyle w:val="5"/>
      <w:jc w:val="center"/>
      <w:rPr>
        <w:rFonts w:eastAsia="宋体"/>
        <w:sz w:val="15"/>
        <w:szCs w:val="15"/>
      </w:rPr>
    </w:pPr>
    <w:r>
      <w:rPr>
        <w:rFonts w:hint="eastAsia" w:eastAsia="宋体"/>
      </w:rPr>
      <w:t xml:space="preserve">                                           </w:t>
    </w:r>
    <w:r>
      <w:fldChar w:fldCharType="begin"/>
    </w:r>
    <w:r>
      <w:instrText xml:space="preserve">PAGE   \* MERGEFORMAT</w:instrText>
    </w:r>
    <w:r>
      <w:fldChar w:fldCharType="separate"/>
    </w:r>
    <w:r>
      <w:rPr>
        <w:lang w:val="zh-CN"/>
      </w:rPr>
      <w:t>3</w:t>
    </w:r>
    <w:r>
      <w:rPr>
        <w:lang w:val="zh-CN"/>
      </w:rPr>
      <w:fldChar w:fldCharType="end"/>
    </w:r>
    <w:r>
      <w:rPr>
        <w:rFonts w:hint="eastAsia" w:eastAsia="宋体"/>
      </w:rPr>
      <w:t xml:space="preserve">                    </w:t>
    </w:r>
    <w:r>
      <w:rPr>
        <w:rFonts w:hint="eastAsia" w:eastAsia="宋体"/>
        <w:sz w:val="15"/>
        <w:szCs w:val="15"/>
      </w:rPr>
      <w:t>南京禄口国际机场空港科技有限公司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8044B">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01045"/>
    <w:multiLevelType w:val="singleLevel"/>
    <w:tmpl w:val="57E0104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2NTY1YzJkY2EzM2RjMzRkZWQzNWE1ZGE3NDY3NWUifQ=="/>
  </w:docVars>
  <w:rsids>
    <w:rsidRoot w:val="002B10A7"/>
    <w:rsid w:val="002B10A7"/>
    <w:rsid w:val="0054437A"/>
    <w:rsid w:val="00626977"/>
    <w:rsid w:val="009A4DEA"/>
    <w:rsid w:val="00B161F1"/>
    <w:rsid w:val="00BC3B05"/>
    <w:rsid w:val="00E367B4"/>
    <w:rsid w:val="00FA294D"/>
    <w:rsid w:val="00FB179F"/>
    <w:rsid w:val="00FC22FE"/>
    <w:rsid w:val="012944F0"/>
    <w:rsid w:val="014C7CE8"/>
    <w:rsid w:val="01635C49"/>
    <w:rsid w:val="017E696D"/>
    <w:rsid w:val="02145195"/>
    <w:rsid w:val="02301FCF"/>
    <w:rsid w:val="0278078C"/>
    <w:rsid w:val="02E50728"/>
    <w:rsid w:val="078F69E9"/>
    <w:rsid w:val="08E150F4"/>
    <w:rsid w:val="0AC534D0"/>
    <w:rsid w:val="0ACC0D02"/>
    <w:rsid w:val="0AED4AF2"/>
    <w:rsid w:val="0B41349E"/>
    <w:rsid w:val="0C6A07D3"/>
    <w:rsid w:val="0D7B4129"/>
    <w:rsid w:val="0E5350E3"/>
    <w:rsid w:val="0F5D5730"/>
    <w:rsid w:val="10234F21"/>
    <w:rsid w:val="103575C1"/>
    <w:rsid w:val="115D0906"/>
    <w:rsid w:val="11DA5AB3"/>
    <w:rsid w:val="121F524D"/>
    <w:rsid w:val="134A2256"/>
    <w:rsid w:val="16041350"/>
    <w:rsid w:val="19E03E83"/>
    <w:rsid w:val="1A24794A"/>
    <w:rsid w:val="1B28788F"/>
    <w:rsid w:val="1CE4012E"/>
    <w:rsid w:val="1D8138E1"/>
    <w:rsid w:val="1F7A2683"/>
    <w:rsid w:val="20DD321B"/>
    <w:rsid w:val="21C61BB0"/>
    <w:rsid w:val="22243E0C"/>
    <w:rsid w:val="22250FCC"/>
    <w:rsid w:val="2406098A"/>
    <w:rsid w:val="24AD59F2"/>
    <w:rsid w:val="260C00C4"/>
    <w:rsid w:val="282E28F9"/>
    <w:rsid w:val="28BF2A3E"/>
    <w:rsid w:val="294C2226"/>
    <w:rsid w:val="294C32E2"/>
    <w:rsid w:val="2A316D5D"/>
    <w:rsid w:val="2AE9690F"/>
    <w:rsid w:val="2B9920E3"/>
    <w:rsid w:val="2B9F0C5F"/>
    <w:rsid w:val="2BCF2865"/>
    <w:rsid w:val="2CDC31E2"/>
    <w:rsid w:val="2E0B7092"/>
    <w:rsid w:val="2E3210E4"/>
    <w:rsid w:val="2EA6515C"/>
    <w:rsid w:val="2FB120F1"/>
    <w:rsid w:val="30E821AF"/>
    <w:rsid w:val="3104623F"/>
    <w:rsid w:val="322A2FB9"/>
    <w:rsid w:val="32DC0FAC"/>
    <w:rsid w:val="331F412B"/>
    <w:rsid w:val="336652EF"/>
    <w:rsid w:val="33E175A0"/>
    <w:rsid w:val="34A92764"/>
    <w:rsid w:val="35851A01"/>
    <w:rsid w:val="365C5659"/>
    <w:rsid w:val="37096EB0"/>
    <w:rsid w:val="370E7563"/>
    <w:rsid w:val="377F0AA2"/>
    <w:rsid w:val="37E6017D"/>
    <w:rsid w:val="37F01A66"/>
    <w:rsid w:val="38133FA2"/>
    <w:rsid w:val="39276F80"/>
    <w:rsid w:val="3A7D6FCD"/>
    <w:rsid w:val="3A971EE4"/>
    <w:rsid w:val="3B060054"/>
    <w:rsid w:val="3BB93C18"/>
    <w:rsid w:val="3D85630A"/>
    <w:rsid w:val="41B11ADD"/>
    <w:rsid w:val="42880842"/>
    <w:rsid w:val="43B9431B"/>
    <w:rsid w:val="43CC51CD"/>
    <w:rsid w:val="46382D6C"/>
    <w:rsid w:val="46B1043E"/>
    <w:rsid w:val="48C70BD8"/>
    <w:rsid w:val="49487872"/>
    <w:rsid w:val="499B6B7C"/>
    <w:rsid w:val="4A2D016F"/>
    <w:rsid w:val="4A3D6149"/>
    <w:rsid w:val="4AF41787"/>
    <w:rsid w:val="4BC81014"/>
    <w:rsid w:val="4BF83138"/>
    <w:rsid w:val="4C3346A1"/>
    <w:rsid w:val="4CA5538E"/>
    <w:rsid w:val="4E4640FD"/>
    <w:rsid w:val="50EC0254"/>
    <w:rsid w:val="51AF590D"/>
    <w:rsid w:val="532E1C99"/>
    <w:rsid w:val="53446DA8"/>
    <w:rsid w:val="53CA1C02"/>
    <w:rsid w:val="541E59ED"/>
    <w:rsid w:val="54AD25D8"/>
    <w:rsid w:val="54F90545"/>
    <w:rsid w:val="55D25BB9"/>
    <w:rsid w:val="58964825"/>
    <w:rsid w:val="5A2E46EA"/>
    <w:rsid w:val="5B512FA9"/>
    <w:rsid w:val="5C626C78"/>
    <w:rsid w:val="5CB343B5"/>
    <w:rsid w:val="5D264449"/>
    <w:rsid w:val="5D27671A"/>
    <w:rsid w:val="5D793204"/>
    <w:rsid w:val="5E1E3CAF"/>
    <w:rsid w:val="5E3653EC"/>
    <w:rsid w:val="5F421E8D"/>
    <w:rsid w:val="602837E7"/>
    <w:rsid w:val="607664FC"/>
    <w:rsid w:val="60B60EA5"/>
    <w:rsid w:val="60BB5D97"/>
    <w:rsid w:val="614926BE"/>
    <w:rsid w:val="61DC10EB"/>
    <w:rsid w:val="620F53D7"/>
    <w:rsid w:val="640C3B9C"/>
    <w:rsid w:val="64AB30F0"/>
    <w:rsid w:val="656478DF"/>
    <w:rsid w:val="662D5327"/>
    <w:rsid w:val="66D46B5D"/>
    <w:rsid w:val="69792EBA"/>
    <w:rsid w:val="6BE836E6"/>
    <w:rsid w:val="6C6967BA"/>
    <w:rsid w:val="6C6C22EE"/>
    <w:rsid w:val="6C9A3FDC"/>
    <w:rsid w:val="6D480C98"/>
    <w:rsid w:val="6D5E1A98"/>
    <w:rsid w:val="6D9A17B5"/>
    <w:rsid w:val="6E1A1EB5"/>
    <w:rsid w:val="6E1D0C30"/>
    <w:rsid w:val="71381023"/>
    <w:rsid w:val="721B7E4A"/>
    <w:rsid w:val="72C75245"/>
    <w:rsid w:val="72F76BD8"/>
    <w:rsid w:val="74574432"/>
    <w:rsid w:val="74A82012"/>
    <w:rsid w:val="759568B3"/>
    <w:rsid w:val="760F4515"/>
    <w:rsid w:val="78743147"/>
    <w:rsid w:val="797A3F30"/>
    <w:rsid w:val="7C1527A8"/>
    <w:rsid w:val="7C896BD7"/>
    <w:rsid w:val="7C98515D"/>
    <w:rsid w:val="7EB13F5A"/>
    <w:rsid w:val="7F361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1"/>
    <w:rPr>
      <w:lang w:val="zh-CN"/>
    </w:rPr>
  </w:style>
  <w:style w:type="paragraph" w:styleId="4">
    <w:name w:val="Body Text Indent 2"/>
    <w:basedOn w:val="1"/>
    <w:qFormat/>
    <w:uiPriority w:val="0"/>
    <w:pPr>
      <w:spacing w:after="120" w:line="480" w:lineRule="auto"/>
      <w:ind w:left="42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paragraph" w:styleId="8">
    <w:name w:val="Title"/>
    <w:basedOn w:val="1"/>
    <w:next w:val="1"/>
    <w:qFormat/>
    <w:uiPriority w:val="0"/>
    <w:pPr>
      <w:widowControl w:val="0"/>
      <w:spacing w:before="240" w:after="60"/>
      <w:jc w:val="center"/>
      <w:outlineLvl w:val="0"/>
    </w:pPr>
    <w:rPr>
      <w:rFonts w:ascii="Cambria" w:hAnsi="Cambria"/>
      <w:b/>
      <w:bCs/>
      <w:color w:val="auto"/>
      <w:kern w:val="2"/>
      <w:sz w:val="32"/>
      <w:szCs w:val="32"/>
    </w:rPr>
  </w:style>
  <w:style w:type="paragraph" w:styleId="9">
    <w:name w:val="Body Text First Indent"/>
    <w:basedOn w:val="1"/>
    <w:unhideWhenUsed/>
    <w:qFormat/>
    <w:uiPriority w:val="0"/>
    <w:pPr>
      <w:ind w:firstLine="420" w:firstLineChars="100"/>
    </w:pPr>
  </w:style>
  <w:style w:type="character" w:customStyle="1" w:styleId="12">
    <w:name w:val="页眉 字符"/>
    <w:basedOn w:val="11"/>
    <w:link w:val="6"/>
    <w:qFormat/>
    <w:uiPriority w:val="99"/>
    <w:rPr>
      <w:sz w:val="18"/>
      <w:szCs w:val="18"/>
    </w:rPr>
  </w:style>
  <w:style w:type="character" w:customStyle="1" w:styleId="13">
    <w:name w:val="页脚 字符"/>
    <w:basedOn w:val="11"/>
    <w:link w:val="5"/>
    <w:qFormat/>
    <w:uiPriority w:val="99"/>
    <w:rPr>
      <w:sz w:val="18"/>
      <w:szCs w:val="18"/>
    </w:rPr>
  </w:style>
  <w:style w:type="paragraph" w:customStyle="1" w:styleId="14">
    <w:name w:val="Table Paragraph"/>
    <w:basedOn w:val="1"/>
    <w:qFormat/>
    <w:uiPriority w:val="1"/>
    <w:rPr>
      <w:rFonts w:ascii="宋体" w:hAnsi="宋体" w:eastAsia="宋体" w:cs="宋体"/>
    </w:rPr>
  </w:style>
  <w:style w:type="character" w:customStyle="1" w:styleId="15">
    <w:name w:val="标题 1 字符"/>
    <w:basedOn w:val="11"/>
    <w:link w:val="2"/>
    <w:qFormat/>
    <w:uiPriority w:val="9"/>
    <w:rPr>
      <w:b/>
      <w:bCs/>
      <w:kern w:val="44"/>
      <w:sz w:val="44"/>
      <w:szCs w:val="44"/>
    </w:rPr>
  </w:style>
  <w:style w:type="character" w:customStyle="1" w:styleId="16">
    <w:name w:val="font41"/>
    <w:basedOn w:val="11"/>
    <w:qFormat/>
    <w:uiPriority w:val="0"/>
    <w:rPr>
      <w:rFonts w:hint="eastAsia" w:ascii="宋体" w:hAnsi="宋体" w:eastAsia="宋体" w:cs="宋体"/>
      <w:color w:val="000000"/>
      <w:sz w:val="20"/>
      <w:szCs w:val="20"/>
      <w:u w:val="none"/>
    </w:rPr>
  </w:style>
  <w:style w:type="paragraph" w:styleId="17">
    <w:name w:val="No Spacing"/>
    <w:qFormat/>
    <w:uiPriority w:val="1"/>
    <w:rPr>
      <w:rFonts w:ascii="Times New Roman" w:hAnsi="Times New Roman" w:eastAsia="宋体" w:cs="Times New Roman"/>
      <w:color w:val="000000"/>
      <w:kern w:val="1"/>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5857</Words>
  <Characters>6161</Characters>
  <Lines>14</Lines>
  <Paragraphs>4</Paragraphs>
  <TotalTime>12</TotalTime>
  <ScaleCrop>false</ScaleCrop>
  <LinksUpToDate>false</LinksUpToDate>
  <CharactersWithSpaces>6765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2023-08-09T08:19:00Z</dcterms:created>
  <dc:creator>cong wang</dc:creator>
  <cp:lastModifiedBy>苏荣</cp:lastModifiedBy>
  <dcterms:modified xsi:type="dcterms:W3CDTF">2025-12-08T06:41:03Z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BE968D4346B74AB2B2AE00FA6ED8734A</vt:lpwstr>
  </property>
  <property fmtid="{D5CDD505-2E9C-101B-9397-08002B2CF9AE}" pid="4" name="KSOTemplateDocerSaveRecord">
    <vt:lpwstr>eyJoZGlkIjoiNjA2NTY1YzJkY2EzM2RjMzRkZWQzNWE1ZGE3NDY3NWUiLCJ1c2VySWQiOiIzMjYyMzMyMTAifQ==</vt:lpwstr>
  </property>
</Properties>
</file>