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sz w:val="28"/>
          <w:szCs w:val="28"/>
        </w:rPr>
      </w:pPr>
    </w:p>
    <w:p w14:paraId="5EE28049">
      <w:pPr>
        <w:kinsoku/>
        <w:wordWrap/>
        <w:overflowPunct/>
        <w:topLinePunct w:val="0"/>
        <w:bidi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拟通过自主招标方式采</w:t>
      </w:r>
      <w:r>
        <w:rPr>
          <w:rFonts w:hint="eastAsia" w:ascii="宋体" w:hAnsi="宋体" w:eastAsia="宋体" w:cs="宋体"/>
          <w:szCs w:val="21"/>
          <w:lang w:val="en-US" w:eastAsia="zh-CN"/>
        </w:rPr>
        <w:t>购联想的设备一批</w:t>
      </w:r>
      <w:r>
        <w:rPr>
          <w:rFonts w:hint="eastAsia" w:ascii="宋体" w:hAnsi="宋体" w:eastAsia="宋体" w:cs="宋体"/>
          <w:szCs w:val="21"/>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szCs w:val="21"/>
        </w:rPr>
      </w:pPr>
      <w:r>
        <w:rPr>
          <w:rFonts w:hint="eastAsia" w:ascii="宋体" w:hAnsi="宋体" w:eastAsia="宋体" w:cs="宋体"/>
          <w:b/>
          <w:szCs w:val="21"/>
        </w:rPr>
        <w:t>招标项目内容：</w:t>
      </w:r>
    </w:p>
    <w:p w14:paraId="19FF5A52">
      <w:pPr>
        <w:kinsoku/>
        <w:wordWrap/>
        <w:overflowPunct/>
        <w:topLinePunct w:val="0"/>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lang w:val="en-US" w:eastAsia="zh-CN"/>
        </w:rPr>
        <w:t>为设备</w:t>
      </w:r>
      <w:r>
        <w:rPr>
          <w:rFonts w:hint="eastAsia" w:ascii="宋体" w:hAnsi="宋体" w:eastAsia="宋体" w:cs="宋体"/>
          <w:szCs w:val="21"/>
        </w:rPr>
        <w:t>采购招标。中标人应按照供货时间要求提供</w:t>
      </w:r>
      <w:r>
        <w:rPr>
          <w:rFonts w:hint="eastAsia" w:ascii="宋体" w:hAnsi="宋体" w:eastAsia="宋体" w:cs="宋体"/>
          <w:szCs w:val="21"/>
          <w:lang w:val="en-US" w:eastAsia="zh-CN"/>
        </w:rPr>
        <w:t>设备</w:t>
      </w:r>
      <w:r>
        <w:rPr>
          <w:rFonts w:hint="eastAsia" w:ascii="宋体" w:hAnsi="宋体" w:eastAsia="宋体" w:cs="宋体"/>
          <w:szCs w:val="21"/>
        </w:rPr>
        <w:t>，</w:t>
      </w:r>
      <w:r>
        <w:rPr>
          <w:rFonts w:hint="eastAsia" w:ascii="宋体" w:hAnsi="宋体" w:eastAsia="宋体" w:cs="宋体"/>
          <w:szCs w:val="21"/>
          <w:lang w:val="en-US" w:eastAsia="zh-CN"/>
        </w:rPr>
        <w:t>设备规格型号必须完全符合招标人要求，</w:t>
      </w:r>
      <w:r>
        <w:rPr>
          <w:rFonts w:hint="eastAsia" w:ascii="宋体" w:hAnsi="宋体" w:eastAsia="宋体" w:cs="宋体"/>
          <w:szCs w:val="21"/>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22.7</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运费、安装、调试等全部费用</w:t>
      </w:r>
      <w:r>
        <w:rPr>
          <w:rFonts w:hint="eastAsia" w:ascii="宋体" w:hAnsi="宋体" w:eastAsia="宋体" w:cs="宋体"/>
          <w:szCs w:val="21"/>
          <w:highlight w:val="none"/>
        </w:rPr>
        <w:t>）。</w:t>
      </w:r>
    </w:p>
    <w:p w14:paraId="36733B9B">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5A15D911">
      <w:pPr>
        <w:widowControl/>
        <w:spacing w:line="360" w:lineRule="auto"/>
        <w:jc w:val="left"/>
        <w:textAlignment w:val="center"/>
        <w:rPr>
          <w:rFonts w:hint="eastAsia" w:ascii="宋体" w:hAnsi="宋体" w:eastAsia="宋体" w:cs="宋体"/>
          <w:color w:val="FF0000"/>
          <w:szCs w:val="21"/>
          <w:highlight w:val="none"/>
        </w:rPr>
      </w:pPr>
      <w:r>
        <w:rPr>
          <w:rFonts w:hint="eastAsia" w:ascii="宋体" w:hAnsi="宋体" w:eastAsia="宋体" w:cs="宋体"/>
          <w:szCs w:val="21"/>
          <w:highlight w:val="none"/>
        </w:rPr>
        <w:t>1</w:t>
      </w:r>
      <w:r>
        <w:rPr>
          <w:rFonts w:hint="eastAsia" w:ascii="宋体" w:hAnsi="宋体" w:eastAsia="宋体" w:cs="宋体"/>
          <w:szCs w:val="21"/>
        </w:rPr>
        <w:t>、</w:t>
      </w:r>
      <w:r>
        <w:rPr>
          <w:rFonts w:hint="eastAsia" w:ascii="宋体" w:hAnsi="宋体" w:eastAsia="宋体" w:cs="宋体"/>
          <w:szCs w:val="21"/>
          <w:highlight w:val="none"/>
        </w:rPr>
        <w:t>投标人须是中华人民共和国境内正式注册并具有有效独立法人资格的法人</w:t>
      </w:r>
      <w:r>
        <w:rPr>
          <w:rFonts w:hint="eastAsia" w:ascii="宋体" w:hAnsi="宋体" w:eastAsia="宋体" w:cs="宋体"/>
          <w:szCs w:val="21"/>
          <w:highlight w:val="none"/>
          <w:lang w:eastAsia="zh-CN"/>
        </w:rPr>
        <w:t>，</w:t>
      </w:r>
      <w:r>
        <w:rPr>
          <w:rFonts w:hint="eastAsia" w:ascii="宋体" w:hAnsi="宋体" w:eastAsia="宋体" w:cs="宋体"/>
          <w:color w:val="auto"/>
          <w:kern w:val="2"/>
          <w:sz w:val="21"/>
          <w:szCs w:val="21"/>
          <w:highlight w:val="none"/>
        </w:rPr>
        <w:t>投标人注册资金不得少于</w:t>
      </w:r>
      <w:r>
        <w:rPr>
          <w:rFonts w:hint="eastAsia" w:ascii="宋体" w:hAnsi="宋体" w:eastAsia="宋体" w:cs="宋体"/>
          <w:color w:val="auto"/>
          <w:kern w:val="2"/>
          <w:sz w:val="21"/>
          <w:szCs w:val="21"/>
          <w:highlight w:val="none"/>
          <w:lang w:val="en-US" w:eastAsia="zh-CN"/>
        </w:rPr>
        <w:t>50</w:t>
      </w:r>
      <w:r>
        <w:rPr>
          <w:rFonts w:hint="eastAsia" w:ascii="宋体" w:hAnsi="宋体" w:eastAsia="宋体" w:cs="宋体"/>
          <w:color w:val="auto"/>
          <w:kern w:val="2"/>
          <w:sz w:val="21"/>
          <w:szCs w:val="21"/>
          <w:highlight w:val="none"/>
        </w:rPr>
        <w:t>万元</w:t>
      </w:r>
      <w:r>
        <w:rPr>
          <w:rFonts w:hint="eastAsia" w:ascii="宋体" w:hAnsi="宋体" w:eastAsia="宋体" w:cs="宋体"/>
          <w:szCs w:val="21"/>
          <w:highlight w:val="none"/>
        </w:rPr>
        <w:t>。（需提供加</w:t>
      </w:r>
      <w:r>
        <w:rPr>
          <w:rFonts w:hint="eastAsia" w:ascii="宋体" w:hAnsi="宋体" w:eastAsia="宋体" w:cs="宋体"/>
          <w:color w:val="auto"/>
          <w:szCs w:val="21"/>
          <w:highlight w:val="none"/>
        </w:rPr>
        <w:t>盖公章的营业执照复印件）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w:t>
      </w:r>
      <w:r>
        <w:rPr>
          <w:rFonts w:hint="eastAsia" w:ascii="宋体" w:hAnsi="宋体" w:eastAsia="宋体" w:cs="宋体"/>
          <w:szCs w:val="21"/>
        </w:rPr>
        <w:t>、</w:t>
      </w:r>
      <w:r>
        <w:rPr>
          <w:rFonts w:hint="eastAsia" w:ascii="宋体" w:hAnsi="宋体" w:eastAsia="宋体" w:cs="宋体"/>
          <w:color w:val="auto"/>
          <w:szCs w:val="21"/>
          <w:highlight w:val="none"/>
        </w:rPr>
        <w:t>投标人须提供202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年1月1日至本公告发布之日止本次采购类似</w:t>
      </w:r>
      <w:r>
        <w:rPr>
          <w:rFonts w:hint="eastAsia" w:ascii="宋体" w:hAnsi="宋体" w:eastAsia="宋体" w:cs="宋体"/>
          <w:color w:val="auto"/>
          <w:szCs w:val="21"/>
          <w:highlight w:val="none"/>
          <w:lang w:val="en-US" w:eastAsia="zh-CN"/>
        </w:rPr>
        <w:t>供货合同</w:t>
      </w:r>
      <w:r>
        <w:rPr>
          <w:rFonts w:hint="eastAsia" w:ascii="宋体" w:hAnsi="宋体" w:eastAsia="宋体" w:cs="宋体"/>
          <w:color w:val="auto"/>
          <w:szCs w:val="21"/>
          <w:highlight w:val="none"/>
        </w:rPr>
        <w:t>。（提供加盖公章的合同复印件，原件备查）。</w:t>
      </w:r>
    </w:p>
    <w:p w14:paraId="2D68B477">
      <w:pPr>
        <w:pStyle w:val="15"/>
        <w:widowControl/>
        <w:shd w:val="clear" w:color="auto" w:fill="FFFFFF"/>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r>
        <w:rPr>
          <w:rFonts w:hint="eastAsia" w:ascii="宋体" w:hAnsi="宋体" w:eastAsia="宋体" w:cs="宋体"/>
          <w:szCs w:val="21"/>
        </w:rPr>
        <w:t>、</w:t>
      </w:r>
      <w:r>
        <w:rPr>
          <w:rFonts w:hint="eastAsia" w:ascii="宋体" w:hAnsi="宋体" w:eastAsia="宋体" w:cs="宋体"/>
          <w:kern w:val="2"/>
          <w:sz w:val="21"/>
          <w:szCs w:val="21"/>
          <w:highlight w:val="none"/>
        </w:rPr>
        <w:t>投标人须信誉良好，在经营活动中没有严重违法记录，在“国家企业信用信息公示系统”网站没有被列入严重违法失信企业名单（黑名单）查询结果截图，“黑名单”栏显示为0条记录，加盖投标人公章。若结果截图显示“查询不到该企业”，视同未被列入严重违法失信企业名单）；</w:t>
      </w:r>
    </w:p>
    <w:p w14:paraId="39502224">
      <w:pPr>
        <w:pStyle w:val="15"/>
        <w:widowControl/>
        <w:shd w:val="clear" w:color="auto" w:fill="FFFFFF"/>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w:t>
      </w:r>
      <w:r>
        <w:rPr>
          <w:rFonts w:hint="eastAsia" w:ascii="宋体" w:hAnsi="宋体" w:eastAsia="宋体" w:cs="宋体"/>
          <w:szCs w:val="21"/>
        </w:rPr>
        <w:t>、</w:t>
      </w:r>
      <w:r>
        <w:rPr>
          <w:rFonts w:hint="eastAsia" w:ascii="宋体" w:hAnsi="宋体" w:eastAsia="宋体" w:cs="宋体"/>
          <w:kern w:val="2"/>
          <w:sz w:val="21"/>
          <w:szCs w:val="21"/>
          <w:highlight w:val="none"/>
          <w:lang w:val="en-US" w:eastAsia="zh-CN"/>
        </w:rPr>
        <w:t>提供近一年来公司财务报表（负债表、现金流、利润表）或审计报告、人员社保证明和履约承诺函。</w:t>
      </w:r>
    </w:p>
    <w:p w14:paraId="346800CF">
      <w:pPr>
        <w:pStyle w:val="15"/>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投标人需是原厂制造商或授权代理商，并提供质保承诺书。</w:t>
      </w:r>
    </w:p>
    <w:p w14:paraId="701B71B2">
      <w:pPr>
        <w:pStyle w:val="15"/>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 xml:space="preserve"> 本项目不接受联合体投标。</w:t>
      </w:r>
    </w:p>
    <w:p w14:paraId="1ED9BAF0">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二、报价方式：</w:t>
      </w:r>
    </w:p>
    <w:p w14:paraId="22B82A2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637FC21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软件开发项数量如有所变化，在合同单价不变的基础上，招标人可对所增加或减少的产品作相应的费用调整。投标文件中的漏项，投标人必须按要求实施，但费用不增加。</w:t>
      </w:r>
    </w:p>
    <w:p w14:paraId="363B804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b w:val="0"/>
          <w:bCs w:val="0"/>
          <w:szCs w:val="21"/>
        </w:rPr>
        <w:t>投标人的投标报价不得超过最高投标限价总价，否则投标将被否决</w:t>
      </w:r>
      <w:r>
        <w:rPr>
          <w:rFonts w:hint="eastAsia" w:ascii="宋体" w:hAnsi="宋体" w:eastAsia="宋体" w:cs="宋体"/>
          <w:szCs w:val="21"/>
        </w:rPr>
        <w:t>。</w:t>
      </w:r>
    </w:p>
    <w:p w14:paraId="79EA62A6">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三、其它说明</w:t>
      </w:r>
    </w:p>
    <w:p w14:paraId="5F11467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w:t>
      </w:r>
    </w:p>
    <w:p w14:paraId="3255D7B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szCs w:val="21"/>
          <w:lang w:val="en-US" w:eastAsia="zh-CN"/>
        </w:rPr>
      </w:pPr>
      <w:r>
        <w:rPr>
          <w:rFonts w:hint="eastAsia" w:ascii="宋体" w:hAnsi="宋体" w:eastAsia="宋体" w:cs="宋体"/>
          <w:szCs w:val="21"/>
        </w:rPr>
        <w:t>3、投标人应对</w:t>
      </w:r>
      <w:r>
        <w:rPr>
          <w:rFonts w:hint="eastAsia" w:ascii="宋体" w:hAnsi="宋体" w:eastAsia="宋体" w:cs="宋体"/>
          <w:szCs w:val="21"/>
          <w:lang w:val="en-US" w:eastAsia="zh-CN"/>
        </w:rPr>
        <w:t>设备</w:t>
      </w:r>
      <w:r>
        <w:rPr>
          <w:rFonts w:hint="eastAsia" w:ascii="宋体" w:hAnsi="宋体" w:eastAsia="宋体" w:cs="宋体"/>
          <w:szCs w:val="21"/>
        </w:rPr>
        <w:t>提供</w:t>
      </w:r>
      <w:r>
        <w:rPr>
          <w:rFonts w:hint="eastAsia" w:ascii="宋体" w:hAnsi="宋体" w:eastAsia="宋体" w:cs="宋体"/>
          <w:color w:val="444444"/>
          <w:sz w:val="24"/>
          <w:shd w:val="clear" w:color="auto" w:fill="FFFFFF"/>
          <w:lang w:val="en-US" w:eastAsia="zh-CN"/>
        </w:rPr>
        <w:t>3</w:t>
      </w:r>
      <w:r>
        <w:rPr>
          <w:rFonts w:hint="eastAsia" w:ascii="宋体" w:hAnsi="宋体" w:eastAsia="宋体" w:cs="宋体"/>
          <w:szCs w:val="21"/>
        </w:rPr>
        <w:t>年质保，质保期自</w:t>
      </w:r>
      <w:r>
        <w:rPr>
          <w:rFonts w:hint="eastAsia" w:ascii="宋体" w:hAnsi="宋体" w:eastAsia="宋体" w:cs="宋体"/>
          <w:szCs w:val="21"/>
          <w:lang w:val="en-US" w:eastAsia="zh-CN"/>
        </w:rPr>
        <w:t>终验验收合格</w:t>
      </w:r>
      <w:r>
        <w:rPr>
          <w:rFonts w:hint="eastAsia" w:ascii="宋体" w:hAnsi="宋体" w:eastAsia="宋体" w:cs="宋体"/>
          <w:szCs w:val="21"/>
        </w:rPr>
        <w:t>之日起计算。</w:t>
      </w:r>
    </w:p>
    <w:p w14:paraId="13C363D3">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四</w:t>
      </w:r>
      <w:r>
        <w:rPr>
          <w:rFonts w:hint="eastAsia" w:ascii="宋体" w:hAnsi="宋体" w:eastAsia="宋体" w:cs="宋体"/>
          <w:b/>
          <w:szCs w:val="21"/>
        </w:rPr>
        <w:t>、交货时间、地点及相关费用：</w:t>
      </w:r>
    </w:p>
    <w:p w14:paraId="53655A6C">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1、交货地点：</w:t>
      </w:r>
      <w:r>
        <w:rPr>
          <w:rFonts w:hint="eastAsia" w:ascii="宋体" w:hAnsi="宋体" w:eastAsia="宋体" w:cs="宋体"/>
          <w:szCs w:val="21"/>
          <w:lang w:val="en-US" w:eastAsia="zh-CN"/>
        </w:rPr>
        <w:t>南京机场</w:t>
      </w:r>
      <w:r>
        <w:rPr>
          <w:rFonts w:hint="eastAsia" w:ascii="宋体" w:hAnsi="宋体" w:eastAsia="宋体" w:cs="宋体"/>
          <w:szCs w:val="21"/>
        </w:rPr>
        <w:t>。</w:t>
      </w:r>
    </w:p>
    <w:p w14:paraId="218E634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2、交货时间：</w:t>
      </w:r>
      <w:r>
        <w:rPr>
          <w:rFonts w:hint="eastAsia" w:ascii="宋体" w:hAnsi="宋体" w:eastAsia="宋体" w:cs="宋体"/>
          <w:szCs w:val="21"/>
          <w:lang w:val="en-US" w:eastAsia="zh-CN"/>
        </w:rPr>
        <w:t>以合同签订为主</w:t>
      </w:r>
      <w:r>
        <w:rPr>
          <w:rFonts w:hint="eastAsia" w:ascii="宋体" w:hAnsi="宋体" w:eastAsia="宋体" w:cs="宋体"/>
          <w:szCs w:val="21"/>
        </w:rPr>
        <w:t>。</w:t>
      </w:r>
    </w:p>
    <w:p w14:paraId="592C2227">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五</w:t>
      </w:r>
      <w:r>
        <w:rPr>
          <w:rFonts w:hint="eastAsia" w:ascii="宋体" w:hAnsi="宋体" w:eastAsia="宋体" w:cs="宋体"/>
          <w:b/>
          <w:szCs w:val="21"/>
        </w:rPr>
        <w:t>、评标方法：</w:t>
      </w:r>
    </w:p>
    <w:p w14:paraId="24897520">
      <w:pPr>
        <w:pStyle w:val="22"/>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本项目采用合理最低价中标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、投标文件的递交</w:t>
      </w:r>
    </w:p>
    <w:p w14:paraId="59480CB1">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1、投标文件一式贰份（正本壹本、副本壹本），并明确表明“正本”和“副本”，正、副本如有不同之处，以正本为准，密封后加盖公章，否则无效。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2、投标人在收到招标文件后，若需答疑，应在投标文件的截止时间2天前向招标人以书面形式提出。</w:t>
      </w:r>
    </w:p>
    <w:p w14:paraId="0A30109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3、递交投标文件的截止时间为</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w:t>
      </w:r>
      <w:r>
        <w:rPr>
          <w:rFonts w:hint="eastAsia" w:ascii="宋体" w:hAnsi="宋体" w:eastAsia="宋体" w:cs="宋体"/>
          <w:szCs w:val="21"/>
          <w:lang w:val="en-US" w:eastAsia="zh-CN"/>
        </w:rPr>
        <w:t>14时</w:t>
      </w:r>
      <w:r>
        <w:rPr>
          <w:rFonts w:hint="eastAsia" w:ascii="宋体" w:hAnsi="宋体" w:eastAsia="宋体" w:cs="宋体"/>
          <w:szCs w:val="21"/>
        </w:rPr>
        <w:t>整，超过截止时间的投标文件将被拒收。</w:t>
      </w:r>
    </w:p>
    <w:p w14:paraId="23DD23A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4、投标文件可采用快递（顺丰或EMS）邮寄或送达我公司，投标书需盖章密封，并在信封上注明项目编号“</w:t>
      </w:r>
      <w:r>
        <w:rPr>
          <w:rFonts w:hint="eastAsia" w:ascii="宋体" w:hAnsi="宋体" w:eastAsia="宋体" w:cs="宋体"/>
          <w:szCs w:val="21"/>
          <w:lang w:val="en-US" w:eastAsia="zh-CN"/>
        </w:rPr>
        <w:t>KG2026-G002-ZB02</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lang w:val="en-US" w:eastAsia="zh-CN"/>
        </w:rPr>
        <w:t>邮寄地址：</w:t>
      </w:r>
      <w:r>
        <w:rPr>
          <w:rFonts w:hint="eastAsia" w:ascii="宋体" w:hAnsi="宋体" w:eastAsia="宋体" w:cs="宋体"/>
          <w:szCs w:val="21"/>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投标事宜的联系：</w:t>
      </w:r>
      <w:r>
        <w:rPr>
          <w:rFonts w:hint="eastAsia" w:ascii="宋体" w:hAnsi="宋体" w:eastAsia="宋体" w:cs="宋体"/>
          <w:szCs w:val="21"/>
          <w:lang w:val="en-US" w:eastAsia="zh-CN"/>
        </w:rPr>
        <w:t>唐工</w:t>
      </w:r>
      <w:r>
        <w:rPr>
          <w:rFonts w:hint="eastAsia" w:ascii="宋体" w:hAnsi="宋体" w:eastAsia="宋体" w:cs="宋体"/>
          <w:szCs w:val="21"/>
        </w:rPr>
        <w:t xml:space="preserve">  电话：025-69821257</w:t>
      </w:r>
    </w:p>
    <w:p w14:paraId="42B5058A">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w:t>
      </w:r>
      <w:r>
        <w:rPr>
          <w:rFonts w:hint="eastAsia" w:ascii="宋体" w:hAnsi="宋体" w:eastAsia="宋体" w:cs="宋体"/>
          <w:szCs w:val="21"/>
          <w:lang w:val="en-US" w:eastAsia="zh-CN"/>
        </w:rPr>
        <w:t>26</w:t>
      </w:r>
      <w:r>
        <w:rPr>
          <w:rFonts w:hint="eastAsia" w:ascii="宋体" w:hAnsi="宋体" w:eastAsia="宋体" w:cs="宋体"/>
          <w:szCs w:val="21"/>
        </w:rPr>
        <w:t>日</w:t>
      </w:r>
    </w:p>
    <w:p w14:paraId="1C67E9E2">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3452031D">
      <w:pPr>
        <w:kinsoku/>
        <w:wordWrap/>
        <w:overflowPunct/>
        <w:topLinePunct w:val="0"/>
        <w:bidi w:val="0"/>
        <w:snapToGrid w:val="0"/>
        <w:spacing w:line="360" w:lineRule="auto"/>
        <w:jc w:val="center"/>
        <w:rPr>
          <w:rFonts w:hint="eastAsia" w:ascii="宋体" w:hAnsi="宋体" w:eastAsia="宋体" w:cs="宋体"/>
          <w:szCs w:val="21"/>
        </w:rPr>
      </w:pPr>
    </w:p>
    <w:p w14:paraId="55FAF89F">
      <w:pPr>
        <w:numPr>
          <w:ilvl w:val="0"/>
          <w:numId w:val="4"/>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57043DBC">
      <w:pPr>
        <w:numPr>
          <w:ilvl w:val="0"/>
          <w:numId w:val="4"/>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68CEF54">
      <w:pPr>
        <w:numPr>
          <w:ilvl w:val="0"/>
          <w:numId w:val="4"/>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596CBA36">
      <w:pPr>
        <w:numPr>
          <w:ilvl w:val="0"/>
          <w:numId w:val="4"/>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228CF641">
      <w:pPr>
        <w:numPr>
          <w:ilvl w:val="0"/>
          <w:numId w:val="4"/>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lang w:val="en-US" w:eastAsia="zh-CN"/>
        </w:rPr>
        <w:t>履约承诺书（格式见附件四）</w:t>
      </w:r>
    </w:p>
    <w:p w14:paraId="009F0D9E">
      <w:pPr>
        <w:kinsoku/>
        <w:wordWrap/>
        <w:overflowPunct/>
        <w:topLinePunct w:val="0"/>
        <w:bidi w:val="0"/>
        <w:adjustRightInd w:val="0"/>
        <w:snapToGrid w:val="0"/>
        <w:spacing w:line="360" w:lineRule="auto"/>
        <w:rPr>
          <w:rFonts w:hint="eastAsia" w:ascii="宋体" w:hAnsi="宋体" w:eastAsia="宋体" w:cs="宋体"/>
          <w:snapToGrid w:val="0"/>
          <w:szCs w:val="21"/>
          <w:lang w:val="en-US" w:eastAsia="zh-CN"/>
        </w:rPr>
      </w:pP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napToGrid w:val="0"/>
          <w:szCs w:val="21"/>
          <w:lang w:val="en-US" w:eastAsia="zh-CN"/>
        </w:rPr>
        <w:t>业绩扫描件</w:t>
      </w:r>
    </w:p>
    <w:p w14:paraId="4DEEB45E">
      <w:pPr>
        <w:kinsoku/>
        <w:wordWrap/>
        <w:overflowPunct/>
        <w:topLinePunct w:val="0"/>
        <w:bidi w:val="0"/>
        <w:adjustRightInd w:val="0"/>
        <w:snapToGrid w:val="0"/>
        <w:spacing w:line="360" w:lineRule="auto"/>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6、合同模板（格式见附件五）,中标后合同条款有修改的需经双方协商一致。</w:t>
      </w:r>
    </w:p>
    <w:p w14:paraId="4AED18A8">
      <w:pPr>
        <w:pStyle w:val="4"/>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7、技术参数见附件六</w:t>
      </w:r>
    </w:p>
    <w:p w14:paraId="15F32652">
      <w:pPr>
        <w:pStyle w:val="3"/>
        <w:kinsoku/>
        <w:wordWrap/>
        <w:overflowPunct/>
        <w:topLinePunct w:val="0"/>
        <w:bidi w:val="0"/>
        <w:spacing w:line="360" w:lineRule="auto"/>
        <w:rPr>
          <w:rFonts w:hint="eastAsia" w:ascii="宋体" w:hAnsi="宋体" w:eastAsia="宋体" w:cs="宋体"/>
        </w:rPr>
      </w:pPr>
    </w:p>
    <w:p w14:paraId="7E1DB38C">
      <w:pPr>
        <w:kinsoku/>
        <w:wordWrap/>
        <w:overflowPunct/>
        <w:topLinePunct w:val="0"/>
        <w:bidi w:val="0"/>
        <w:spacing w:line="360" w:lineRule="auto"/>
        <w:rPr>
          <w:rFonts w:hint="eastAsia" w:ascii="宋体" w:hAnsi="宋体" w:eastAsia="宋体" w:cs="宋体"/>
          <w:snapToGrid w:val="0"/>
          <w:szCs w:val="21"/>
        </w:rPr>
      </w:pPr>
      <w:r>
        <w:rPr>
          <w:rFonts w:hint="eastAsia" w:ascii="宋体" w:hAnsi="宋体" w:eastAsia="宋体" w:cs="宋体"/>
          <w:snapToGrid w:val="0"/>
          <w:szCs w:val="21"/>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w:t>
      </w:r>
      <w:r>
        <w:rPr>
          <w:rFonts w:hint="eastAsia" w:ascii="宋体" w:hAnsi="宋体" w:eastAsia="宋体" w:cs="宋体"/>
          <w:b/>
          <w:bCs/>
          <w:highlight w:val="none"/>
          <w:lang w:val="en-US" w:eastAsia="zh-CN"/>
        </w:rPr>
        <w:t>南京禄口国际机场2号航站楼</w:t>
      </w:r>
      <w:r>
        <w:rPr>
          <w:rFonts w:hint="eastAsia" w:ascii="宋体" w:hAnsi="宋体" w:eastAsia="宋体" w:cs="宋体"/>
          <w:highlight w:val="none"/>
          <w:lang w:val="en-US" w:eastAsia="zh-CN"/>
        </w:rPr>
        <w:t>）招标文件的全部内容，愿意以人民币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795448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sectPr>
          <w:footerReference r:id="rId3" w:type="default"/>
          <w:pgSz w:w="11906" w:h="16838"/>
          <w:pgMar w:top="1270" w:right="1689" w:bottom="1270" w:left="1633" w:header="851" w:footer="992" w:gutter="0"/>
          <w:pgNumType w:fmt="decimal" w:start="1"/>
          <w:cols w:space="425" w:num="1"/>
          <w:docGrid w:type="lines" w:linePitch="312" w:charSpace="0"/>
        </w:sectPr>
      </w:pPr>
    </w:p>
    <w:p w14:paraId="5831FA22">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napToGrid w:val="0"/>
          <w:szCs w:val="21"/>
          <w:highlight w:val="none"/>
        </w:rPr>
      </w:pPr>
      <w:r>
        <w:rPr>
          <w:rFonts w:hint="eastAsia" w:ascii="宋体" w:hAnsi="宋体" w:eastAsia="宋体" w:cs="宋体"/>
          <w:b/>
          <w:bCs/>
          <w:highlight w:val="none"/>
          <w:lang w:val="en-US" w:eastAsia="zh-CN"/>
        </w:rPr>
        <w:t>附件三：</w:t>
      </w:r>
      <w:r>
        <w:rPr>
          <w:rFonts w:hint="eastAsia" w:ascii="宋体" w:hAnsi="宋体" w:eastAsia="宋体" w:cs="宋体"/>
          <w:b/>
          <w:bCs/>
          <w:snapToGrid w:val="0"/>
          <w:szCs w:val="21"/>
          <w:highlight w:val="none"/>
        </w:rPr>
        <w:t>报价一览表</w:t>
      </w:r>
    </w:p>
    <w:tbl>
      <w:tblPr>
        <w:tblStyle w:val="17"/>
        <w:tblW w:w="1330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211"/>
        <w:gridCol w:w="3762"/>
        <w:gridCol w:w="625"/>
        <w:gridCol w:w="722"/>
        <w:gridCol w:w="2636"/>
        <w:gridCol w:w="650"/>
        <w:gridCol w:w="650"/>
        <w:gridCol w:w="1079"/>
        <w:gridCol w:w="1328"/>
      </w:tblGrid>
      <w:tr w14:paraId="0398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B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B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C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主要参数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E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F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D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F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A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C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w:t>
            </w:r>
          </w:p>
        </w:tc>
      </w:tr>
      <w:tr w14:paraId="5C26F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7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5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应急抢修笔记本</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3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配置不低于联想ThinkBook 16p 2024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8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9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E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ThinkBook-16p</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C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E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D154">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E3A6">
            <w:pPr>
              <w:jc w:val="center"/>
              <w:rPr>
                <w:rFonts w:hint="eastAsia" w:ascii="宋体" w:hAnsi="宋体" w:eastAsia="宋体" w:cs="宋体"/>
                <w:i w:val="0"/>
                <w:iCs w:val="0"/>
                <w:color w:val="000000"/>
                <w:sz w:val="22"/>
                <w:szCs w:val="22"/>
                <w:u w:val="none"/>
              </w:rPr>
            </w:pPr>
          </w:p>
        </w:tc>
      </w:tr>
      <w:tr w14:paraId="1424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5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F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网络运维终端</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1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配置不低于14代英特尔i7处理器，32G内存，1T硬盘，独立显卡，27英寸 Nano IPS面板，预装正版windows操作系统</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D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1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4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ThinkCentre M960t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E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C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70D1">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5CA4">
            <w:pPr>
              <w:jc w:val="center"/>
              <w:rPr>
                <w:rFonts w:hint="eastAsia" w:ascii="宋体" w:hAnsi="宋体" w:eastAsia="宋体" w:cs="宋体"/>
                <w:i w:val="0"/>
                <w:iCs w:val="0"/>
                <w:color w:val="000000"/>
                <w:sz w:val="22"/>
                <w:szCs w:val="22"/>
                <w:u w:val="none"/>
              </w:rPr>
            </w:pPr>
          </w:p>
        </w:tc>
      </w:tr>
      <w:tr w14:paraId="00B3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7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4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网络业务终端</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B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配置不低于14代英特尔i5处理器，16G内存，1T硬盘，集成显卡，27英寸 Nano IPS面板，预装正版windows操作系统</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6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0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B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启天M460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9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2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127F">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658A">
            <w:pPr>
              <w:jc w:val="center"/>
              <w:rPr>
                <w:rFonts w:hint="eastAsia" w:ascii="宋体" w:hAnsi="宋体" w:eastAsia="宋体" w:cs="宋体"/>
                <w:i w:val="0"/>
                <w:iCs w:val="0"/>
                <w:color w:val="000000"/>
                <w:sz w:val="22"/>
                <w:szCs w:val="22"/>
                <w:u w:val="none"/>
              </w:rPr>
            </w:pPr>
          </w:p>
        </w:tc>
      </w:tr>
      <w:tr w14:paraId="5873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1D84">
            <w:pPr>
              <w:jc w:val="center"/>
              <w:rPr>
                <w:rFonts w:hint="eastAsia" w:ascii="宋体" w:hAnsi="宋体" w:eastAsia="宋体" w:cs="宋体"/>
                <w:i w:val="0"/>
                <w:iCs w:val="0"/>
                <w:color w:val="000000"/>
                <w:sz w:val="22"/>
                <w:szCs w:val="22"/>
                <w:u w:val="none"/>
              </w:rPr>
            </w:pPr>
          </w:p>
        </w:tc>
        <w:tc>
          <w:tcPr>
            <w:tcW w:w="102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9E4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8108">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B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bl>
    <w:p w14:paraId="0F8A121D">
      <w:pPr>
        <w:pStyle w:val="4"/>
        <w:rPr>
          <w:rFonts w:hint="eastAsia" w:ascii="宋体" w:hAnsi="宋体" w:eastAsia="宋体" w:cs="宋体"/>
        </w:rPr>
        <w:sectPr>
          <w:pgSz w:w="16838" w:h="11906" w:orient="landscape"/>
          <w:pgMar w:top="1803" w:right="1440" w:bottom="1803" w:left="1440" w:header="851" w:footer="992" w:gutter="0"/>
          <w:pgNumType w:fmt="decimal"/>
          <w:cols w:space="0" w:num="1"/>
          <w:rtlGutter w:val="0"/>
          <w:docGrid w:type="lines" w:linePitch="319" w:charSpace="0"/>
        </w:sectPr>
      </w:pPr>
    </w:p>
    <w:p w14:paraId="7DF35A44">
      <w:pPr>
        <w:kinsoku/>
        <w:wordWrap/>
        <w:overflowPunct/>
        <w:topLinePunct w:val="0"/>
        <w:bidi w:val="0"/>
        <w:spacing w:line="360" w:lineRule="auto"/>
        <w:rPr>
          <w:rFonts w:hint="eastAsia"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附件四：履约承诺书</w:t>
      </w:r>
    </w:p>
    <w:p w14:paraId="46AEE01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致:南京禄口国际机场空港科技有限公司</w:t>
      </w:r>
    </w:p>
    <w:p w14:paraId="5A4B780D">
      <w:pPr>
        <w:keepNext w:val="0"/>
        <w:keepLines w:val="0"/>
        <w:pageBreakBefore w:val="0"/>
        <w:widowControl w:val="0"/>
        <w:kinsoku/>
        <w:wordWrap/>
        <w:overflowPunct/>
        <w:topLinePunct w:val="0"/>
        <w:autoSpaceDE/>
        <w:autoSpaceDN/>
        <w:bidi w:val="0"/>
        <w:adjustRightInd/>
        <w:snapToGrid/>
        <w:spacing w:line="480" w:lineRule="auto"/>
        <w:ind w:firstLine="630" w:firstLineChars="300"/>
        <w:textAlignment w:val="auto"/>
        <w:rPr>
          <w:rFonts w:hint="eastAsia" w:ascii="宋体" w:hAnsi="宋体" w:eastAsia="宋体" w:cs="宋体"/>
        </w:rPr>
      </w:pPr>
      <w:r>
        <w:rPr>
          <w:rFonts w:hint="eastAsia" w:ascii="宋体" w:hAnsi="宋体" w:eastAsia="宋体" w:cs="宋体"/>
        </w:rPr>
        <w:t>本公司郑重承诺，遵守《中华人民共和国民法典》及相关法律法规，具备相应的能力，并作出以下承诺:</w:t>
      </w:r>
    </w:p>
    <w:p w14:paraId="77A843C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1、本公司具有合同履约能力，拥有充足的人力及物力，能够按时、按质的完成合同约定的产品和服务的交付。</w:t>
      </w:r>
    </w:p>
    <w:p w14:paraId="5D8766D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2、本单位</w:t>
      </w:r>
      <w:r>
        <w:rPr>
          <w:rFonts w:hint="eastAsia" w:ascii="宋体" w:hAnsi="宋体" w:eastAsia="宋体" w:cs="宋体"/>
          <w:lang w:val="en-US" w:eastAsia="zh-CN"/>
        </w:rPr>
        <w:t>近</w:t>
      </w:r>
      <w:r>
        <w:rPr>
          <w:rFonts w:hint="eastAsia" w:ascii="宋体" w:hAnsi="宋体" w:eastAsia="宋体" w:cs="宋体"/>
        </w:rPr>
        <w:t>三年守合同、重信用，无违约事实，现时未涉及重大经济纠纷或重大经济犯罪案件。</w:t>
      </w:r>
    </w:p>
    <w:p w14:paraId="51DF908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3、与贵公司或贵公司的关联公司在以往履约过程中合作良好，未出现过履约争议乃至进入诉讼或仲裁。</w:t>
      </w:r>
    </w:p>
    <w:p w14:paraId="35F33A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rPr>
        <w:t>公司名称(盖章)</w:t>
      </w:r>
      <w:r>
        <w:rPr>
          <w:rFonts w:hint="eastAsia" w:ascii="宋体" w:hAnsi="宋体" w:eastAsia="宋体" w:cs="宋体"/>
          <w:lang w:eastAsia="zh-CN"/>
        </w:rPr>
        <w:t>：</w:t>
      </w:r>
    </w:p>
    <w:p w14:paraId="07AC88E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lang w:val="en-US" w:eastAsia="zh-CN"/>
        </w:rPr>
        <w:t>日</w:t>
      </w:r>
      <w:r>
        <w:rPr>
          <w:rFonts w:hint="eastAsia" w:ascii="宋体" w:hAnsi="宋体" w:eastAsia="宋体" w:cs="宋体"/>
        </w:rPr>
        <w:t>期</w:t>
      </w:r>
      <w:r>
        <w:rPr>
          <w:rFonts w:hint="eastAsia" w:ascii="宋体" w:hAnsi="宋体" w:eastAsia="宋体" w:cs="宋体"/>
          <w:lang w:eastAsia="zh-CN"/>
        </w:rPr>
        <w:t>：</w:t>
      </w:r>
    </w:p>
    <w:p w14:paraId="5C516F75">
      <w:pPr>
        <w:kinsoku/>
        <w:wordWrap/>
        <w:overflowPunct/>
        <w:topLinePunct w:val="0"/>
        <w:bidi w:val="0"/>
        <w:spacing w:line="360" w:lineRule="auto"/>
        <w:rPr>
          <w:rFonts w:hint="eastAsia" w:ascii="宋体" w:hAnsi="宋体" w:eastAsia="宋体" w:cs="宋体"/>
          <w:snapToGrid w:val="0"/>
          <w:szCs w:val="21"/>
          <w:lang w:val="en-US" w:eastAsia="zh-CN"/>
        </w:rPr>
      </w:pPr>
    </w:p>
    <w:p w14:paraId="071EF7E0">
      <w:pPr>
        <w:kinsoku/>
        <w:wordWrap/>
        <w:overflowPunct/>
        <w:topLinePunct w:val="0"/>
        <w:bidi w:val="0"/>
        <w:spacing w:line="360" w:lineRule="auto"/>
        <w:rPr>
          <w:rFonts w:hint="eastAsia" w:ascii="宋体" w:hAnsi="宋体" w:eastAsia="宋体" w:cs="宋体"/>
          <w:lang w:val="en-US" w:eastAsia="zh-CN"/>
        </w:rPr>
      </w:pPr>
    </w:p>
    <w:p w14:paraId="08E6496A">
      <w:pPr>
        <w:kinsoku/>
        <w:wordWrap/>
        <w:overflowPunct/>
        <w:topLinePunct w:val="0"/>
        <w:bidi w:val="0"/>
        <w:spacing w:line="360" w:lineRule="auto"/>
        <w:rPr>
          <w:rFonts w:hint="eastAsia" w:ascii="宋体" w:hAnsi="宋体" w:eastAsia="宋体" w:cs="宋体"/>
          <w:lang w:val="en-US" w:eastAsia="zh-CN"/>
        </w:rPr>
      </w:pPr>
    </w:p>
    <w:p w14:paraId="52959006">
      <w:pPr>
        <w:kinsoku/>
        <w:wordWrap/>
        <w:overflowPunct/>
        <w:topLinePunct w:val="0"/>
        <w:bidi w:val="0"/>
        <w:spacing w:line="360" w:lineRule="auto"/>
        <w:rPr>
          <w:rFonts w:hint="eastAsia" w:ascii="宋体" w:hAnsi="宋体" w:eastAsia="宋体" w:cs="宋体"/>
          <w:lang w:val="en-US" w:eastAsia="zh-CN"/>
        </w:rPr>
      </w:pPr>
    </w:p>
    <w:p w14:paraId="5EDBBB61">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2E96797B">
      <w:pPr>
        <w:kinsoku/>
        <w:wordWrap/>
        <w:overflowPunct/>
        <w:topLinePunct w:val="0"/>
        <w:bidi w:val="0"/>
        <w:spacing w:line="360" w:lineRule="auto"/>
        <w:rPr>
          <w:rFonts w:hint="eastAsia" w:ascii="宋体" w:hAnsi="宋体" w:eastAsia="宋体" w:cs="宋体"/>
          <w:lang w:val="en-US" w:eastAsia="zh-CN"/>
        </w:rPr>
      </w:pPr>
      <w:r>
        <w:rPr>
          <w:rFonts w:hint="eastAsia" w:ascii="宋体" w:hAnsi="宋体" w:eastAsia="宋体" w:cs="宋体"/>
          <w:b/>
          <w:bCs/>
          <w:lang w:val="en-US" w:eastAsia="zh-CN"/>
        </w:rPr>
        <w:t>附件五：合同模板</w:t>
      </w:r>
    </w:p>
    <w:p w14:paraId="6755F1D5">
      <w:pPr>
        <w:rPr>
          <w:rFonts w:hint="eastAsia" w:ascii="宋体" w:hAnsi="宋体" w:eastAsia="宋体" w:cs="宋体"/>
        </w:rPr>
      </w:pPr>
      <w:permStart w:id="0" w:edGrp="everyone"/>
      <w:permEnd w:id="0"/>
    </w:p>
    <w:p w14:paraId="5ACB442B">
      <w:pPr>
        <w:jc w:val="center"/>
        <w:rPr>
          <w:rFonts w:hint="eastAsia" w:ascii="宋体" w:hAnsi="宋体" w:eastAsia="宋体" w:cs="宋体"/>
          <w:b/>
          <w:sz w:val="44"/>
        </w:rPr>
      </w:pPr>
    </w:p>
    <w:p w14:paraId="6915B095">
      <w:pPr>
        <w:jc w:val="center"/>
        <w:rPr>
          <w:rFonts w:hint="eastAsia" w:ascii="宋体" w:hAnsi="宋体" w:eastAsia="宋体" w:cs="宋体"/>
          <w:sz w:val="36"/>
        </w:rPr>
      </w:pPr>
    </w:p>
    <w:p w14:paraId="54BF0982">
      <w:pPr>
        <w:pStyle w:val="15"/>
        <w:spacing w:line="347" w:lineRule="atLeast"/>
        <w:jc w:val="center"/>
        <w:rPr>
          <w:rFonts w:hint="eastAsia" w:ascii="宋体" w:hAnsi="宋体" w:eastAsia="宋体" w:cs="宋体"/>
          <w:b/>
          <w:sz w:val="52"/>
          <w:szCs w:val="52"/>
        </w:rPr>
      </w:pPr>
      <w:r>
        <w:rPr>
          <w:rFonts w:hint="eastAsia" w:ascii="宋体" w:hAnsi="宋体" w:eastAsia="宋体" w:cs="宋体"/>
          <w:b/>
          <w:sz w:val="52"/>
          <w:szCs w:val="52"/>
        </w:rPr>
        <w:t>采购合同</w:t>
      </w:r>
    </w:p>
    <w:p w14:paraId="7E3B7331">
      <w:pPr>
        <w:jc w:val="center"/>
        <w:rPr>
          <w:rFonts w:hint="eastAsia" w:ascii="宋体" w:hAnsi="宋体" w:eastAsia="宋体" w:cs="宋体"/>
          <w:b/>
          <w:sz w:val="28"/>
        </w:rPr>
      </w:pPr>
    </w:p>
    <w:p w14:paraId="43BAE045">
      <w:pPr>
        <w:jc w:val="left"/>
        <w:rPr>
          <w:rFonts w:hint="eastAsia" w:ascii="宋体" w:hAnsi="宋体" w:eastAsia="宋体" w:cs="宋体"/>
          <w:b/>
          <w:sz w:val="28"/>
        </w:rPr>
      </w:pPr>
    </w:p>
    <w:p w14:paraId="05506785">
      <w:pPr>
        <w:ind w:firstLine="960" w:firstLineChars="400"/>
        <w:rPr>
          <w:rFonts w:hint="eastAsia" w:ascii="宋体" w:hAnsi="宋体" w:eastAsia="宋体" w:cs="宋体"/>
          <w:sz w:val="24"/>
        </w:rPr>
      </w:pPr>
    </w:p>
    <w:p w14:paraId="7F0B3C0F">
      <w:pPr>
        <w:ind w:firstLine="2400" w:firstLineChars="800"/>
        <w:rPr>
          <w:rFonts w:hint="eastAsia" w:ascii="宋体" w:hAnsi="宋体" w:eastAsia="宋体" w:cs="宋体"/>
          <w:sz w:val="30"/>
          <w:szCs w:val="30"/>
        </w:rPr>
      </w:pPr>
    </w:p>
    <w:p w14:paraId="03A2895D">
      <w:pPr>
        <w:ind w:firstLine="2400" w:firstLineChars="800"/>
        <w:rPr>
          <w:rFonts w:hint="eastAsia" w:ascii="宋体" w:hAnsi="宋体" w:eastAsia="宋体" w:cs="宋体"/>
          <w:sz w:val="30"/>
          <w:szCs w:val="30"/>
        </w:rPr>
      </w:pPr>
    </w:p>
    <w:p w14:paraId="328589AC">
      <w:pPr>
        <w:ind w:firstLine="2400" w:firstLineChars="800"/>
        <w:rPr>
          <w:rFonts w:hint="eastAsia" w:ascii="宋体" w:hAnsi="宋体" w:eastAsia="宋体" w:cs="宋体"/>
          <w:sz w:val="30"/>
          <w:szCs w:val="30"/>
        </w:rPr>
      </w:pPr>
    </w:p>
    <w:p w14:paraId="78AC252A">
      <w:pPr>
        <w:ind w:firstLine="2400" w:firstLineChars="800"/>
        <w:rPr>
          <w:rFonts w:hint="eastAsia" w:ascii="宋体" w:hAnsi="宋体" w:eastAsia="宋体" w:cs="宋体"/>
          <w:sz w:val="30"/>
          <w:szCs w:val="30"/>
        </w:rPr>
      </w:pPr>
    </w:p>
    <w:p w14:paraId="6F980FB9">
      <w:pPr>
        <w:ind w:firstLine="2400" w:firstLineChars="800"/>
        <w:rPr>
          <w:rFonts w:hint="eastAsia" w:ascii="宋体" w:hAnsi="宋体" w:eastAsia="宋体" w:cs="宋体"/>
          <w:sz w:val="30"/>
          <w:szCs w:val="30"/>
        </w:rPr>
      </w:pPr>
    </w:p>
    <w:p w14:paraId="01686721">
      <w:pPr>
        <w:ind w:firstLine="2400" w:firstLineChars="800"/>
        <w:rPr>
          <w:rFonts w:hint="eastAsia" w:ascii="宋体" w:hAnsi="宋体" w:eastAsia="宋体" w:cs="宋体"/>
          <w:sz w:val="30"/>
          <w:szCs w:val="30"/>
        </w:rPr>
      </w:pPr>
      <w:r>
        <w:rPr>
          <w:rFonts w:hint="eastAsia" w:ascii="宋体" w:hAnsi="宋体" w:eastAsia="宋体" w:cs="宋体"/>
          <w:sz w:val="30"/>
          <w:szCs w:val="30"/>
        </w:rPr>
        <w:t>甲方：南京禄口国际机场空港科技有限公司</w:t>
      </w:r>
    </w:p>
    <w:p w14:paraId="597157E3">
      <w:pPr>
        <w:ind w:firstLine="2400" w:firstLineChars="800"/>
        <w:rPr>
          <w:rFonts w:hint="eastAsia" w:ascii="宋体" w:hAnsi="宋体" w:eastAsia="宋体" w:cs="宋体"/>
          <w:sz w:val="30"/>
          <w:szCs w:val="30"/>
          <w:lang w:val="en-US" w:eastAsia="zh-CN"/>
        </w:rPr>
      </w:pPr>
      <w:r>
        <w:rPr>
          <w:rFonts w:hint="eastAsia" w:ascii="宋体" w:hAnsi="宋体" w:eastAsia="宋体" w:cs="宋体"/>
          <w:sz w:val="30"/>
          <w:szCs w:val="30"/>
        </w:rPr>
        <w:t>乙方：</w:t>
      </w:r>
      <w:permStart w:id="1" w:edGrp="everyone"/>
      <w:r>
        <w:rPr>
          <w:rFonts w:hint="eastAsia" w:ascii="宋体" w:hAnsi="宋体" w:eastAsia="宋体" w:cs="宋体"/>
          <w:sz w:val="30"/>
          <w:szCs w:val="30"/>
          <w:lang w:val="en-US" w:eastAsia="zh-CN"/>
        </w:rPr>
        <w:t xml:space="preserve">                 </w:t>
      </w:r>
    </w:p>
    <w:permEnd w:id="1"/>
    <w:p w14:paraId="2A653961">
      <w:pPr>
        <w:ind w:firstLine="2400" w:firstLineChars="800"/>
        <w:rPr>
          <w:rFonts w:hint="eastAsia" w:ascii="宋体" w:hAnsi="宋体" w:eastAsia="宋体" w:cs="宋体"/>
          <w:sz w:val="30"/>
          <w:szCs w:val="30"/>
        </w:rPr>
      </w:pPr>
      <w:r>
        <w:rPr>
          <w:rFonts w:hint="eastAsia" w:ascii="宋体" w:hAnsi="宋体" w:eastAsia="宋体" w:cs="宋体"/>
          <w:sz w:val="30"/>
          <w:szCs w:val="30"/>
        </w:rPr>
        <w:t>签订地点：南京</w:t>
      </w:r>
    </w:p>
    <w:p w14:paraId="0DC2F701">
      <w:pPr>
        <w:ind w:firstLine="2400" w:firstLineChars="800"/>
        <w:rPr>
          <w:rFonts w:hint="eastAsia" w:ascii="宋体" w:hAnsi="宋体" w:eastAsia="宋体" w:cs="宋体"/>
          <w:sz w:val="30"/>
          <w:szCs w:val="30"/>
        </w:rPr>
      </w:pPr>
      <w:r>
        <w:rPr>
          <w:rFonts w:hint="eastAsia" w:ascii="宋体" w:hAnsi="宋体" w:eastAsia="宋体" w:cs="宋体"/>
          <w:sz w:val="30"/>
          <w:szCs w:val="30"/>
        </w:rPr>
        <w:br w:type="page"/>
      </w:r>
    </w:p>
    <w:p w14:paraId="7E8C54E9">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南京禄口国际机场空港科技有限公司 </w:t>
      </w:r>
      <w:r>
        <w:rPr>
          <w:rFonts w:hint="eastAsia" w:ascii="宋体" w:hAnsi="宋体" w:eastAsia="宋体" w:cs="宋体"/>
          <w:szCs w:val="21"/>
        </w:rPr>
        <w:t>（以下简称“甲方”）与</w:t>
      </w:r>
      <w:r>
        <w:rPr>
          <w:rFonts w:hint="eastAsia" w:ascii="宋体" w:hAnsi="宋体" w:eastAsia="宋体" w:cs="宋体"/>
          <w:szCs w:val="21"/>
          <w:u w:val="single"/>
        </w:rPr>
        <w:t xml:space="preserve"> </w:t>
      </w:r>
      <w:permStart w:id="2"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2"/>
      <w:r>
        <w:rPr>
          <w:rFonts w:hint="eastAsia" w:ascii="宋体" w:hAnsi="宋体" w:eastAsia="宋体" w:cs="宋体"/>
          <w:szCs w:val="21"/>
        </w:rPr>
        <w:t xml:space="preserve">（以下简称为“乙方”），根据《中华人民共和国民法典》，经过友好协商，本着平等、自愿、诚实守信的原则，就甲方向乙方采购货物事宜，双方达成如下一致协议。 </w:t>
      </w:r>
    </w:p>
    <w:p w14:paraId="25B00F7E">
      <w:pPr>
        <w:adjustRightInd w:val="0"/>
        <w:snapToGrid w:val="0"/>
        <w:spacing w:before="156" w:beforeLines="50" w:after="156" w:afterLines="50" w:line="360" w:lineRule="auto"/>
        <w:ind w:left="480"/>
        <w:jc w:val="left"/>
        <w:rPr>
          <w:rFonts w:hint="eastAsia" w:ascii="宋体" w:hAnsi="宋体" w:eastAsia="宋体" w:cs="宋体"/>
          <w:b/>
          <w:sz w:val="24"/>
          <w:szCs w:val="24"/>
        </w:rPr>
      </w:pPr>
      <w:r>
        <w:rPr>
          <w:rFonts w:hint="eastAsia" w:ascii="宋体" w:hAnsi="宋体" w:eastAsia="宋体" w:cs="宋体"/>
          <w:b/>
          <w:sz w:val="24"/>
          <w:szCs w:val="24"/>
        </w:rPr>
        <w:t>第一条  合同标的</w:t>
      </w:r>
    </w:p>
    <w:p w14:paraId="31C5E503">
      <w:pPr>
        <w:adjustRightInd w:val="0"/>
        <w:snapToGrid w:val="0"/>
        <w:spacing w:line="360" w:lineRule="auto"/>
        <w:ind w:firstLine="420" w:firstLineChars="200"/>
        <w:jc w:val="left"/>
        <w:rPr>
          <w:rFonts w:hint="eastAsia" w:ascii="宋体" w:hAnsi="宋体" w:eastAsia="宋体" w:cs="宋体"/>
          <w:b/>
          <w:sz w:val="24"/>
          <w:szCs w:val="24"/>
        </w:rPr>
      </w:pPr>
      <w:r>
        <w:rPr>
          <w:rFonts w:hint="eastAsia" w:ascii="宋体" w:hAnsi="宋体" w:eastAsia="宋体" w:cs="宋体"/>
          <w:szCs w:val="21"/>
        </w:rPr>
        <w:t>1.1 采购货物明细：</w:t>
      </w:r>
    </w:p>
    <w:tbl>
      <w:tblPr>
        <w:tblStyle w:val="17"/>
        <w:tblW w:w="5263" w:type="pct"/>
        <w:jc w:val="center"/>
        <w:tblLayout w:type="fixed"/>
        <w:tblCellMar>
          <w:top w:w="0" w:type="dxa"/>
          <w:left w:w="108" w:type="dxa"/>
          <w:bottom w:w="0" w:type="dxa"/>
          <w:right w:w="108" w:type="dxa"/>
        </w:tblCellMar>
      </w:tblPr>
      <w:tblGrid>
        <w:gridCol w:w="499"/>
        <w:gridCol w:w="817"/>
        <w:gridCol w:w="2749"/>
        <w:gridCol w:w="1311"/>
        <w:gridCol w:w="781"/>
        <w:gridCol w:w="705"/>
        <w:gridCol w:w="719"/>
        <w:gridCol w:w="1135"/>
        <w:gridCol w:w="945"/>
        <w:gridCol w:w="675"/>
      </w:tblGrid>
      <w:tr w14:paraId="52DFE709">
        <w:tblPrEx>
          <w:tblCellMar>
            <w:top w:w="0" w:type="dxa"/>
            <w:left w:w="108" w:type="dxa"/>
            <w:bottom w:w="0" w:type="dxa"/>
            <w:right w:w="108" w:type="dxa"/>
          </w:tblCellMar>
        </w:tblPrEx>
        <w:trPr>
          <w:trHeight w:val="1248" w:hRule="atLeast"/>
          <w:jc w:val="center"/>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1E1DC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序号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B30BB5F">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名</w:t>
            </w:r>
          </w:p>
          <w:p w14:paraId="6DCB219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称</w:t>
            </w:r>
          </w:p>
        </w:tc>
        <w:tc>
          <w:tcPr>
            <w:tcW w:w="1329" w:type="pct"/>
            <w:tcBorders>
              <w:top w:val="single" w:color="000000" w:sz="4" w:space="0"/>
              <w:left w:val="single" w:color="000000" w:sz="4" w:space="0"/>
              <w:bottom w:val="single" w:color="000000" w:sz="4" w:space="0"/>
              <w:right w:val="single" w:color="000000" w:sz="4" w:space="0"/>
            </w:tcBorders>
            <w:noWrap w:val="0"/>
            <w:vAlign w:val="center"/>
          </w:tcPr>
          <w:p w14:paraId="7DF3611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val="en-US" w:eastAsia="zh-CN" w:bidi="ar"/>
              </w:rPr>
              <w:t>产品参数</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74880A7">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规格型号</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78B8EC3C">
            <w:pPr>
              <w:widowControl/>
              <w:jc w:val="center"/>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品牌</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31A7230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单位</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1F1BB61C">
            <w:pPr>
              <w:widowControl/>
              <w:jc w:val="both"/>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数量</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97ACCC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含税运单价/元</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5B8DF4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含税运总价/元</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4C263EBE">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税率</w:t>
            </w:r>
          </w:p>
        </w:tc>
      </w:tr>
      <w:tr w14:paraId="2750B3B3">
        <w:tblPrEx>
          <w:tblCellMar>
            <w:top w:w="0" w:type="dxa"/>
            <w:left w:w="108" w:type="dxa"/>
            <w:bottom w:w="0" w:type="dxa"/>
            <w:right w:w="108" w:type="dxa"/>
          </w:tblCellMar>
        </w:tblPrEx>
        <w:trPr>
          <w:trHeight w:val="90"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B48C5">
            <w:pPr>
              <w:widowControl/>
              <w:jc w:val="center"/>
              <w:textAlignment w:val="center"/>
              <w:rPr>
                <w:rFonts w:hint="eastAsia" w:ascii="宋体" w:hAnsi="宋体" w:eastAsia="宋体" w:cs="宋体"/>
                <w:color w:val="000000"/>
                <w:sz w:val="18"/>
                <w:szCs w:val="18"/>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625F9">
            <w:pPr>
              <w:widowControl/>
              <w:jc w:val="center"/>
              <w:textAlignment w:val="center"/>
              <w:rPr>
                <w:rFonts w:hint="eastAsia" w:ascii="宋体" w:hAnsi="宋体" w:eastAsia="宋体" w:cs="宋体"/>
                <w:color w:val="000000"/>
                <w:sz w:val="18"/>
                <w:szCs w:val="18"/>
              </w:rPr>
            </w:pPr>
          </w:p>
        </w:tc>
        <w:tc>
          <w:tcPr>
            <w:tcW w:w="1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0A5AB">
            <w:pPr>
              <w:widowControl/>
              <w:jc w:val="left"/>
              <w:textAlignment w:val="center"/>
              <w:rPr>
                <w:rFonts w:hint="eastAsia" w:ascii="宋体" w:hAnsi="宋体" w:eastAsia="宋体" w:cs="宋体"/>
                <w:color w:val="000000"/>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256B2">
            <w:pPr>
              <w:widowControl/>
              <w:jc w:val="center"/>
              <w:textAlignment w:val="center"/>
              <w:rPr>
                <w:rFonts w:hint="eastAsia" w:ascii="宋体" w:hAnsi="宋体" w:eastAsia="宋体" w:cs="宋体"/>
                <w:color w:val="000000"/>
                <w:kern w:val="0"/>
                <w:sz w:val="18"/>
                <w:szCs w:val="18"/>
                <w:lang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BE89B">
            <w:pPr>
              <w:widowControl/>
              <w:jc w:val="center"/>
              <w:textAlignment w:val="center"/>
              <w:rPr>
                <w:rFonts w:hint="eastAsia" w:ascii="宋体" w:hAnsi="宋体" w:eastAsia="宋体" w:cs="宋体"/>
                <w:color w:val="000000"/>
                <w:sz w:val="18"/>
                <w:szCs w:val="18"/>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48A54">
            <w:pPr>
              <w:widowControl/>
              <w:jc w:val="center"/>
              <w:textAlignment w:val="center"/>
              <w:rPr>
                <w:rFonts w:hint="eastAsia" w:ascii="宋体" w:hAnsi="宋体" w:eastAsia="宋体" w:cs="宋体"/>
                <w:color w:val="000000"/>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932A7">
            <w:pPr>
              <w:widowControl/>
              <w:jc w:val="center"/>
              <w:textAlignment w:val="center"/>
              <w:rPr>
                <w:rFonts w:hint="eastAsia" w:ascii="宋体" w:hAnsi="宋体" w:eastAsia="宋体" w:cs="宋体"/>
                <w:color w:val="000000"/>
                <w:sz w:val="18"/>
                <w:szCs w:val="18"/>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E02D70C">
            <w:pPr>
              <w:widowControl/>
              <w:jc w:val="center"/>
              <w:textAlignment w:val="center"/>
              <w:rPr>
                <w:rFonts w:hint="eastAsia" w:ascii="宋体" w:hAnsi="宋体" w:eastAsia="宋体" w:cs="宋体"/>
                <w:color w:val="000000"/>
                <w:sz w:val="18"/>
                <w:szCs w:val="18"/>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E37FC94">
            <w:pPr>
              <w:widowControl/>
              <w:jc w:val="center"/>
              <w:textAlignment w:val="center"/>
              <w:rPr>
                <w:rFonts w:hint="eastAsia" w:ascii="宋体" w:hAnsi="宋体" w:eastAsia="宋体" w:cs="宋体"/>
                <w:color w:val="000000"/>
                <w:sz w:val="18"/>
                <w:szCs w:val="18"/>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43CE72A7">
            <w:pPr>
              <w:widowControl/>
              <w:jc w:val="center"/>
              <w:textAlignment w:val="center"/>
              <w:rPr>
                <w:rFonts w:hint="eastAsia" w:ascii="宋体" w:hAnsi="宋体" w:eastAsia="宋体" w:cs="宋体"/>
                <w:color w:val="000000"/>
                <w:kern w:val="0"/>
                <w:sz w:val="18"/>
                <w:szCs w:val="18"/>
                <w:lang w:bidi="ar"/>
              </w:rPr>
            </w:pPr>
          </w:p>
        </w:tc>
      </w:tr>
    </w:tbl>
    <w:p w14:paraId="646CB8F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1.2 合同含税总价：</w:t>
      </w:r>
      <w:permStart w:id="3" w:edGrp="everyone"/>
      <w:r>
        <w:rPr>
          <w:rFonts w:hint="eastAsia" w:ascii="宋体" w:hAnsi="宋体" w:eastAsia="宋体" w:cs="宋体"/>
          <w:szCs w:val="21"/>
          <w:u w:val="single"/>
        </w:rPr>
        <w:t xml:space="preserve">  </w:t>
      </w:r>
      <w:permEnd w:id="3"/>
      <w:r>
        <w:rPr>
          <w:rFonts w:hint="eastAsia" w:ascii="宋体" w:hAnsi="宋体" w:eastAsia="宋体" w:cs="宋体"/>
          <w:szCs w:val="21"/>
        </w:rPr>
        <w:t>元，不含税总价：</w:t>
      </w:r>
      <w:permStart w:id="4" w:edGrp="everyone"/>
      <w:r>
        <w:rPr>
          <w:rFonts w:hint="eastAsia" w:ascii="宋体" w:hAnsi="宋体" w:eastAsia="宋体" w:cs="宋体"/>
          <w:szCs w:val="21"/>
          <w:u w:val="single"/>
        </w:rPr>
        <w:t xml:space="preserve">   </w:t>
      </w:r>
      <w:permEnd w:id="4"/>
      <w:r>
        <w:rPr>
          <w:rFonts w:hint="eastAsia" w:ascii="宋体" w:hAnsi="宋体" w:eastAsia="宋体" w:cs="宋体"/>
          <w:szCs w:val="21"/>
        </w:rPr>
        <w:t>元，增值税税金</w:t>
      </w:r>
      <w:permStart w:id="5" w:edGrp="everyone"/>
      <w:r>
        <w:rPr>
          <w:rFonts w:hint="eastAsia" w:ascii="宋体" w:hAnsi="宋体" w:eastAsia="宋体" w:cs="宋体"/>
          <w:szCs w:val="21"/>
          <w:u w:val="single"/>
        </w:rPr>
        <w:t xml:space="preserve">  </w:t>
      </w:r>
      <w:permEnd w:id="5"/>
      <w:r>
        <w:rPr>
          <w:rFonts w:hint="eastAsia" w:ascii="宋体" w:hAnsi="宋体" w:eastAsia="宋体" w:cs="宋体"/>
          <w:szCs w:val="21"/>
        </w:rPr>
        <w:t>元。在合同履行期间，如遇国家增值税税率的调整，不含税总价不变，增值税税金相应调整。</w:t>
      </w:r>
    </w:p>
    <w:p w14:paraId="5E67438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1.3该合同价款为乙方履行完成本合同约定义务的全部费用，包括但不限于货物生产、包装、运输至指定地点、保险、配合验收、资料提供、产品质保及</w:t>
      </w:r>
      <w:permStart w:id="6" w:edGrp="everyone"/>
      <w:permEnd w:id="6"/>
      <w:r>
        <w:rPr>
          <w:rFonts w:hint="eastAsia" w:ascii="宋体" w:hAnsi="宋体" w:eastAsia="宋体" w:cs="宋体"/>
          <w:szCs w:val="21"/>
        </w:rPr>
        <w:t>上表其他补充说明中单独约定的现场装卸、现场保管、安装指导、安装、调试及运行保障、售后服务等所有含税费用，除本合同另有约定外，甲方不再支付乙方任何费用。</w:t>
      </w:r>
    </w:p>
    <w:p w14:paraId="12539041">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第二条  技术标准</w:t>
      </w:r>
    </w:p>
    <w:p w14:paraId="272F2EF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2.1 本合同下交付的货物应符合</w:t>
      </w:r>
      <w:r>
        <w:rPr>
          <w:rFonts w:hint="eastAsia" w:ascii="宋体" w:hAnsi="宋体" w:eastAsia="宋体" w:cs="宋体"/>
          <w:szCs w:val="21"/>
          <w:lang w:val="en-US" w:eastAsia="zh-CN"/>
        </w:rPr>
        <w:t>招标文件要求</w:t>
      </w:r>
      <w:r>
        <w:rPr>
          <w:rFonts w:hint="eastAsia" w:ascii="宋体" w:hAnsi="宋体" w:eastAsia="宋体" w:cs="宋体"/>
          <w:szCs w:val="21"/>
        </w:rPr>
        <w:t>达到的标准。如果没有提及适用标准，则应符合货物来源国适用的国家标准、行业标准，这些标准必须是有关机构发布的最新有效版本的标准；若企业标准高于国家、行业标准的，以企业标准为准。若甲方对乙方所提供货物有特殊质量技术要求，还应满足甲方的特殊质量技术要求。</w:t>
      </w:r>
    </w:p>
    <w:p w14:paraId="521CEC0D">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2.2 乙方承诺供应的产品满足生产及使用地所在国家关于设计、生产、销售、包装、标签、安全标准和使用的所有国际和当地的法律、法规，产品用料、生产及使用满足环保及安全的法律法规、第2.1条所述标准要求，生产者、销售者满足相关资质要求，产品已取得全部认证和许可。</w:t>
      </w:r>
    </w:p>
    <w:p w14:paraId="56F34EE8">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3</w:t>
      </w:r>
      <w:r>
        <w:rPr>
          <w:rFonts w:hint="eastAsia" w:ascii="宋体" w:hAnsi="宋体" w:eastAsia="宋体" w:cs="宋体"/>
          <w:szCs w:val="21"/>
        </w:rPr>
        <w:t xml:space="preserve"> 除非技术规格中另有规定，计量单位均采用中华人民共和国法定计量单位。</w:t>
      </w:r>
    </w:p>
    <w:p w14:paraId="202B6CF7">
      <w:pPr>
        <w:adjustRightInd w:val="0"/>
        <w:snapToGrid w:val="0"/>
        <w:spacing w:before="156" w:beforeLines="50" w:after="156" w:afterLines="50"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第三条  合同文件和资料的使用</w:t>
      </w:r>
    </w:p>
    <w:p w14:paraId="49B149D4">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10F2FEA3">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3.2 没有甲方事先书面同意，除了履行本合同之外，乙方不应使用合同条款第3.1条所列举的任何文件和资料。</w:t>
      </w:r>
    </w:p>
    <w:p w14:paraId="54735B21">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3.3 除了合同本身以外，合同条款第3.1条所列举的任何文件是甲方的财产。如果甲方有要求，乙方在完成合同后应将这些文件及全部复制件还给甲方。</w:t>
      </w:r>
    </w:p>
    <w:p w14:paraId="4D39AD4F">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3.4 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p>
    <w:p w14:paraId="1337E73F">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3.5 本条所述保密义务不因双方权利义务履行完毕或合同解除而终止。</w:t>
      </w:r>
    </w:p>
    <w:p w14:paraId="162F6628">
      <w:pPr>
        <w:pStyle w:val="10"/>
        <w:adjustRightInd w:val="0"/>
        <w:snapToGrid w:val="0"/>
        <w:spacing w:before="156" w:beforeLines="50" w:after="156" w:afterLines="50"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第四条  知识产权</w:t>
      </w:r>
    </w:p>
    <w:p w14:paraId="24CD4DD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4.1 乙方应保证，甲方或甲方用户在使用该货物或货物的任何一部分时，免受任何第三方提出的侵犯其专利权、商标权、著作权或其他知识产权的起诉或承担任何赔偿责任。乙方应保证所销售的</w:t>
      </w:r>
      <w:r>
        <w:rPr>
          <w:rFonts w:hint="eastAsia" w:ascii="宋体" w:hAnsi="宋体" w:eastAsia="宋体" w:cs="宋体"/>
          <w:szCs w:val="21"/>
          <w:lang w:val="en-US" w:eastAsia="zh-CN"/>
        </w:rPr>
        <w:t>货物</w:t>
      </w:r>
      <w:r>
        <w:rPr>
          <w:rFonts w:hint="eastAsia" w:ascii="宋体" w:hAnsi="宋体" w:eastAsia="宋体" w:cs="宋体"/>
          <w:szCs w:val="21"/>
        </w:rPr>
        <w:t>来源合法、无任何权利瑕疵</w:t>
      </w:r>
      <w:r>
        <w:rPr>
          <w:rFonts w:hint="eastAsia" w:ascii="宋体" w:hAnsi="宋体" w:eastAsia="宋体" w:cs="宋体"/>
          <w:szCs w:val="21"/>
          <w:lang w:eastAsia="zh-CN"/>
        </w:rPr>
        <w:t>，乙方保证在向甲方供应</w:t>
      </w:r>
      <w:r>
        <w:rPr>
          <w:rFonts w:hint="eastAsia" w:ascii="宋体" w:hAnsi="宋体" w:eastAsia="宋体" w:cs="宋体"/>
          <w:szCs w:val="21"/>
          <w:lang w:val="en-US" w:eastAsia="zh-CN"/>
        </w:rPr>
        <w:t>货物</w:t>
      </w:r>
      <w:r>
        <w:rPr>
          <w:rFonts w:hint="eastAsia" w:ascii="宋体" w:hAnsi="宋体" w:eastAsia="宋体" w:cs="宋体"/>
          <w:szCs w:val="21"/>
          <w:lang w:eastAsia="zh-CN"/>
        </w:rPr>
        <w:t>前办妥</w:t>
      </w:r>
      <w:r>
        <w:rPr>
          <w:rFonts w:hint="eastAsia" w:ascii="宋体" w:hAnsi="宋体" w:eastAsia="宋体" w:cs="宋体"/>
          <w:szCs w:val="21"/>
          <w:lang w:val="en-US" w:eastAsia="zh-CN"/>
        </w:rPr>
        <w:t>所需</w:t>
      </w:r>
      <w:r>
        <w:rPr>
          <w:rFonts w:hint="eastAsia" w:ascii="宋体" w:hAnsi="宋体" w:eastAsia="宋体" w:cs="宋体"/>
          <w:szCs w:val="21"/>
          <w:lang w:eastAsia="zh-CN"/>
        </w:rPr>
        <w:t>的</w:t>
      </w:r>
      <w:r>
        <w:rPr>
          <w:rFonts w:hint="eastAsia" w:ascii="宋体" w:hAnsi="宋体" w:eastAsia="宋体" w:cs="宋体"/>
          <w:szCs w:val="21"/>
          <w:lang w:val="en-US" w:eastAsia="zh-CN"/>
        </w:rPr>
        <w:t>全部</w:t>
      </w:r>
      <w:r>
        <w:rPr>
          <w:rFonts w:hint="eastAsia" w:ascii="宋体" w:hAnsi="宋体" w:eastAsia="宋体" w:cs="宋体"/>
          <w:szCs w:val="21"/>
          <w:lang w:eastAsia="zh-CN"/>
        </w:rPr>
        <w:t>资质、许可、备案等手续。</w:t>
      </w:r>
    </w:p>
    <w:p w14:paraId="783C290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4.2 甲方应将任何已经或声称因甲方或甲方用户使用本合同货物和/或技术资料侵犯了任何第三方专利、商标或其他知识产权而进行索赔或诉讼的情形及时通知乙方。</w:t>
      </w:r>
    </w:p>
    <w:p w14:paraId="5F738EE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 如果已经或可能发生诉讼或索赔，乙方需积极配合甲方处理随后产生的诉讼、索赔及和解谈判，同时乙方应自费并根据甲方或甲方用户要求采取以下补救措施之一：</w:t>
      </w:r>
    </w:p>
    <w:p w14:paraId="6D4F204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4.3.1为甲方或甲方用户取得继续使用货物的权利；</w:t>
      </w:r>
    </w:p>
    <w:p w14:paraId="6641E7C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4.3.2修改货物，消除其侵权部分并确保其仍符合双方合同约定；</w:t>
      </w:r>
    </w:p>
    <w:p w14:paraId="2536EFB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4.3.3使用符合双方合同约定且不侵权的货物进行替换；</w:t>
      </w:r>
    </w:p>
    <w:p w14:paraId="13C4257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4.3.4同意退还侵权的货物，全额退还甲方为此支付的款项，并赔偿甲方或甲方用户因此遭受的全部损失。</w:t>
      </w:r>
    </w:p>
    <w:p w14:paraId="5EBFAC9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4.4 若乙方未能在此类索赔或诉讼中有效保护甲方或甲方用户利益，则甲方或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5BCE377F">
      <w:pPr>
        <w:pStyle w:val="10"/>
        <w:adjustRightInd w:val="0"/>
        <w:snapToGrid w:val="0"/>
        <w:spacing w:before="156" w:after="0"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第五条  履约担保</w:t>
      </w:r>
    </w:p>
    <w:p w14:paraId="67F98AD5">
      <w:pPr>
        <w:adjustRightInd w:val="0"/>
        <w:snapToGrid w:val="0"/>
        <w:spacing w:line="360" w:lineRule="auto"/>
        <w:ind w:firstLine="450"/>
        <w:jc w:val="left"/>
        <w:rPr>
          <w:rFonts w:hint="eastAsia" w:ascii="宋体" w:hAnsi="宋体" w:eastAsia="宋体" w:cs="宋体"/>
          <w:szCs w:val="21"/>
        </w:rPr>
      </w:pPr>
      <w:permStart w:id="7" w:edGrp="everyone"/>
      <w:r>
        <w:rPr>
          <w:rFonts w:hint="eastAsia" w:ascii="宋体" w:hAnsi="宋体" w:eastAsia="宋体" w:cs="宋体"/>
          <w:szCs w:val="21"/>
        </w:rPr>
        <w:sym w:font="Wingdings" w:char="00FE"/>
      </w:r>
      <w:r>
        <w:rPr>
          <w:rFonts w:hint="eastAsia" w:ascii="宋体" w:hAnsi="宋体" w:eastAsia="宋体" w:cs="宋体"/>
          <w:szCs w:val="21"/>
        </w:rPr>
        <w:t xml:space="preserve"> </w:t>
      </w:r>
      <w:permEnd w:id="7"/>
      <w:r>
        <w:rPr>
          <w:rFonts w:hint="eastAsia" w:ascii="宋体" w:hAnsi="宋体" w:eastAsia="宋体" w:cs="宋体"/>
          <w:szCs w:val="21"/>
        </w:rPr>
        <w:t>乙方无需为本合同提供履约担保；</w:t>
      </w:r>
    </w:p>
    <w:p w14:paraId="012901C0">
      <w:pPr>
        <w:adjustRightInd w:val="0"/>
        <w:snapToGrid w:val="0"/>
        <w:spacing w:line="360" w:lineRule="auto"/>
        <w:ind w:firstLine="450"/>
        <w:jc w:val="left"/>
        <w:rPr>
          <w:rFonts w:hint="eastAsia" w:ascii="宋体" w:hAnsi="宋体" w:eastAsia="宋体" w:cs="宋体"/>
          <w:szCs w:val="21"/>
        </w:rPr>
      </w:pPr>
      <w:permStart w:id="8" w:edGrp="everyone"/>
      <w:r>
        <w:rPr>
          <w:rFonts w:hint="eastAsia" w:ascii="宋体" w:hAnsi="宋体" w:eastAsia="宋体" w:cs="宋体"/>
          <w:szCs w:val="21"/>
        </w:rPr>
        <w:t xml:space="preserve">□ </w:t>
      </w:r>
      <w:permEnd w:id="8"/>
      <w:r>
        <w:rPr>
          <w:rFonts w:hint="eastAsia" w:ascii="宋体" w:hAnsi="宋体" w:eastAsia="宋体" w:cs="宋体"/>
          <w:szCs w:val="21"/>
        </w:rPr>
        <w:t>本合同签订后，乙方应提供合同总金额</w:t>
      </w:r>
      <w:permStart w:id="9" w:edGrp="everyone"/>
      <w:r>
        <w:rPr>
          <w:rFonts w:hint="eastAsia" w:ascii="宋体" w:hAnsi="宋体" w:eastAsia="宋体" w:cs="宋体"/>
          <w:szCs w:val="21"/>
          <w:u w:val="single"/>
        </w:rPr>
        <w:t xml:space="preserve"> / </w:t>
      </w:r>
      <w:r>
        <w:rPr>
          <w:rFonts w:hint="eastAsia" w:ascii="宋体" w:hAnsi="宋体" w:eastAsia="宋体" w:cs="宋体"/>
          <w:szCs w:val="21"/>
        </w:rPr>
        <w:t>%</w:t>
      </w:r>
      <w:permEnd w:id="9"/>
      <w:r>
        <w:rPr>
          <w:rFonts w:hint="eastAsia" w:ascii="宋体" w:hAnsi="宋体" w:eastAsia="宋体" w:cs="宋体"/>
          <w:szCs w:val="21"/>
        </w:rPr>
        <w:t>的履约保证金或履约保函，如适用履约保函，则履约保函的担保银行及格式应符合甲方要求。甲方收到符合要求的履约担保并按照本合同第</w:t>
      </w:r>
      <w:r>
        <w:rPr>
          <w:rFonts w:hint="eastAsia" w:ascii="宋体" w:hAnsi="宋体" w:eastAsia="宋体" w:cs="宋体"/>
          <w:szCs w:val="21"/>
          <w:lang w:val="en-US" w:eastAsia="zh-CN"/>
        </w:rPr>
        <w:t>十八</w:t>
      </w:r>
      <w:r>
        <w:rPr>
          <w:rFonts w:hint="eastAsia" w:ascii="宋体" w:hAnsi="宋体" w:eastAsia="宋体" w:cs="宋体"/>
          <w:szCs w:val="21"/>
        </w:rPr>
        <w:t>条约定履行签字盖章程序后，本合同即产生法律效力。</w:t>
      </w:r>
    </w:p>
    <w:p w14:paraId="0358014C">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履约担保是乙方履行合同义务的担保，如乙方未能履行本合同项下的任何义务，甲方有权根据乙方所需承担的违约或赔偿责任扣除相应的履约担保金。</w:t>
      </w:r>
    </w:p>
    <w:p w14:paraId="7271185C">
      <w:pPr>
        <w:pStyle w:val="10"/>
        <w:adjustRightInd w:val="0"/>
        <w:snapToGrid w:val="0"/>
        <w:spacing w:before="156" w:beforeLines="50" w:after="156" w:afterLines="50"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第六条  包装和运输</w:t>
      </w:r>
    </w:p>
    <w:p w14:paraId="3F4A638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PPC专用标识的声明或未使用木质包装的声明，包装物不回收且费用已包含在合同总价中。</w:t>
      </w:r>
    </w:p>
    <w:p w14:paraId="40B0980C">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6.2 如合同货物因包装不善、标记不明、防护措施不当或在合同货物装箱前保管不良，致使合同货物遭到损坏或丢失，乙方应于甲方通知之日起5日内完成更换，并承担由此给甲方造成的一切损失。</w:t>
      </w:r>
    </w:p>
    <w:p w14:paraId="050BB9B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szCs w:val="21"/>
          <w:lang w:val="en-US" w:eastAsia="zh-CN"/>
        </w:rPr>
        <w:t>3</w:t>
      </w:r>
      <w:r>
        <w:rPr>
          <w:rFonts w:hint="eastAsia" w:ascii="宋体" w:hAnsi="宋体" w:eastAsia="宋体" w:cs="宋体"/>
          <w:szCs w:val="21"/>
        </w:rPr>
        <w:t xml:space="preserve"> 乙方应负责办理将货物运送至交货地点的一切运输事项，运输</w:t>
      </w:r>
      <w:r>
        <w:rPr>
          <w:rFonts w:hint="eastAsia" w:ascii="宋体" w:hAnsi="宋体" w:eastAsia="宋体" w:cs="宋体"/>
          <w:szCs w:val="21"/>
          <w:lang w:eastAsia="zh-CN"/>
        </w:rPr>
        <w:t>、</w:t>
      </w:r>
      <w:r>
        <w:rPr>
          <w:rFonts w:hint="eastAsia" w:ascii="宋体" w:hAnsi="宋体" w:eastAsia="宋体" w:cs="宋体"/>
          <w:szCs w:val="21"/>
          <w:lang w:val="en-US" w:eastAsia="zh-CN"/>
        </w:rPr>
        <w:t>装卸、搬运、保险</w:t>
      </w:r>
      <w:r>
        <w:rPr>
          <w:rFonts w:hint="eastAsia" w:ascii="宋体" w:hAnsi="宋体" w:eastAsia="宋体" w:cs="宋体"/>
          <w:szCs w:val="21"/>
        </w:rPr>
        <w:t>等相关费用已包含在合同总价中。</w:t>
      </w:r>
    </w:p>
    <w:p w14:paraId="0623E0D1">
      <w:pPr>
        <w:pStyle w:val="10"/>
        <w:spacing w:before="156"/>
        <w:ind w:left="0" w:firstLine="482" w:firstLineChars="200"/>
        <w:outlineLvl w:val="0"/>
        <w:rPr>
          <w:rFonts w:hint="eastAsia" w:ascii="宋体" w:hAnsi="宋体" w:eastAsia="宋体" w:cs="宋体"/>
          <w:szCs w:val="21"/>
        </w:rPr>
      </w:pPr>
      <w:r>
        <w:rPr>
          <w:rFonts w:hint="eastAsia" w:ascii="宋体" w:hAnsi="宋体" w:eastAsia="宋体" w:cs="宋体"/>
          <w:b/>
          <w:sz w:val="24"/>
          <w:szCs w:val="24"/>
        </w:rPr>
        <w:t>第七条  交货</w:t>
      </w:r>
    </w:p>
    <w:p w14:paraId="3E3EB7C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7.1 乙方发货地址：</w:t>
      </w:r>
      <w:permStart w:id="10" w:edGrp="everyone"/>
      <w:r>
        <w:rPr>
          <w:rFonts w:hint="eastAsia" w:ascii="宋体" w:hAnsi="宋体" w:eastAsia="宋体" w:cs="宋体"/>
          <w:bCs/>
          <w:szCs w:val="21"/>
          <w:u w:val="single"/>
        </w:rPr>
        <w:t xml:space="preserve">    </w:t>
      </w:r>
      <w:permEnd w:id="10"/>
      <w:r>
        <w:rPr>
          <w:rFonts w:hint="eastAsia" w:ascii="宋体" w:hAnsi="宋体" w:eastAsia="宋体" w:cs="宋体"/>
          <w:szCs w:val="21"/>
        </w:rPr>
        <w:t>。</w:t>
      </w:r>
    </w:p>
    <w:p w14:paraId="03E5BBF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7.2 甲方指定交货地点：</w:t>
      </w:r>
      <w:permStart w:id="11" w:edGrp="everyone"/>
      <w:r>
        <w:rPr>
          <w:rFonts w:hint="eastAsia" w:ascii="宋体" w:hAnsi="宋体" w:eastAsia="宋体" w:cs="宋体"/>
          <w:bCs/>
          <w:szCs w:val="21"/>
          <w:u w:val="single"/>
        </w:rPr>
        <w:t xml:space="preserve">       </w:t>
      </w:r>
      <w:permEnd w:id="11"/>
      <w:r>
        <w:rPr>
          <w:rFonts w:hint="eastAsia" w:ascii="宋体" w:hAnsi="宋体" w:eastAsia="宋体" w:cs="宋体"/>
          <w:szCs w:val="21"/>
        </w:rPr>
        <w:t>（从乙方仓库到本合同所指定的到货地点所发生的一切费用由乙方负责）；甲方指定接收人及联</w:t>
      </w:r>
      <w:r>
        <w:rPr>
          <w:rFonts w:hint="eastAsia" w:ascii="宋体" w:hAnsi="宋体" w:eastAsia="宋体" w:cs="宋体"/>
          <w:szCs w:val="21"/>
          <w:highlight w:val="none"/>
        </w:rPr>
        <w:t>系方式：</w:t>
      </w:r>
      <w:permStart w:id="12" w:edGrp="everyone"/>
      <w:r>
        <w:rPr>
          <w:rFonts w:hint="eastAsia" w:ascii="宋体" w:hAnsi="宋体" w:eastAsia="宋体" w:cs="宋体"/>
          <w:bCs/>
          <w:szCs w:val="21"/>
          <w:highlight w:val="none"/>
          <w:u w:val="single"/>
        </w:rPr>
        <w:t xml:space="preserve">            </w:t>
      </w:r>
      <w:permEnd w:id="12"/>
      <w:r>
        <w:rPr>
          <w:rFonts w:hint="eastAsia" w:ascii="宋体" w:hAnsi="宋体" w:eastAsia="宋体" w:cs="宋体"/>
          <w:szCs w:val="21"/>
          <w:highlight w:val="none"/>
        </w:rPr>
        <w:t>（乙方</w:t>
      </w:r>
      <w:r>
        <w:rPr>
          <w:rFonts w:hint="eastAsia" w:ascii="宋体" w:hAnsi="宋体" w:eastAsia="宋体" w:cs="宋体"/>
          <w:color w:val="auto"/>
          <w:szCs w:val="21"/>
          <w:highlight w:val="none"/>
          <w:lang w:val="en-US" w:eastAsia="zh-CN"/>
        </w:rPr>
        <w:t>应于</w:t>
      </w:r>
      <w:r>
        <w:rPr>
          <w:rFonts w:hint="eastAsia" w:ascii="宋体" w:hAnsi="宋体" w:eastAsia="宋体" w:cs="宋体"/>
          <w:color w:val="auto"/>
          <w:szCs w:val="21"/>
          <w:highlight w:val="none"/>
        </w:rPr>
        <w:t>发货前</w:t>
      </w:r>
      <w:r>
        <w:rPr>
          <w:rFonts w:hint="eastAsia" w:ascii="宋体" w:hAnsi="宋体" w:eastAsia="宋体" w:cs="宋体"/>
          <w:color w:val="auto"/>
          <w:szCs w:val="21"/>
          <w:highlight w:val="none"/>
          <w:lang w:val="en-US" w:eastAsia="zh-CN"/>
        </w:rPr>
        <w:t>48小时</w:t>
      </w:r>
      <w:r>
        <w:rPr>
          <w:rFonts w:hint="eastAsia" w:ascii="宋体" w:hAnsi="宋体" w:eastAsia="宋体" w:cs="宋体"/>
          <w:szCs w:val="21"/>
        </w:rPr>
        <w:t>与该货物签收人确认是否发货，以免现场不具备收货条件；如果乙方未与甲方联系人确认是否可以发货而发货，甲方有权拒绝接收货物，由乙方自行承担由此产生的全部费用）。</w:t>
      </w:r>
    </w:p>
    <w:p w14:paraId="5C74D7BF">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7.3 交货方式及时间：</w:t>
      </w:r>
    </w:p>
    <w:p w14:paraId="4A6FB540">
      <w:pPr>
        <w:adjustRightInd w:val="0"/>
        <w:snapToGrid w:val="0"/>
        <w:spacing w:line="360" w:lineRule="auto"/>
        <w:ind w:firstLine="420" w:firstLineChars="200"/>
        <w:jc w:val="left"/>
        <w:rPr>
          <w:rFonts w:hint="eastAsia" w:ascii="宋体" w:hAnsi="宋体" w:eastAsia="宋体" w:cs="宋体"/>
          <w:szCs w:val="21"/>
        </w:rPr>
      </w:pPr>
      <w:permStart w:id="13" w:edGrp="everyone"/>
      <w:r>
        <w:rPr>
          <w:rFonts w:hint="eastAsia" w:ascii="宋体" w:hAnsi="宋体" w:eastAsia="宋体" w:cs="宋体"/>
          <w:szCs w:val="21"/>
        </w:rPr>
        <w:t>□</w:t>
      </w:r>
      <w:permEnd w:id="13"/>
      <w:r>
        <w:rPr>
          <w:rFonts w:hint="eastAsia" w:ascii="宋体" w:hAnsi="宋体" w:eastAsia="宋体" w:cs="宋体"/>
          <w:szCs w:val="21"/>
        </w:rPr>
        <w:t xml:space="preserve"> </w:t>
      </w:r>
      <w:permStart w:id="14" w:edGrp="everyone"/>
      <w:r>
        <w:rPr>
          <w:rFonts w:hint="eastAsia" w:ascii="宋体" w:hAnsi="宋体" w:eastAsia="宋体" w:cs="宋体"/>
          <w:szCs w:val="21"/>
          <w:u w:val="single"/>
        </w:rPr>
        <w:t xml:space="preserve">        </w:t>
      </w:r>
      <w:permEnd w:id="14"/>
      <w:r>
        <w:rPr>
          <w:rFonts w:hint="eastAsia" w:ascii="宋体" w:hAnsi="宋体" w:eastAsia="宋体" w:cs="宋体"/>
          <w:szCs w:val="21"/>
        </w:rPr>
        <w:t>年</w:t>
      </w:r>
      <w:permStart w:id="15" w:edGrp="everyone"/>
      <w:r>
        <w:rPr>
          <w:rFonts w:hint="eastAsia" w:ascii="宋体" w:hAnsi="宋体" w:eastAsia="宋体" w:cs="宋体"/>
          <w:szCs w:val="21"/>
          <w:u w:val="single"/>
        </w:rPr>
        <w:t xml:space="preserve">    </w:t>
      </w:r>
      <w:permEnd w:id="15"/>
      <w:r>
        <w:rPr>
          <w:rFonts w:hint="eastAsia" w:ascii="宋体" w:hAnsi="宋体" w:eastAsia="宋体" w:cs="宋体"/>
          <w:szCs w:val="21"/>
        </w:rPr>
        <w:t>月</w:t>
      </w:r>
      <w:permStart w:id="16" w:edGrp="everyone"/>
      <w:r>
        <w:rPr>
          <w:rFonts w:hint="eastAsia" w:ascii="宋体" w:hAnsi="宋体" w:eastAsia="宋体" w:cs="宋体"/>
          <w:szCs w:val="21"/>
          <w:u w:val="single"/>
        </w:rPr>
        <w:t xml:space="preserve">    </w:t>
      </w:r>
      <w:permEnd w:id="16"/>
      <w:r>
        <w:rPr>
          <w:rFonts w:hint="eastAsia" w:ascii="宋体" w:hAnsi="宋体" w:eastAsia="宋体" w:cs="宋体"/>
          <w:szCs w:val="21"/>
        </w:rPr>
        <w:t>日前一次性全部交货；</w:t>
      </w:r>
    </w:p>
    <w:p w14:paraId="1255793F">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w:t>
      </w:r>
      <w:permStart w:id="17" w:edGrp="everyone"/>
      <w:r>
        <w:rPr>
          <w:rFonts w:hint="eastAsia" w:ascii="宋体" w:hAnsi="宋体" w:eastAsia="宋体" w:cs="宋体"/>
          <w:szCs w:val="21"/>
        </w:rPr>
        <w:sym w:font="Wingdings" w:char="00FE"/>
      </w:r>
      <w:permEnd w:id="17"/>
      <w:r>
        <w:rPr>
          <w:rFonts w:hint="eastAsia" w:ascii="宋体" w:hAnsi="宋体" w:eastAsia="宋体" w:cs="宋体"/>
          <w:szCs w:val="21"/>
        </w:rPr>
        <w:t xml:space="preserve"> 自本合同签订之日起</w:t>
      </w:r>
      <w:permStart w:id="18"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18"/>
      <w:r>
        <w:rPr>
          <w:rFonts w:hint="eastAsia" w:ascii="宋体" w:hAnsi="宋体" w:eastAsia="宋体" w:cs="宋体"/>
          <w:szCs w:val="21"/>
        </w:rPr>
        <w:t>天内交货；</w:t>
      </w:r>
    </w:p>
    <w:p w14:paraId="6FA86470">
      <w:pPr>
        <w:adjustRightInd w:val="0"/>
        <w:snapToGrid w:val="0"/>
        <w:spacing w:line="360" w:lineRule="auto"/>
        <w:ind w:firstLine="420" w:firstLineChars="200"/>
        <w:jc w:val="left"/>
        <w:rPr>
          <w:rFonts w:hint="eastAsia" w:ascii="宋体" w:hAnsi="宋体" w:eastAsia="宋体" w:cs="宋体"/>
          <w:szCs w:val="21"/>
        </w:rPr>
      </w:pPr>
      <w:permStart w:id="19" w:edGrp="everyone"/>
      <w:r>
        <w:rPr>
          <w:rFonts w:hint="eastAsia" w:ascii="宋体" w:hAnsi="宋体" w:eastAsia="宋体" w:cs="宋体"/>
          <w:szCs w:val="21"/>
        </w:rPr>
        <w:t>□</w:t>
      </w:r>
      <w:permEnd w:id="19"/>
      <w:r>
        <w:rPr>
          <w:rFonts w:hint="eastAsia" w:ascii="宋体" w:hAnsi="宋体" w:eastAsia="宋体" w:cs="宋体"/>
          <w:szCs w:val="21"/>
        </w:rPr>
        <w:t xml:space="preserve"> 其他交货方式：</w:t>
      </w:r>
      <w:permStart w:id="20" w:edGrp="everyone"/>
      <w:r>
        <w:rPr>
          <w:rFonts w:hint="eastAsia" w:ascii="宋体" w:hAnsi="宋体" w:eastAsia="宋体" w:cs="宋体"/>
          <w:szCs w:val="21"/>
          <w:u w:val="single"/>
        </w:rPr>
        <w:t xml:space="preserve">                                  </w:t>
      </w:r>
      <w:permEnd w:id="20"/>
      <w:r>
        <w:rPr>
          <w:rFonts w:hint="eastAsia" w:ascii="宋体" w:hAnsi="宋体" w:eastAsia="宋体" w:cs="宋体"/>
          <w:szCs w:val="21"/>
        </w:rPr>
        <w:t>；</w:t>
      </w:r>
    </w:p>
    <w:p w14:paraId="7D29D65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双方一致同意，若甲方或甲方用户工期延期或另有安排，具体交货时间以甲方的书面要货通知为准。</w:t>
      </w:r>
    </w:p>
    <w:p w14:paraId="4671CC4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7.4 乙方交货时应随货物提交相关附随资料：</w:t>
      </w:r>
    </w:p>
    <w:p w14:paraId="35E4A4A9">
      <w:pPr>
        <w:adjustRightInd w:val="0"/>
        <w:snapToGrid w:val="0"/>
        <w:spacing w:line="360" w:lineRule="auto"/>
        <w:ind w:firstLine="420" w:firstLineChars="200"/>
        <w:jc w:val="left"/>
        <w:rPr>
          <w:rFonts w:hint="eastAsia" w:ascii="宋体" w:hAnsi="宋体" w:eastAsia="宋体" w:cs="宋体"/>
          <w:szCs w:val="21"/>
        </w:rPr>
      </w:pPr>
      <w:permStart w:id="21" w:edGrp="everyone"/>
      <w:r>
        <w:rPr>
          <w:rFonts w:hint="eastAsia" w:ascii="宋体" w:hAnsi="宋体" w:eastAsia="宋体" w:cs="宋体"/>
          <w:szCs w:val="21"/>
        </w:rPr>
        <w:sym w:font="Wingdings" w:char="00FE"/>
      </w:r>
      <w:r>
        <w:rPr>
          <w:rFonts w:hint="eastAsia" w:ascii="宋体" w:hAnsi="宋体" w:eastAsia="宋体" w:cs="宋体"/>
          <w:szCs w:val="21"/>
        </w:rPr>
        <w:t xml:space="preserve"> </w:t>
      </w:r>
      <w:permEnd w:id="21"/>
      <w:r>
        <w:rPr>
          <w:rFonts w:hint="eastAsia" w:ascii="宋体" w:hAnsi="宋体" w:eastAsia="宋体" w:cs="宋体"/>
          <w:szCs w:val="21"/>
        </w:rPr>
        <w:t>提供设备之产品说明书；</w:t>
      </w:r>
    </w:p>
    <w:p w14:paraId="7167DCC3">
      <w:pPr>
        <w:adjustRightInd w:val="0"/>
        <w:snapToGrid w:val="0"/>
        <w:spacing w:line="360" w:lineRule="auto"/>
        <w:ind w:firstLine="420" w:firstLineChars="200"/>
        <w:jc w:val="left"/>
        <w:rPr>
          <w:rFonts w:hint="eastAsia" w:ascii="宋体" w:hAnsi="宋体" w:eastAsia="宋体" w:cs="宋体"/>
          <w:szCs w:val="21"/>
        </w:rPr>
      </w:pPr>
      <w:permStart w:id="22" w:edGrp="everyone"/>
      <w:r>
        <w:rPr>
          <w:rFonts w:hint="eastAsia" w:ascii="宋体" w:hAnsi="宋体" w:eastAsia="宋体" w:cs="宋体"/>
          <w:szCs w:val="21"/>
        </w:rPr>
        <w:sym w:font="Wingdings" w:char="00FE"/>
      </w:r>
      <w:permEnd w:id="22"/>
      <w:r>
        <w:rPr>
          <w:rFonts w:hint="eastAsia" w:ascii="宋体" w:hAnsi="宋体" w:eastAsia="宋体" w:cs="宋体"/>
          <w:szCs w:val="21"/>
        </w:rPr>
        <w:t xml:space="preserve"> 提供设备原有配件，资料；</w:t>
      </w:r>
    </w:p>
    <w:p w14:paraId="589D13FD">
      <w:pPr>
        <w:adjustRightInd w:val="0"/>
        <w:snapToGrid w:val="0"/>
        <w:spacing w:line="360" w:lineRule="auto"/>
        <w:ind w:firstLine="420" w:firstLineChars="200"/>
        <w:jc w:val="left"/>
        <w:rPr>
          <w:rFonts w:hint="eastAsia" w:ascii="宋体" w:hAnsi="宋体" w:eastAsia="宋体" w:cs="宋体"/>
          <w:szCs w:val="21"/>
        </w:rPr>
      </w:pPr>
      <w:permStart w:id="23" w:edGrp="everyone"/>
      <w:r>
        <w:rPr>
          <w:rFonts w:hint="eastAsia" w:ascii="宋体" w:hAnsi="宋体" w:eastAsia="宋体" w:cs="宋体"/>
          <w:szCs w:val="21"/>
        </w:rPr>
        <w:sym w:font="Wingdings" w:char="00FE"/>
      </w:r>
      <w:r>
        <w:rPr>
          <w:rFonts w:hint="eastAsia" w:ascii="宋体" w:hAnsi="宋体" w:eastAsia="宋体" w:cs="宋体"/>
          <w:szCs w:val="21"/>
        </w:rPr>
        <w:t xml:space="preserve"> </w:t>
      </w:r>
      <w:permEnd w:id="23"/>
      <w:r>
        <w:rPr>
          <w:rFonts w:hint="eastAsia" w:ascii="宋体" w:hAnsi="宋体" w:eastAsia="宋体" w:cs="宋体"/>
          <w:szCs w:val="21"/>
        </w:rPr>
        <w:t>提供该设备的原产地证明、厂家出具的质量合格证明；</w:t>
      </w:r>
    </w:p>
    <w:p w14:paraId="165204BC">
      <w:pPr>
        <w:adjustRightInd w:val="0"/>
        <w:snapToGrid w:val="0"/>
        <w:spacing w:line="360" w:lineRule="auto"/>
        <w:ind w:firstLine="420" w:firstLineChars="200"/>
        <w:jc w:val="left"/>
        <w:rPr>
          <w:rFonts w:hint="eastAsia" w:ascii="宋体" w:hAnsi="宋体" w:eastAsia="宋体" w:cs="宋体"/>
          <w:szCs w:val="21"/>
        </w:rPr>
      </w:pPr>
      <w:permStart w:id="24" w:edGrp="everyone"/>
      <w:r>
        <w:rPr>
          <w:rFonts w:hint="eastAsia" w:ascii="宋体" w:hAnsi="宋体" w:eastAsia="宋体" w:cs="宋体"/>
          <w:szCs w:val="21"/>
        </w:rPr>
        <w:t>□</w:t>
      </w:r>
      <w:permEnd w:id="24"/>
      <w:r>
        <w:rPr>
          <w:rFonts w:hint="eastAsia" w:ascii="宋体" w:hAnsi="宋体" w:eastAsia="宋体" w:cs="宋体"/>
          <w:szCs w:val="21"/>
        </w:rPr>
        <w:t xml:space="preserve"> 提供所有设备、配件的序列号清单，并盖公章确认；</w:t>
      </w:r>
    </w:p>
    <w:p w14:paraId="61AD86BC">
      <w:pPr>
        <w:adjustRightInd w:val="0"/>
        <w:snapToGrid w:val="0"/>
        <w:spacing w:line="360" w:lineRule="auto"/>
        <w:ind w:firstLine="420" w:firstLineChars="200"/>
        <w:jc w:val="left"/>
        <w:rPr>
          <w:rFonts w:hint="eastAsia" w:ascii="宋体" w:hAnsi="宋体" w:eastAsia="宋体" w:cs="宋体"/>
          <w:szCs w:val="21"/>
        </w:rPr>
      </w:pPr>
      <w:permStart w:id="25" w:edGrp="everyone"/>
      <w:r>
        <w:rPr>
          <w:rFonts w:hint="eastAsia" w:ascii="宋体" w:hAnsi="宋体" w:eastAsia="宋体" w:cs="宋体"/>
          <w:szCs w:val="21"/>
        </w:rPr>
        <w:t xml:space="preserve">□ </w:t>
      </w:r>
      <w:permEnd w:id="25"/>
      <w:r>
        <w:rPr>
          <w:rFonts w:hint="eastAsia" w:ascii="宋体" w:hAnsi="宋体" w:eastAsia="宋体" w:cs="宋体"/>
          <w:szCs w:val="21"/>
        </w:rPr>
        <w:t>甲方要求的其他资料：</w:t>
      </w:r>
      <w:permStart w:id="26" w:edGrp="everyone"/>
      <w:r>
        <w:rPr>
          <w:rFonts w:hint="eastAsia" w:ascii="宋体" w:hAnsi="宋体" w:eastAsia="宋体" w:cs="宋体"/>
          <w:szCs w:val="21"/>
          <w:u w:val="single"/>
        </w:rPr>
        <w:t xml:space="preserve">                </w:t>
      </w:r>
      <w:r>
        <w:rPr>
          <w:rFonts w:hint="eastAsia" w:ascii="宋体" w:hAnsi="宋体" w:eastAsia="宋体" w:cs="宋体"/>
          <w:szCs w:val="21"/>
        </w:rPr>
        <w:t>；</w:t>
      </w:r>
      <w:permEnd w:id="26"/>
    </w:p>
    <w:p w14:paraId="46E3529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上述资料的交付不能免除乙方在本合同项下的保证义务或其他义务。</w:t>
      </w:r>
    </w:p>
    <w:p w14:paraId="0D7DE59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7.5 甲方货物接收人的签收不视为货物验收合格，也不视为乙方交付的货物质量合格。</w:t>
      </w:r>
    </w:p>
    <w:p w14:paraId="705FB86B">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7.6 禁止乙方送货人员携带香烟、火种等易燃易爆物品进入交货地点或在交货地点吸烟。如乙方送货人员在交货地点有以上行为，乙方应向甲方支付当批次送货金额1%的违约金，造成甲方或他方损失的，乙方赔偿全部损失。乙方人员（含乙方外聘服务人员）需遵守收货场所安全管理及卫生防疫制度，如有违反，乙方负连带责任。</w:t>
      </w:r>
    </w:p>
    <w:p w14:paraId="4B8A121A">
      <w:pPr>
        <w:pStyle w:val="10"/>
        <w:rPr>
          <w:rFonts w:hint="eastAsia" w:ascii="宋体" w:hAnsi="宋体" w:eastAsia="宋体" w:cs="宋体"/>
          <w:szCs w:val="21"/>
        </w:rPr>
      </w:pPr>
      <w:r>
        <w:rPr>
          <w:rFonts w:hint="eastAsia" w:ascii="宋体" w:hAnsi="宋体" w:eastAsia="宋体" w:cs="宋体"/>
          <w:b/>
          <w:sz w:val="24"/>
          <w:szCs w:val="24"/>
        </w:rPr>
        <w:t>第八条  检验和测试</w:t>
      </w:r>
    </w:p>
    <w:p w14:paraId="06E08636">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8.1 验收方式：</w:t>
      </w:r>
    </w:p>
    <w:p w14:paraId="4258C4DF">
      <w:pPr>
        <w:adjustRightInd w:val="0"/>
        <w:snapToGrid w:val="0"/>
        <w:spacing w:line="360" w:lineRule="auto"/>
        <w:ind w:firstLine="420" w:firstLineChars="200"/>
        <w:jc w:val="left"/>
        <w:rPr>
          <w:rFonts w:hint="eastAsia" w:ascii="宋体" w:hAnsi="宋体" w:eastAsia="宋体" w:cs="宋体"/>
          <w:szCs w:val="21"/>
        </w:rPr>
      </w:pPr>
      <w:permStart w:id="27" w:edGrp="everyone"/>
      <w:r>
        <w:rPr>
          <w:rFonts w:hint="eastAsia" w:ascii="宋体" w:hAnsi="宋体" w:eastAsia="宋体" w:cs="宋体"/>
          <w:szCs w:val="21"/>
        </w:rPr>
        <w:sym w:font="Wingdings" w:char="00A8"/>
      </w:r>
      <w:permEnd w:id="27"/>
      <w:r>
        <w:rPr>
          <w:rFonts w:hint="eastAsia" w:ascii="宋体" w:hAnsi="宋体" w:eastAsia="宋体" w:cs="宋体"/>
          <w:szCs w:val="21"/>
        </w:rPr>
        <w:t xml:space="preserve"> 乙方按照交货时间将货物运到甲方指定交货地点后，甲方将自行负责组织对货物进行包括但不限于数量、包装、外观、型号、质量等验收工作，以确认货物是否符合合同要求。</w:t>
      </w:r>
    </w:p>
    <w:p w14:paraId="28923E0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1183F07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货物未满足本合同第十条的质量保证条款，甲方有权拒绝接收该货物，同时甲方有权要求乙方在5日内免费更换该货物或对货物进行维修、修复。验收合格的，双方应签署验收合格书面文件，并以此作为验收合格的唯一证明。</w:t>
      </w:r>
    </w:p>
    <w:p w14:paraId="6A5F4366">
      <w:pPr>
        <w:adjustRightInd w:val="0"/>
        <w:snapToGrid w:val="0"/>
        <w:spacing w:line="360" w:lineRule="auto"/>
        <w:ind w:firstLine="420" w:firstLineChars="200"/>
        <w:jc w:val="left"/>
        <w:rPr>
          <w:rFonts w:hint="eastAsia" w:ascii="宋体" w:hAnsi="宋体" w:eastAsia="宋体" w:cs="宋体"/>
          <w:szCs w:val="21"/>
        </w:rPr>
      </w:pPr>
      <w:permStart w:id="28" w:edGrp="everyone"/>
      <w:r>
        <w:rPr>
          <w:rFonts w:hint="eastAsia" w:ascii="宋体" w:hAnsi="宋体" w:eastAsia="宋体" w:cs="宋体"/>
          <w:szCs w:val="21"/>
          <w:lang w:eastAsia="zh-CN"/>
        </w:rPr>
        <w:t>☑</w:t>
      </w:r>
      <w:permEnd w:id="28"/>
      <w:r>
        <w:rPr>
          <w:rFonts w:hint="eastAsia" w:ascii="宋体" w:hAnsi="宋体" w:eastAsia="宋体" w:cs="宋体"/>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362A835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8.2 货物到现场后由乙方负责保管，相关费用已包含在合同金额中，货物保管义务及其毁损、灭失等风险及自甲方或甲方用户验收合格后转移至甲方。</w:t>
      </w:r>
    </w:p>
    <w:p w14:paraId="302A74E7">
      <w:pPr>
        <w:adjustRightInd w:val="0"/>
        <w:snapToGrid w:val="0"/>
        <w:spacing w:line="360" w:lineRule="auto"/>
        <w:ind w:firstLine="420" w:firstLineChars="200"/>
        <w:jc w:val="left"/>
        <w:rPr>
          <w:rFonts w:hint="eastAsia" w:ascii="宋体" w:hAnsi="宋体" w:eastAsia="宋体" w:cs="宋体"/>
          <w:szCs w:val="21"/>
          <w:highlight w:val="cyan"/>
        </w:rPr>
      </w:pPr>
      <w:r>
        <w:rPr>
          <w:rFonts w:hint="eastAsia" w:ascii="宋体" w:hAnsi="宋体" w:eastAsia="宋体" w:cs="宋体"/>
          <w:szCs w:val="21"/>
        </w:rPr>
        <w:t>8.3 乙方知悉并认可，甲方或甲方用户对货物验收合格，仍不免除乙方在后续阶段及质保期内应当承担的质量保证责任。</w:t>
      </w:r>
    </w:p>
    <w:p w14:paraId="198A253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8.4 甲方在货物到达现场后对货物进行的收货、测试、试运行、验收及必要时拒绝接收货物的权力将不会因为货物在从来源地区启运前通过了甲方或其代表的检验、测试和认可而受限制或放弃。</w:t>
      </w:r>
    </w:p>
    <w:p w14:paraId="6EC1A0C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8.5 如</w:t>
      </w:r>
      <w:r>
        <w:rPr>
          <w:rFonts w:hint="eastAsia" w:ascii="宋体" w:hAnsi="宋体" w:eastAsia="宋体" w:cs="宋体"/>
          <w:szCs w:val="21"/>
          <w:lang w:val="en-US" w:eastAsia="zh-CN"/>
        </w:rPr>
        <w:t>甲乙</w:t>
      </w:r>
      <w:r>
        <w:rPr>
          <w:rFonts w:hint="eastAsia" w:ascii="宋体" w:hAnsi="宋体" w:eastAsia="宋体" w:cs="宋体"/>
          <w:szCs w:val="21"/>
        </w:rPr>
        <w:t>双方对货物质量等问题产生争议，可委托具有相应资质的第三方进行检验，鉴定结果对双方具有约束力。若鉴定结果为不合格，甲方有权要求乙方承担检验鉴定费用并按照合同第十</w:t>
      </w:r>
      <w:r>
        <w:rPr>
          <w:rFonts w:hint="eastAsia" w:ascii="宋体" w:hAnsi="宋体" w:eastAsia="宋体" w:cs="宋体"/>
          <w:szCs w:val="21"/>
          <w:lang w:val="en-US" w:eastAsia="zh-CN"/>
        </w:rPr>
        <w:t>一</w:t>
      </w:r>
      <w:r>
        <w:rPr>
          <w:rFonts w:hint="eastAsia" w:ascii="宋体" w:hAnsi="宋体" w:eastAsia="宋体" w:cs="宋体"/>
          <w:szCs w:val="21"/>
        </w:rPr>
        <w:t>条约定承担违约责任。货物质量的争议不免除或影响乙方的及时保修或者维修义务。</w:t>
      </w:r>
    </w:p>
    <w:p w14:paraId="16B96FE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乙方</w:t>
      </w:r>
      <w:r>
        <w:rPr>
          <w:rFonts w:hint="eastAsia" w:ascii="宋体" w:hAnsi="宋体" w:eastAsia="宋体" w:cs="宋体"/>
          <w:szCs w:val="21"/>
        </w:rPr>
        <w:t>需接受并服从甲方或甲方用户的管理与监督。</w:t>
      </w:r>
    </w:p>
    <w:p w14:paraId="20B429DA">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第九条  付款方式</w:t>
      </w:r>
    </w:p>
    <w:p w14:paraId="299A5DE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 甲方通过</w:t>
      </w:r>
      <w:permStart w:id="29" w:edGrp="everyone"/>
      <w:r>
        <w:rPr>
          <w:rFonts w:hint="eastAsia" w:ascii="宋体" w:hAnsi="宋体" w:eastAsia="宋体" w:cs="宋体"/>
          <w:szCs w:val="21"/>
        </w:rPr>
        <w:sym w:font="Wingdings" w:char="00FE"/>
      </w:r>
      <w:permEnd w:id="29"/>
      <w:r>
        <w:rPr>
          <w:rFonts w:hint="eastAsia" w:ascii="宋体" w:hAnsi="宋体" w:eastAsia="宋体" w:cs="宋体"/>
          <w:szCs w:val="21"/>
        </w:rPr>
        <w:t>银行转账；</w:t>
      </w:r>
      <w:permStart w:id="30" w:edGrp="everyone"/>
      <w:r>
        <w:rPr>
          <w:rFonts w:hint="eastAsia" w:ascii="宋体" w:hAnsi="宋体" w:eastAsia="宋体" w:cs="宋体"/>
          <w:szCs w:val="21"/>
          <w:lang w:eastAsia="zh-CN"/>
        </w:rPr>
        <w:t>☑</w:t>
      </w:r>
      <w:permEnd w:id="30"/>
      <w:r>
        <w:rPr>
          <w:rFonts w:hint="eastAsia" w:ascii="宋体" w:hAnsi="宋体" w:eastAsia="宋体" w:cs="宋体"/>
          <w:szCs w:val="21"/>
        </w:rPr>
        <w:t>银行承兑汇票；</w:t>
      </w:r>
      <w:permStart w:id="31" w:edGrp="everyone"/>
      <w:r>
        <w:rPr>
          <w:rFonts w:hint="eastAsia" w:ascii="宋体" w:hAnsi="宋体" w:eastAsia="宋体" w:cs="宋体"/>
          <w:szCs w:val="21"/>
          <w:lang w:eastAsia="zh-CN"/>
        </w:rPr>
        <w:t>☑</w:t>
      </w:r>
      <w:permEnd w:id="31"/>
      <w:r>
        <w:rPr>
          <w:rFonts w:hint="eastAsia" w:ascii="宋体" w:hAnsi="宋体" w:eastAsia="宋体" w:cs="宋体"/>
          <w:szCs w:val="21"/>
        </w:rPr>
        <w:t>其他</w:t>
      </w:r>
      <w:permStart w:id="32" w:edGrp="everyone"/>
      <w:r>
        <w:rPr>
          <w:rFonts w:hint="eastAsia" w:ascii="宋体" w:hAnsi="宋体" w:eastAsia="宋体" w:cs="宋体"/>
          <w:szCs w:val="21"/>
          <w:u w:val="single"/>
        </w:rPr>
        <w:t xml:space="preserve">         </w:t>
      </w:r>
      <w:permEnd w:id="32"/>
      <w:r>
        <w:rPr>
          <w:rFonts w:hint="eastAsia" w:ascii="宋体" w:hAnsi="宋体" w:eastAsia="宋体" w:cs="宋体"/>
          <w:szCs w:val="21"/>
        </w:rPr>
        <w:t>，并按照以下第</w:t>
      </w:r>
      <w:permStart w:id="33" w:edGrp="everyone"/>
      <w:r>
        <w:rPr>
          <w:rFonts w:hint="eastAsia" w:ascii="宋体" w:hAnsi="宋体" w:eastAsia="宋体" w:cs="宋体"/>
          <w:szCs w:val="21"/>
        </w:rPr>
        <w:t xml:space="preserve"> 9.1.2 款约定，向乙方支付合同价款：</w:t>
      </w:r>
      <w:permEnd w:id="33"/>
    </w:p>
    <w:p w14:paraId="5202004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9.1.1 货到付款：产品设备全部到货经甲方或甲方用户验收合</w:t>
      </w:r>
      <w:r>
        <w:rPr>
          <w:rFonts w:hint="eastAsia" w:ascii="宋体" w:hAnsi="宋体" w:eastAsia="宋体" w:cs="宋体"/>
          <w:bCs/>
          <w:szCs w:val="21"/>
        </w:rPr>
        <w:t>格，</w:t>
      </w:r>
      <w:r>
        <w:rPr>
          <w:rFonts w:hint="eastAsia" w:ascii="宋体" w:hAnsi="宋体" w:eastAsia="宋体" w:cs="宋体"/>
          <w:szCs w:val="21"/>
        </w:rPr>
        <w:t>甲方在收到乙方提供的发票</w:t>
      </w:r>
      <w:r>
        <w:rPr>
          <w:rFonts w:hint="eastAsia" w:ascii="宋体" w:hAnsi="宋体" w:eastAsia="宋体" w:cs="宋体"/>
          <w:bCs/>
          <w:szCs w:val="21"/>
        </w:rPr>
        <w:t>后</w:t>
      </w:r>
      <w:permStart w:id="34" w:edGrp="everyone"/>
      <w:r>
        <w:rPr>
          <w:rFonts w:hint="eastAsia" w:ascii="宋体" w:hAnsi="宋体" w:eastAsia="宋体" w:cs="宋体"/>
          <w:bCs/>
          <w:szCs w:val="21"/>
          <w:u w:val="single"/>
        </w:rPr>
        <w:t xml:space="preserve"> / </w:t>
      </w:r>
      <w:permEnd w:id="34"/>
      <w:r>
        <w:rPr>
          <w:rFonts w:hint="eastAsia" w:ascii="宋体" w:hAnsi="宋体" w:eastAsia="宋体" w:cs="宋体"/>
          <w:bCs/>
          <w:szCs w:val="21"/>
        </w:rPr>
        <w:t>个工作日内</w:t>
      </w:r>
      <w:r>
        <w:rPr>
          <w:rFonts w:hint="eastAsia" w:ascii="宋体" w:hAnsi="宋体" w:eastAsia="宋体" w:cs="宋体"/>
          <w:szCs w:val="21"/>
        </w:rPr>
        <w:t>（以发票签收日期为起算日），甲方向乙方支付合同总金额的</w:t>
      </w:r>
      <w:permStart w:id="35" w:edGrp="everyone"/>
      <w:r>
        <w:rPr>
          <w:rFonts w:hint="eastAsia" w:ascii="宋体" w:hAnsi="宋体" w:eastAsia="宋体" w:cs="宋体"/>
          <w:szCs w:val="21"/>
          <w:u w:val="single"/>
        </w:rPr>
        <w:t xml:space="preserve"> / </w:t>
      </w:r>
      <w:r>
        <w:rPr>
          <w:rFonts w:hint="eastAsia" w:ascii="宋体" w:hAnsi="宋体" w:eastAsia="宋体" w:cs="宋体"/>
          <w:szCs w:val="21"/>
        </w:rPr>
        <w:t>%</w:t>
      </w:r>
      <w:permEnd w:id="35"/>
      <w:r>
        <w:rPr>
          <w:rFonts w:hint="eastAsia" w:ascii="宋体" w:hAnsi="宋体" w:eastAsia="宋体" w:cs="宋体"/>
          <w:szCs w:val="21"/>
        </w:rPr>
        <w:t>，即人民币：</w:t>
      </w:r>
      <w:permStart w:id="36" w:edGrp="everyone"/>
      <w:r>
        <w:rPr>
          <w:rFonts w:hint="eastAsia" w:ascii="宋体" w:hAnsi="宋体" w:eastAsia="宋体" w:cs="宋体"/>
          <w:szCs w:val="21"/>
          <w:u w:val="single"/>
        </w:rPr>
        <w:t xml:space="preserve"> / 元  </w:t>
      </w:r>
      <w:permEnd w:id="36"/>
      <w:r>
        <w:rPr>
          <w:rFonts w:hint="eastAsia" w:ascii="宋体" w:hAnsi="宋体" w:eastAsia="宋体" w:cs="宋体"/>
          <w:szCs w:val="21"/>
        </w:rPr>
        <w:t>；剩余</w:t>
      </w:r>
      <w:permStart w:id="37" w:edGrp="everyone"/>
      <w:r>
        <w:rPr>
          <w:rFonts w:hint="eastAsia" w:ascii="宋体" w:hAnsi="宋体" w:eastAsia="宋体" w:cs="宋体"/>
          <w:szCs w:val="21"/>
          <w:u w:val="single"/>
        </w:rPr>
        <w:t xml:space="preserve">  /  </w:t>
      </w:r>
      <w:permEnd w:id="37"/>
      <w:r>
        <w:rPr>
          <w:rFonts w:hint="eastAsia" w:ascii="宋体" w:hAnsi="宋体" w:eastAsia="宋体" w:cs="宋体"/>
          <w:szCs w:val="21"/>
        </w:rPr>
        <w:t>%作为质保金，甲方在质保期届满后货物无任何质量问题且乙方无任何违约行为的情况下，</w:t>
      </w:r>
      <w:permStart w:id="38" w:edGrp="everyone"/>
      <w:r>
        <w:rPr>
          <w:rFonts w:hint="eastAsia" w:ascii="宋体" w:hAnsi="宋体" w:eastAsia="宋体" w:cs="宋体"/>
          <w:szCs w:val="21"/>
          <w:u w:val="single"/>
        </w:rPr>
        <w:t xml:space="preserve">  / </w:t>
      </w:r>
      <w:permEnd w:id="38"/>
      <w:r>
        <w:rPr>
          <w:rFonts w:hint="eastAsia" w:ascii="宋体" w:hAnsi="宋体" w:eastAsia="宋体" w:cs="宋体"/>
          <w:szCs w:val="21"/>
        </w:rPr>
        <w:t>个工作日内将剩余质保金一次性无息支付；</w:t>
      </w:r>
    </w:p>
    <w:p w14:paraId="070786C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9.1.2 付款方式：</w:t>
      </w:r>
    </w:p>
    <w:p w14:paraId="6154123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9.1.2.1</w:t>
      </w:r>
      <w:r>
        <w:rPr>
          <w:rFonts w:hint="eastAsia" w:ascii="宋体" w:hAnsi="宋体" w:eastAsia="宋体" w:cs="宋体"/>
          <w:szCs w:val="21"/>
        </w:rPr>
        <w:t>签订合同后15个工作日内，甲方向乙方支付合同总价款的20%作为预付款。乙方需提供相应金额的增值税专用发票。</w:t>
      </w:r>
    </w:p>
    <w:p w14:paraId="4C90F9B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9.1.2.2</w:t>
      </w:r>
      <w:r>
        <w:rPr>
          <w:rFonts w:hint="eastAsia" w:ascii="宋体" w:hAnsi="宋体" w:eastAsia="宋体" w:cs="宋体"/>
          <w:szCs w:val="21"/>
        </w:rPr>
        <w:t>完成项目实施工作并最终验收合格后一个月内，甲方向乙方支付合同总价款的75%。乙方需提供项目剩余的全额增值税专用发票。</w:t>
      </w:r>
    </w:p>
    <w:p w14:paraId="1C6CD73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9.1.2.3</w:t>
      </w:r>
      <w:r>
        <w:rPr>
          <w:rFonts w:hint="eastAsia" w:ascii="宋体" w:hAnsi="宋体" w:eastAsia="宋体" w:cs="宋体"/>
          <w:szCs w:val="21"/>
        </w:rPr>
        <w:t>自项目最终验收合格后进入三年的质保期，完成三年质保期后，甲方向乙方支付合同总价款的5%。</w:t>
      </w:r>
    </w:p>
    <w:p w14:paraId="58419BA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 xml:space="preserve">9.1.2.4 </w:t>
      </w:r>
      <w:r>
        <w:rPr>
          <w:rFonts w:hint="eastAsia" w:ascii="宋体" w:hAnsi="宋体" w:eastAsia="宋体" w:cs="宋体"/>
          <w:szCs w:val="21"/>
        </w:rPr>
        <w:t>甲方每次付款前，乙方需向甲方出具符合要求的合法增值税专用发票，否则，甲方有权顺延付款时间且不构成违约。</w:t>
      </w:r>
    </w:p>
    <w:p w14:paraId="0FF87F2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上述付款在</w:t>
      </w:r>
      <w:r>
        <w:rPr>
          <w:rFonts w:hint="eastAsia" w:ascii="宋体" w:hAnsi="宋体" w:eastAsia="宋体" w:cs="宋体"/>
          <w:szCs w:val="21"/>
        </w:rPr>
        <w:t>甲方收到建设方相关预付款后同比例支付</w:t>
      </w:r>
      <w:r>
        <w:rPr>
          <w:rFonts w:hint="eastAsia" w:ascii="宋体" w:hAnsi="宋体" w:eastAsia="宋体" w:cs="宋体"/>
          <w:szCs w:val="21"/>
          <w:lang w:val="en-US" w:eastAsia="zh-CN"/>
        </w:rPr>
        <w:t>给</w:t>
      </w:r>
      <w:r>
        <w:rPr>
          <w:rFonts w:hint="eastAsia" w:ascii="宋体" w:hAnsi="宋体" w:eastAsia="宋体" w:cs="宋体"/>
          <w:szCs w:val="21"/>
        </w:rPr>
        <w:t>乙方</w:t>
      </w:r>
      <w:r>
        <w:rPr>
          <w:rFonts w:hint="eastAsia" w:ascii="宋体" w:hAnsi="宋体" w:eastAsia="宋体" w:cs="宋体"/>
          <w:szCs w:val="21"/>
          <w:lang w:eastAsia="zh-CN"/>
        </w:rPr>
        <w:t>。</w:t>
      </w:r>
      <w:r>
        <w:rPr>
          <w:rFonts w:hint="eastAsia" w:ascii="宋体" w:hAnsi="宋体" w:eastAsia="宋体" w:cs="宋体"/>
          <w:szCs w:val="21"/>
        </w:rPr>
        <w:t>甲方付款前，乙方须提供合同全额、合法增值税专用发票、及相关工程档案资料并送达甲方。</w:t>
      </w:r>
      <w:r>
        <w:rPr>
          <w:rFonts w:hint="eastAsia" w:ascii="宋体" w:hAnsi="宋体" w:eastAsia="宋体" w:cs="宋体"/>
          <w:szCs w:val="21"/>
          <w:lang w:val="en-US" w:eastAsia="zh-CN"/>
        </w:rPr>
        <w:t>甲</w:t>
      </w:r>
      <w:r>
        <w:rPr>
          <w:rFonts w:hint="eastAsia" w:ascii="宋体" w:hAnsi="宋体" w:eastAsia="宋体" w:cs="宋体"/>
          <w:szCs w:val="21"/>
        </w:rPr>
        <w:t>方收到上述材料</w:t>
      </w:r>
      <w:r>
        <w:rPr>
          <w:rFonts w:hint="eastAsia" w:ascii="宋体" w:hAnsi="宋体" w:eastAsia="宋体" w:cs="宋体"/>
          <w:szCs w:val="21"/>
          <w:u w:val="single"/>
        </w:rPr>
        <w:t xml:space="preserve"> 5 </w:t>
      </w:r>
      <w:r>
        <w:rPr>
          <w:rFonts w:hint="eastAsia" w:ascii="宋体" w:hAnsi="宋体" w:eastAsia="宋体" w:cs="宋体"/>
          <w:szCs w:val="21"/>
        </w:rPr>
        <w:t>个工作日内应向乙方付款。</w:t>
      </w:r>
    </w:p>
    <w:p w14:paraId="18B34546">
      <w:pPr>
        <w:adjustRightInd w:val="0"/>
        <w:snapToGrid w:val="0"/>
        <w:spacing w:line="360" w:lineRule="auto"/>
        <w:ind w:firstLine="420" w:firstLineChars="200"/>
        <w:jc w:val="left"/>
        <w:rPr>
          <w:rFonts w:hint="eastAsia" w:ascii="宋体" w:hAnsi="宋体" w:eastAsia="宋体" w:cs="宋体"/>
          <w:color w:val="C00000"/>
          <w:szCs w:val="21"/>
          <w:highlight w:val="none"/>
          <w:lang w:val="en-US" w:eastAsia="zh-CN"/>
        </w:rPr>
      </w:pPr>
      <w:r>
        <w:rPr>
          <w:rFonts w:hint="eastAsia" w:ascii="宋体" w:hAnsi="宋体" w:eastAsia="宋体" w:cs="宋体"/>
          <w:color w:val="auto"/>
          <w:szCs w:val="21"/>
          <w:highlight w:val="none"/>
          <w:lang w:val="en-US" w:eastAsia="zh-CN"/>
        </w:rPr>
        <w:t>本条所称工程进度以甲方用户向甲方出具的工程进度确认资料为准。</w:t>
      </w:r>
    </w:p>
    <w:p w14:paraId="1D66AC3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9.1.3 因工程项目现场需要采购本合同项下的货物，甲方在收到甲方用户支付对应款项后</w:t>
      </w:r>
      <w:permStart w:id="39" w:edGrp="everyone"/>
      <w:r>
        <w:rPr>
          <w:rFonts w:hint="eastAsia" w:ascii="宋体" w:hAnsi="宋体" w:eastAsia="宋体" w:cs="宋体"/>
          <w:szCs w:val="21"/>
          <w:u w:val="single"/>
        </w:rPr>
        <w:t xml:space="preserve"> 5 </w:t>
      </w:r>
      <w:permEnd w:id="39"/>
      <w:r>
        <w:rPr>
          <w:rFonts w:hint="eastAsia" w:ascii="宋体" w:hAnsi="宋体" w:eastAsia="宋体" w:cs="宋体"/>
          <w:szCs w:val="21"/>
        </w:rPr>
        <w:t>个工作日内向乙方进行同比例支付；</w:t>
      </w:r>
    </w:p>
    <w:p w14:paraId="6ABDC7EA">
      <w:pPr>
        <w:adjustRightInd w:val="0"/>
        <w:snapToGrid w:val="0"/>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9.1.4 其他付款方式：</w:t>
      </w:r>
      <w:permStart w:id="40" w:edGrp="everyone"/>
      <w:r>
        <w:rPr>
          <w:rFonts w:hint="eastAsia" w:ascii="宋体" w:hAnsi="宋体" w:eastAsia="宋体" w:cs="宋体"/>
          <w:szCs w:val="21"/>
          <w:u w:val="single"/>
        </w:rPr>
        <w:t xml:space="preserve"> /  </w:t>
      </w:r>
      <w:permEnd w:id="40"/>
      <w:r>
        <w:rPr>
          <w:rFonts w:hint="eastAsia" w:ascii="宋体" w:hAnsi="宋体" w:eastAsia="宋体" w:cs="宋体"/>
          <w:szCs w:val="21"/>
        </w:rPr>
        <w:t>。</w:t>
      </w:r>
    </w:p>
    <w:p w14:paraId="253305B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9.2 以上每次付款，乙方均应当开具税率</w:t>
      </w:r>
      <w:permStart w:id="41" w:edGrp="everyone"/>
      <w:r>
        <w:rPr>
          <w:rFonts w:hint="eastAsia" w:ascii="宋体" w:hAnsi="宋体" w:eastAsia="宋体" w:cs="宋体"/>
          <w:szCs w:val="21"/>
          <w:u w:val="single"/>
        </w:rPr>
        <w:t xml:space="preserve">  硬件13% </w:t>
      </w:r>
      <w:r>
        <w:rPr>
          <w:rFonts w:hint="eastAsia" w:ascii="宋体" w:hAnsi="宋体" w:eastAsia="宋体" w:cs="宋体"/>
          <w:szCs w:val="21"/>
        </w:rPr>
        <w:sym w:font="Wingdings" w:char="00FE"/>
      </w:r>
      <w:permEnd w:id="41"/>
      <w:r>
        <w:rPr>
          <w:rFonts w:hint="eastAsia" w:ascii="宋体" w:hAnsi="宋体" w:eastAsia="宋体" w:cs="宋体"/>
          <w:szCs w:val="21"/>
        </w:rPr>
        <w:t xml:space="preserve">增值税专用发票 </w:t>
      </w:r>
      <w:permStart w:id="42" w:edGrp="everyone"/>
      <w:r>
        <w:rPr>
          <w:rFonts w:hint="eastAsia" w:ascii="宋体" w:hAnsi="宋体" w:eastAsia="宋体" w:cs="宋体"/>
          <w:szCs w:val="21"/>
        </w:rPr>
        <w:t>□</w:t>
      </w:r>
      <w:permEnd w:id="42"/>
      <w:r>
        <w:rPr>
          <w:rFonts w:hint="eastAsia" w:ascii="宋体" w:hAnsi="宋体" w:eastAsia="宋体" w:cs="宋体"/>
          <w:szCs w:val="21"/>
        </w:rPr>
        <w:t xml:space="preserve">增值税普通发票 </w:t>
      </w:r>
      <w:permStart w:id="43" w:edGrp="everyone"/>
      <w:r>
        <w:rPr>
          <w:rFonts w:hint="eastAsia" w:ascii="宋体" w:hAnsi="宋体" w:eastAsia="宋体" w:cs="宋体"/>
          <w:szCs w:val="21"/>
        </w:rPr>
        <w:t>□</w:t>
      </w:r>
      <w:permEnd w:id="43"/>
      <w:r>
        <w:rPr>
          <w:rFonts w:hint="eastAsia" w:ascii="宋体" w:hAnsi="宋体" w:eastAsia="宋体" w:cs="宋体"/>
          <w:szCs w:val="21"/>
        </w:rPr>
        <w:t>其他类型发票：</w:t>
      </w:r>
      <w:permStart w:id="44" w:edGrp="everyone"/>
      <w:r>
        <w:rPr>
          <w:rFonts w:hint="eastAsia" w:ascii="宋体" w:hAnsi="宋体" w:eastAsia="宋体" w:cs="宋体"/>
          <w:szCs w:val="21"/>
          <w:u w:val="single"/>
        </w:rPr>
        <w:t xml:space="preserve">         </w:t>
      </w:r>
      <w:permEnd w:id="44"/>
      <w:r>
        <w:rPr>
          <w:rFonts w:hint="eastAsia" w:ascii="宋体" w:hAnsi="宋体" w:eastAsia="宋体" w:cs="宋体"/>
          <w:szCs w:val="21"/>
          <w:u w:val="single"/>
        </w:rPr>
        <w:t xml:space="preserve"> </w:t>
      </w:r>
      <w:r>
        <w:rPr>
          <w:rFonts w:hint="eastAsia" w:ascii="宋体" w:hAnsi="宋体" w:eastAsia="宋体" w:cs="宋体"/>
          <w:szCs w:val="21"/>
        </w:rPr>
        <w:t>给甲方，付款时间以甲方收到乙方开据发票原件后算起。</w:t>
      </w:r>
    </w:p>
    <w:p w14:paraId="5AB9E53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1CB4ABB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9.4 甲方通过转账方式支付的，应在本合同载明乙方账户信息及甲方开票信息：</w:t>
      </w:r>
    </w:p>
    <w:p w14:paraId="4109EF9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9.4.1 甲方开票信息：</w:t>
      </w:r>
    </w:p>
    <w:p w14:paraId="39E90200">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公司名称：南京禄口国际机场空港科技有限公司</w:t>
      </w:r>
    </w:p>
    <w:p w14:paraId="3D76CB8A">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开户银行：中国银行南京禄口机场支行</w:t>
      </w:r>
    </w:p>
    <w:p w14:paraId="0DF3E293">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账号：553470001259</w:t>
      </w:r>
    </w:p>
    <w:p w14:paraId="4DDF02A1">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纳税人识别号：913200007140930345</w:t>
      </w:r>
    </w:p>
    <w:p w14:paraId="02A594FE">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电话：025-69820630</w:t>
      </w:r>
    </w:p>
    <w:p w14:paraId="79FD31AD">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注册地址：南京禄口国际机场翔鹰二路9号2号办公楼2楼</w:t>
      </w:r>
    </w:p>
    <w:p w14:paraId="11A79AA2">
      <w:pPr>
        <w:ind w:firstLine="840" w:firstLineChars="400"/>
        <w:rPr>
          <w:rFonts w:hint="eastAsia" w:ascii="宋体" w:hAnsi="宋体" w:eastAsia="宋体" w:cs="宋体"/>
          <w:szCs w:val="21"/>
        </w:rPr>
      </w:pPr>
      <w:r>
        <w:rPr>
          <w:rFonts w:hint="eastAsia" w:ascii="宋体" w:hAnsi="宋体" w:eastAsia="宋体" w:cs="宋体"/>
          <w:szCs w:val="21"/>
        </w:rPr>
        <w:t>发票邮寄地址：</w:t>
      </w:r>
      <w:r>
        <w:rPr>
          <w:rFonts w:hint="eastAsia" w:ascii="宋体" w:hAnsi="宋体" w:eastAsia="宋体" w:cs="宋体"/>
        </w:rPr>
        <w:t>南京市江宁区秣陵街道天元西路199号东部机场集团10楼</w:t>
      </w:r>
    </w:p>
    <w:p w14:paraId="41C5797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9.4.2 乙方账户信息：</w:t>
      </w:r>
    </w:p>
    <w:p w14:paraId="6596A4DB">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公司名称：</w:t>
      </w:r>
      <w:permStart w:id="45"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45"/>
    </w:p>
    <w:p w14:paraId="57BA04E1">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开户行：</w:t>
      </w:r>
      <w:permStart w:id="46"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46"/>
    </w:p>
    <w:p w14:paraId="2DBCB17A">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账号：</w:t>
      </w:r>
      <w:permStart w:id="47"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47"/>
    </w:p>
    <w:p w14:paraId="1ACDC2F1">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第十条  质量保证及售后服务</w:t>
      </w:r>
    </w:p>
    <w:p w14:paraId="470C255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10.1 乙方应保证本合同项下所提供货物及零配件等都必须是原厂出品，与原厂商的相关技术规范和要求相符合，且必须能够得到原厂商的售后维保服务。</w:t>
      </w:r>
    </w:p>
    <w:p w14:paraId="20FB9FD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10.2 乙方应保证合同项下所提供的货物是全新的、未使用过的，是最新的或目前的型号，除非合同另有规定，货物应含有设计上和材料上的全部最新改进。乙方进一步保证，合同项下提供的全部货物没有设计、材料上或工艺上的缺陷（由于按甲方要求设计或按甲方的规格提供的材料所产生的缺陷除外）或者没有因乙方的行为或疏忽而产生的缺陷，这些缺陷是所供货物在最终目的地国家现行条件下正常使用可能产生的。</w:t>
      </w:r>
    </w:p>
    <w:p w14:paraId="06FFD73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10.3 乙方应保证本合同项下所提供货物规格、性能、质量、技术参数等各项指标能够达到甲方要求，货物能够顺利通过检验、安装、调试、试运行、验收及质量保证期等各阶段要求。</w:t>
      </w:r>
    </w:p>
    <w:p w14:paraId="67D7ECB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10.4 本合同货物质量保证期为自</w:t>
      </w:r>
      <w:permStart w:id="48" w:edGrp="everyone"/>
      <w:r>
        <w:rPr>
          <w:rFonts w:hint="eastAsia" w:ascii="宋体" w:hAnsi="宋体" w:eastAsia="宋体" w:cs="宋体"/>
          <w:szCs w:val="21"/>
          <w:u w:val="single"/>
        </w:rPr>
        <w:t xml:space="preserve">终验验收合格后 </w:t>
      </w:r>
      <w:r>
        <w:rPr>
          <w:rFonts w:hint="eastAsia" w:ascii="宋体" w:hAnsi="宋体" w:eastAsia="宋体" w:cs="宋体"/>
          <w:szCs w:val="21"/>
          <w:u w:val="single"/>
          <w:lang w:val="en-US" w:eastAsia="zh-CN"/>
        </w:rPr>
        <w:t>三</w:t>
      </w:r>
      <w:r>
        <w:rPr>
          <w:rFonts w:hint="eastAsia" w:ascii="宋体" w:hAnsi="宋体" w:eastAsia="宋体" w:cs="宋体"/>
          <w:szCs w:val="21"/>
          <w:u w:val="single"/>
        </w:rPr>
        <w:t xml:space="preserve"> </w:t>
      </w:r>
      <w:permEnd w:id="48"/>
      <w:r>
        <w:rPr>
          <w:rFonts w:hint="eastAsia" w:ascii="宋体" w:hAnsi="宋体" w:eastAsia="宋体" w:cs="宋体"/>
          <w:szCs w:val="21"/>
        </w:rPr>
        <w:t>年原厂服务及</w:t>
      </w:r>
      <w:permStart w:id="49"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三</w:t>
      </w:r>
      <w:r>
        <w:rPr>
          <w:rFonts w:hint="eastAsia" w:ascii="宋体" w:hAnsi="宋体" w:eastAsia="宋体" w:cs="宋体"/>
          <w:szCs w:val="21"/>
          <w:u w:val="single"/>
        </w:rPr>
        <w:t xml:space="preserve"> </w:t>
      </w:r>
      <w:permEnd w:id="49"/>
      <w:r>
        <w:rPr>
          <w:rFonts w:hint="eastAsia" w:ascii="宋体" w:hAnsi="宋体" w:eastAsia="宋体" w:cs="宋体"/>
          <w:szCs w:val="21"/>
        </w:rPr>
        <w:t>年乙方服务；</w:t>
      </w:r>
    </w:p>
    <w:p w14:paraId="31AF367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10.5 甲方应以书面形式通知乙方在质量保证期内所发现的问题或缺陷。乙方指定专人（姓名：</w:t>
      </w:r>
      <w:permStart w:id="50" w:edGrp="everyone"/>
      <w:r>
        <w:rPr>
          <w:rFonts w:hint="eastAsia" w:ascii="宋体" w:hAnsi="宋体" w:eastAsia="宋体" w:cs="宋体"/>
          <w:szCs w:val="21"/>
        </w:rPr>
        <w:t xml:space="preserve">    </w:t>
      </w:r>
      <w:permEnd w:id="50"/>
      <w:r>
        <w:rPr>
          <w:rFonts w:hint="eastAsia" w:ascii="宋体" w:hAnsi="宋体" w:eastAsia="宋体" w:cs="宋体"/>
          <w:szCs w:val="21"/>
        </w:rPr>
        <w:t>，电话：</w:t>
      </w:r>
      <w:permStart w:id="51" w:edGrp="everyone"/>
      <w:r>
        <w:rPr>
          <w:rFonts w:hint="eastAsia" w:ascii="宋体" w:hAnsi="宋体" w:eastAsia="宋体" w:cs="宋体"/>
          <w:szCs w:val="21"/>
        </w:rPr>
        <w:t xml:space="preserve">  </w:t>
      </w:r>
      <w:permEnd w:id="51"/>
      <w:r>
        <w:rPr>
          <w:rFonts w:hint="eastAsia" w:ascii="宋体" w:hAnsi="宋体" w:eastAsia="宋体" w:cs="宋体"/>
          <w:szCs w:val="21"/>
        </w:rPr>
        <w:t>）负责售后服务联系事宜。</w:t>
      </w:r>
    </w:p>
    <w:p w14:paraId="0937570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10.6 质量保证期内非因甲方原因</w:t>
      </w:r>
      <w:r>
        <w:rPr>
          <w:rFonts w:hint="eastAsia" w:ascii="宋体" w:hAnsi="宋体" w:eastAsia="宋体" w:cs="宋体"/>
        </w:rPr>
        <w:t>出现的质量问题或缺陷，乙方自接到甲方电话通知后</w:t>
      </w:r>
      <w:permStart w:id="52" w:edGrp="everyone"/>
      <w:r>
        <w:rPr>
          <w:rFonts w:hint="eastAsia" w:ascii="宋体" w:hAnsi="宋体" w:eastAsia="宋体" w:cs="宋体"/>
          <w:u w:val="single"/>
        </w:rPr>
        <w:t xml:space="preserve">    </w:t>
      </w:r>
      <w:permEnd w:id="52"/>
      <w:r>
        <w:rPr>
          <w:rFonts w:hint="eastAsia" w:ascii="宋体" w:hAnsi="宋体" w:eastAsia="宋体" w:cs="宋体"/>
        </w:rPr>
        <w:t>小时内派人到达现场免费维修。乙方派遣的维修人员到达现场后12小时内未修复的，或者经两次修理仍出现故障的，乙方应于5日内</w:t>
      </w:r>
      <w:r>
        <w:rPr>
          <w:rFonts w:hint="eastAsia" w:ascii="宋体" w:hAnsi="宋体" w:eastAsia="宋体" w:cs="宋体"/>
          <w:szCs w:val="21"/>
        </w:rPr>
        <w:t>用符合合同规定的规格、质量和性能要求的新零件、部件和/或货物来免费更换有缺陷的部分和/或修补缺陷部分，该货物质量保证期自问题或缺陷解决之日起</w:t>
      </w:r>
      <w:r>
        <w:rPr>
          <w:rFonts w:hint="eastAsia" w:ascii="宋体" w:hAnsi="宋体" w:eastAsia="宋体" w:cs="宋体"/>
        </w:rPr>
        <w:t>重新起算</w:t>
      </w:r>
      <w:r>
        <w:rPr>
          <w:rFonts w:hint="eastAsia" w:ascii="宋体" w:hAnsi="宋体" w:eastAsia="宋体" w:cs="宋体"/>
          <w:szCs w:val="21"/>
        </w:rPr>
        <w:t>。</w:t>
      </w:r>
    </w:p>
    <w:p w14:paraId="45D1030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如果甲方有要求，维修结束后乙方应提交此次质量问题或缺陷的维修报告（内容应包含故障原因、维修过程以及以后的预防措施等）。</w:t>
      </w:r>
    </w:p>
    <w:p w14:paraId="5CFF09F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rPr>
        <w:t>因甲方原因而造成的损坏，乙方接到报修电话后</w:t>
      </w:r>
      <w:permStart w:id="53" w:edGrp="everyone"/>
      <w:r>
        <w:rPr>
          <w:rFonts w:hint="eastAsia" w:ascii="宋体" w:hAnsi="宋体" w:eastAsia="宋体" w:cs="宋体"/>
          <w:u w:val="single"/>
        </w:rPr>
        <w:t xml:space="preserve">    </w:t>
      </w:r>
      <w:permEnd w:id="53"/>
      <w:r>
        <w:rPr>
          <w:rFonts w:hint="eastAsia" w:ascii="宋体" w:hAnsi="宋体" w:eastAsia="宋体" w:cs="宋体"/>
        </w:rPr>
        <w:t>小时内到达现场维修，乙方</w:t>
      </w:r>
      <w:r>
        <w:rPr>
          <w:rFonts w:hint="eastAsia" w:ascii="宋体" w:hAnsi="宋体" w:eastAsia="宋体" w:cs="宋体"/>
          <w:szCs w:val="21"/>
        </w:rPr>
        <w:t>仅收取材料成本费用。质保期外，乙方承诺长期提供优惠维修服务。</w:t>
      </w:r>
    </w:p>
    <w:p w14:paraId="2E62A6D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10.7 乙方应保证在中国境内备有充足的备品备件以满足甲方或甲方用户的维修更换需要，备件的运输要及时、快捷，配件</w:t>
      </w:r>
      <w:r>
        <w:rPr>
          <w:rFonts w:hint="eastAsia" w:ascii="宋体" w:hAnsi="宋体" w:eastAsia="宋体" w:cs="宋体"/>
        </w:rPr>
        <w:t>3日</w:t>
      </w:r>
      <w:r>
        <w:rPr>
          <w:rFonts w:hint="eastAsia" w:ascii="宋体" w:hAnsi="宋体" w:eastAsia="宋体" w:cs="宋体"/>
          <w:szCs w:val="21"/>
        </w:rPr>
        <w:t>内到达甲方指定地点，在保修期内因货物保修所产生的运费由乙方承担。在备品备件停止生产的情况下，乙方应事先将要停止生产的计划通知甲方使甲方有足够的时间采购所需的备品备件；在备品备件停止生产后，如果甲方要求，乙方应免费向甲方提供备品备件的生产蓝图、图纸和规格，并附工艺单。</w:t>
      </w:r>
    </w:p>
    <w:p w14:paraId="495A882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10.8 如果乙方没有履行本合同的质保责任、售后服务义务，甲方有权向第三方进行购买，因此产生的费用由乙方承担。每出现一次违约情形，乙方应按合同总金额的5%向甲方支付违约金。</w:t>
      </w:r>
    </w:p>
    <w:p w14:paraId="0CE4FD55">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szCs w:val="21"/>
        </w:rPr>
        <w:t xml:space="preserve">10.9 </w:t>
      </w:r>
      <w:r>
        <w:rPr>
          <w:rFonts w:hint="eastAsia" w:ascii="宋体" w:hAnsi="宋体" w:eastAsia="宋体" w:cs="宋体"/>
        </w:rPr>
        <w:t>乙方承诺由其委托的第三方进行售后服务的，也按第十条的约定履行质保售后服务。乙方对第三方的质保、售后服务承担连带责任。</w:t>
      </w:r>
    </w:p>
    <w:p w14:paraId="1250A484">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第十一条  违约责任及索赔</w:t>
      </w:r>
    </w:p>
    <w:p w14:paraId="3EED9CD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 如果乙方</w:t>
      </w:r>
      <w:r>
        <w:rPr>
          <w:rFonts w:hint="eastAsia" w:ascii="宋体" w:hAnsi="宋体" w:eastAsia="宋体" w:cs="宋体"/>
          <w:bCs/>
          <w:szCs w:val="21"/>
        </w:rPr>
        <w:t>没有按照合同约定的期限足额交货</w:t>
      </w:r>
      <w:r>
        <w:rPr>
          <w:rFonts w:hint="eastAsia" w:ascii="宋体" w:hAnsi="宋体" w:eastAsia="宋体" w:cs="宋体"/>
          <w:szCs w:val="21"/>
        </w:rPr>
        <w:t>，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21DADED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11.2 乙方在交货时未按合同约定</w:t>
      </w:r>
      <w:r>
        <w:rPr>
          <w:rFonts w:hint="eastAsia" w:ascii="宋体" w:hAnsi="宋体" w:eastAsia="宋体" w:cs="宋体"/>
          <w:bCs/>
          <w:szCs w:val="21"/>
        </w:rPr>
        <w:t>提供相应附随资料、伪造附随资料</w:t>
      </w:r>
      <w:r>
        <w:rPr>
          <w:rFonts w:hint="eastAsia" w:ascii="宋体" w:hAnsi="宋体" w:eastAsia="宋体" w:cs="宋体"/>
          <w:szCs w:val="21"/>
        </w:rPr>
        <w:t>的，甲方有权要求乙方在3日内补齐或重新提交附随资料。规定期限内乙方仍未交付资料的，甲方有权要求立即解除合同并退还已支付的全部合同款项，并由乙方自行负责将货物清退离场。</w:t>
      </w:r>
    </w:p>
    <w:p w14:paraId="77524B1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 乙方交付的</w:t>
      </w:r>
      <w:r>
        <w:rPr>
          <w:rFonts w:hint="eastAsia" w:ascii="宋体" w:hAnsi="宋体" w:eastAsia="宋体" w:cs="宋体"/>
          <w:bCs/>
          <w:szCs w:val="21"/>
        </w:rPr>
        <w:t>货物因不满足第十条质量保证条款，或因各种原因未在甲方或甲方用户规定的时间内通过试运行或验收</w:t>
      </w:r>
      <w:r>
        <w:rPr>
          <w:rFonts w:hint="eastAsia" w:ascii="宋体" w:hAnsi="宋体" w:eastAsia="宋体" w:cs="宋体"/>
          <w:szCs w:val="21"/>
        </w:rPr>
        <w:t>的，甲方有权择其一或同时选择：</w:t>
      </w:r>
    </w:p>
    <w:p w14:paraId="0B4AF39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11.3.1 要求乙方继续履行合同并对货物进行维修、修复。经维修、修复后仍不满足要求的，应用符合合同约定的规格、质量和性能要求的新零件、部件或货物来更换有缺陷的部分或修补缺陷部分，因此导致逾期交货的，乙方还应当按照本合同第11.1 条承担逾期交货违约金；</w:t>
      </w:r>
    </w:p>
    <w:p w14:paraId="56615952">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11.3.2 接受现有货物，并根据货物偏差情况、损坏程度决定降低货物价格，乙方应负责赔偿甲方因此所受的实际损失；</w:t>
      </w:r>
    </w:p>
    <w:p w14:paraId="6BBD8BE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11.3.3 立即解除本合同并由乙方退还已支付的全部合同款项，乙方承担由此产生的利息、银行手续费、仓储费、装卸费等费用并负责将货物清退离场。</w:t>
      </w:r>
    </w:p>
    <w:p w14:paraId="38CBEF3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11.4 如果乙方提供的</w:t>
      </w:r>
      <w:r>
        <w:rPr>
          <w:rFonts w:hint="eastAsia" w:ascii="宋体" w:hAnsi="宋体" w:eastAsia="宋体" w:cs="宋体"/>
          <w:bCs/>
          <w:szCs w:val="21"/>
        </w:rPr>
        <w:t>货物有缺陷（包括货物本身质量缺陷和因乙方原因造成的货物缺陷）</w:t>
      </w:r>
      <w:r>
        <w:rPr>
          <w:rFonts w:hint="eastAsia" w:ascii="宋体" w:hAnsi="宋体" w:eastAsia="宋体" w:cs="宋体"/>
          <w:szCs w:val="21"/>
        </w:rPr>
        <w:t>，给甲方或任何第三方造成人身、财产损害的，由乙方承担全部赔偿责任，甲方已垫付赔偿费用的有权向乙方追偿。</w:t>
      </w:r>
    </w:p>
    <w:p w14:paraId="0F618F3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11.5乙方未按照合同第三条约定履行保密义务，如合同尚未履行完毕，甲方有权与其解除合同并要求其按照本合同第11.8款约定要求其承担违约责任。</w:t>
      </w:r>
    </w:p>
    <w:p w14:paraId="6EC8EF2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11.6 如果甲方认为乙方在本合同的竞争和实施过程中有腐败</w:t>
      </w:r>
      <w:r>
        <w:rPr>
          <w:rFonts w:hint="eastAsia" w:ascii="宋体" w:hAnsi="宋体" w:eastAsia="宋体" w:cs="宋体"/>
          <w:b/>
          <w:szCs w:val="21"/>
        </w:rPr>
        <w:t>（</w:t>
      </w:r>
      <w:r>
        <w:rPr>
          <w:rFonts w:hint="eastAsia" w:ascii="宋体" w:hAnsi="宋体" w:eastAsia="宋体" w:cs="宋体"/>
          <w:szCs w:val="21"/>
        </w:rPr>
        <w:t>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01FDED9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11.7 乙方有</w:t>
      </w:r>
      <w:r>
        <w:rPr>
          <w:rFonts w:hint="eastAsia" w:ascii="宋体" w:hAnsi="宋体" w:eastAsia="宋体" w:cs="宋体"/>
          <w:bCs/>
          <w:szCs w:val="21"/>
        </w:rPr>
        <w:t>其他违约行为</w:t>
      </w:r>
      <w:r>
        <w:rPr>
          <w:rFonts w:hint="eastAsia" w:ascii="宋体" w:hAnsi="宋体" w:eastAsia="宋体" w:cs="宋体"/>
          <w:szCs w:val="21"/>
        </w:rPr>
        <w:t>且经甲方提出后仍未改正，甲方有权单方面解除合同。</w:t>
      </w:r>
    </w:p>
    <w:p w14:paraId="12888AC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11.8 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49B83CC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11.9甲方为追究乙方违约责任而发生的包括但不限于律师费、诉讼费、保全费、调查取证费、鉴定费、差旅费等均由乙方承担。</w:t>
      </w:r>
    </w:p>
    <w:p w14:paraId="602A590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11.10甲方有权从尚未支付乙方的货款、应退还乙方的质保金、履约保证金中直接扣除应由乙方承担的违约金、赔偿金及维修费等。</w:t>
      </w:r>
    </w:p>
    <w:p w14:paraId="045361A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11.11 如果甲方</w:t>
      </w:r>
      <w:r>
        <w:rPr>
          <w:rFonts w:hint="eastAsia" w:ascii="宋体" w:hAnsi="宋体" w:eastAsia="宋体" w:cs="宋体"/>
          <w:bCs/>
          <w:szCs w:val="21"/>
        </w:rPr>
        <w:t>未能按合同的要求依时付款</w:t>
      </w:r>
      <w:r>
        <w:rPr>
          <w:rFonts w:hint="eastAsia" w:ascii="宋体" w:hAnsi="宋体" w:eastAsia="宋体" w:cs="宋体"/>
          <w:szCs w:val="21"/>
        </w:rPr>
        <w:t>，应按逾期付款金额每日万分之一的标准，向乙方支付逾期付款的违约金，但最高不能超过本合同的货物总值的5%。</w:t>
      </w:r>
    </w:p>
    <w:p w14:paraId="0198CDA5">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第十二条  变更及解除合同</w:t>
      </w:r>
    </w:p>
    <w:p w14:paraId="16F46865">
      <w:pPr>
        <w:pStyle w:val="10"/>
        <w:adjustRightInd w:val="0"/>
        <w:snapToGrid w:val="0"/>
        <w:spacing w:after="0" w:line="360" w:lineRule="auto"/>
        <w:ind w:left="0" w:firstLine="420" w:firstLineChars="200"/>
        <w:jc w:val="left"/>
        <w:outlineLvl w:val="0"/>
        <w:rPr>
          <w:rFonts w:hint="eastAsia" w:ascii="宋体" w:hAnsi="宋体" w:eastAsia="宋体" w:cs="宋体"/>
          <w:szCs w:val="21"/>
        </w:rPr>
      </w:pPr>
      <w:r>
        <w:rPr>
          <w:rFonts w:hint="eastAsia" w:ascii="宋体" w:hAnsi="宋体" w:eastAsia="宋体" w:cs="宋体"/>
          <w:szCs w:val="21"/>
        </w:rPr>
        <w:t>12.1合同履行过程中，甲方有权在任何时候根据实际需要变更下列一项或几项：</w:t>
      </w:r>
    </w:p>
    <w:p w14:paraId="3267E4E0">
      <w:pPr>
        <w:pStyle w:val="10"/>
        <w:numPr>
          <w:ilvl w:val="0"/>
          <w:numId w:val="5"/>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标的物的规格、型号、参数指标及数量；</w:t>
      </w:r>
    </w:p>
    <w:p w14:paraId="23292616">
      <w:pPr>
        <w:pStyle w:val="10"/>
        <w:numPr>
          <w:ilvl w:val="0"/>
          <w:numId w:val="5"/>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运输或包装方法；</w:t>
      </w:r>
    </w:p>
    <w:p w14:paraId="645E67E1">
      <w:pPr>
        <w:pStyle w:val="10"/>
        <w:numPr>
          <w:ilvl w:val="0"/>
          <w:numId w:val="5"/>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交货地点；</w:t>
      </w:r>
    </w:p>
    <w:p w14:paraId="2882CBBD">
      <w:pPr>
        <w:pStyle w:val="10"/>
        <w:numPr>
          <w:ilvl w:val="0"/>
          <w:numId w:val="5"/>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乙方提供的伴随服务。</w:t>
      </w:r>
    </w:p>
    <w:p w14:paraId="093A4603">
      <w:pPr>
        <w:pStyle w:val="10"/>
        <w:adjustRightInd w:val="0"/>
        <w:snapToGrid w:val="0"/>
        <w:spacing w:after="0" w:line="360" w:lineRule="auto"/>
        <w:ind w:left="0" w:firstLine="420" w:firstLineChars="200"/>
        <w:jc w:val="left"/>
        <w:outlineLvl w:val="0"/>
        <w:rPr>
          <w:rFonts w:hint="eastAsia" w:ascii="宋体" w:hAnsi="宋体" w:eastAsia="宋体" w:cs="宋体"/>
          <w:szCs w:val="21"/>
        </w:rPr>
      </w:pPr>
      <w:r>
        <w:rPr>
          <w:rFonts w:hint="eastAsia" w:ascii="宋体" w:hAnsi="宋体" w:eastAsia="宋体" w:cs="宋体"/>
          <w:szCs w:val="21"/>
        </w:rPr>
        <w:t>12.2 因本合同存在未尽事宜或需要对包含第12.1条在内的合同约定事项进行变更的，双方应另行订立书面补充协议，补充协议将作为本合同的必要组成部分。</w:t>
      </w:r>
    </w:p>
    <w:p w14:paraId="08CCD877">
      <w:pPr>
        <w:pStyle w:val="10"/>
        <w:adjustRightInd w:val="0"/>
        <w:snapToGrid w:val="0"/>
        <w:spacing w:after="0" w:line="360" w:lineRule="auto"/>
        <w:ind w:left="0" w:firstLine="420" w:firstLineChars="200"/>
        <w:jc w:val="left"/>
        <w:outlineLvl w:val="0"/>
        <w:rPr>
          <w:rFonts w:hint="eastAsia" w:ascii="宋体" w:hAnsi="宋体" w:eastAsia="宋体" w:cs="宋体"/>
          <w:szCs w:val="21"/>
        </w:rPr>
      </w:pPr>
      <w:r>
        <w:rPr>
          <w:rFonts w:hint="eastAsia" w:ascii="宋体" w:hAnsi="宋体" w:eastAsia="宋体" w:cs="宋体"/>
          <w:szCs w:val="21"/>
        </w:rPr>
        <w:t>12.3 合同履行过程中，甲方有权因政策或环境变化因素、业务需求变化等原因提前解除合同，但应提前通知乙方。合同解除后，尚未履行的部分</w:t>
      </w:r>
      <w:r>
        <w:rPr>
          <w:rFonts w:hint="eastAsia" w:ascii="宋体" w:hAnsi="宋体" w:eastAsia="宋体" w:cs="宋体"/>
          <w:szCs w:val="21"/>
          <w:lang w:val="en-US" w:eastAsia="zh-CN"/>
        </w:rPr>
        <w:t>甲乙</w:t>
      </w:r>
      <w:r>
        <w:rPr>
          <w:rFonts w:hint="eastAsia" w:ascii="宋体" w:hAnsi="宋体" w:eastAsia="宋体" w:cs="宋体"/>
          <w:szCs w:val="21"/>
        </w:rPr>
        <w:t>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1282B7A2">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第十三条  转让</w:t>
      </w:r>
    </w:p>
    <w:p w14:paraId="3AC8ADD4">
      <w:pPr>
        <w:adjustRightInd w:val="0"/>
        <w:snapToGrid w:val="0"/>
        <w:spacing w:line="360" w:lineRule="auto"/>
        <w:ind w:left="420" w:leftChars="200"/>
        <w:jc w:val="left"/>
        <w:rPr>
          <w:rFonts w:hint="eastAsia" w:ascii="宋体" w:hAnsi="宋体" w:eastAsia="宋体" w:cs="宋体"/>
          <w:szCs w:val="21"/>
        </w:rPr>
      </w:pPr>
      <w:r>
        <w:rPr>
          <w:rFonts w:hint="eastAsia" w:ascii="宋体" w:hAnsi="宋体" w:eastAsia="宋体" w:cs="宋体"/>
          <w:szCs w:val="21"/>
        </w:rPr>
        <w:t>未经甲方事先书面同意，乙方不得部分转让或全部转让其应履行的各项合同义务。</w:t>
      </w:r>
    </w:p>
    <w:p w14:paraId="3DD8BCC8">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第十四条  不可抗力</w:t>
      </w:r>
    </w:p>
    <w:p w14:paraId="0227E648">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14.1 签约双方任何一方由于不可抗力事件的影响而导致双方合同约定事项推迟履行或无法履行时，根据不可抗力的影响，可部分或全部免除责任，但法律另有规定除外。不可抗力事件系指</w:t>
      </w:r>
      <w:r>
        <w:rPr>
          <w:rFonts w:hint="eastAsia" w:ascii="宋体" w:hAnsi="宋体" w:eastAsia="宋体" w:cs="宋体"/>
          <w:szCs w:val="21"/>
          <w:lang w:val="en-US" w:eastAsia="zh-CN"/>
        </w:rPr>
        <w:t>甲乙</w:t>
      </w:r>
      <w:r>
        <w:rPr>
          <w:rFonts w:hint="eastAsia" w:ascii="宋体" w:hAnsi="宋体" w:eastAsia="宋体" w:cs="宋体"/>
          <w:szCs w:val="21"/>
        </w:rPr>
        <w:t>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02663828">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14.2 不可抗力事件发生时，双方有责任尽一切合理的努力消除或减轻此等不可抗力事件的影响。</w:t>
      </w:r>
    </w:p>
    <w:p w14:paraId="04F1238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14.3 不可抗力事件发生后，双方应立即通过友好协商就合同是否履行、解除事宜进行协商。</w:t>
      </w:r>
    </w:p>
    <w:p w14:paraId="0AE34C6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14.4 不可抗力事件发生后，若乙方不愿友好协商，甲方可根据自身情况有权立即解除合同。</w:t>
      </w:r>
    </w:p>
    <w:p w14:paraId="156DD677">
      <w:pPr>
        <w:numPr>
          <w:ilvl w:val="1"/>
          <w:numId w:val="0"/>
        </w:numPr>
        <w:adjustRightInd w:val="0"/>
        <w:snapToGrid w:val="0"/>
        <w:spacing w:line="360" w:lineRule="auto"/>
        <w:ind w:left="852" w:hanging="432"/>
        <w:jc w:val="left"/>
        <w:rPr>
          <w:rFonts w:hint="eastAsia" w:ascii="宋体" w:hAnsi="宋体" w:eastAsia="宋体" w:cs="宋体"/>
          <w:b/>
          <w:sz w:val="24"/>
          <w:szCs w:val="24"/>
        </w:rPr>
      </w:pPr>
      <w:r>
        <w:rPr>
          <w:rFonts w:hint="eastAsia" w:ascii="宋体" w:hAnsi="宋体" w:eastAsia="宋体" w:cs="宋体"/>
          <w:szCs w:val="24"/>
        </w:rPr>
        <w:t>14.5</w:t>
      </w:r>
      <w:r>
        <w:rPr>
          <w:rFonts w:hint="eastAsia" w:ascii="宋体" w:hAnsi="宋体" w:eastAsia="宋体" w:cs="宋体"/>
          <w:szCs w:val="21"/>
        </w:rPr>
        <w:t xml:space="preserve"> 声明受不可抗力事件影响的一方应在不可抗力事件结束后立即以书面方式告知另一方。</w:t>
      </w:r>
    </w:p>
    <w:p w14:paraId="57789B38">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第十五条  因破产而终止合同</w:t>
      </w:r>
    </w:p>
    <w:p w14:paraId="21CA3F88">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如果乙方破产或无清偿能力，甲方可在任何时候以书面形式通知乙方终止合同而不给予任何补偿，本合同的终止将不损害或影响甲方已经采取或将要采取的任何行动或补救措施的权力。</w:t>
      </w:r>
    </w:p>
    <w:p w14:paraId="4CF2DAE6">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第十六条  适用法律及争议解决方式</w:t>
      </w:r>
    </w:p>
    <w:p w14:paraId="4C325D9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16.1 本合同应按照中华人民共和国的法律进行解释。</w:t>
      </w:r>
    </w:p>
    <w:p w14:paraId="6A50635F">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16.2 双方因签订及履行本合同而产生的争议及纠纷，双方应友好协商解决。经协商无法达成一致，任何一方均有权向甲方住所地人民法院提起诉讼。</w:t>
      </w:r>
    </w:p>
    <w:p w14:paraId="135827C2">
      <w:pPr>
        <w:adjustRightInd w:val="0"/>
        <w:snapToGrid w:val="0"/>
        <w:spacing w:line="360" w:lineRule="auto"/>
        <w:ind w:firstLine="420" w:firstLineChars="200"/>
        <w:jc w:val="left"/>
        <w:rPr>
          <w:rFonts w:hint="eastAsia" w:ascii="宋体" w:hAnsi="宋体" w:eastAsia="宋体" w:cs="宋体"/>
          <w:b/>
          <w:sz w:val="24"/>
          <w:szCs w:val="24"/>
        </w:rPr>
      </w:pPr>
      <w:r>
        <w:rPr>
          <w:rFonts w:hint="eastAsia" w:ascii="宋体" w:hAnsi="宋体" w:eastAsia="宋体" w:cs="宋体"/>
          <w:szCs w:val="21"/>
        </w:rPr>
        <w:t>16.3 在诉讼期间，除因存在争议正在进行诉讼的部分外，甲方有权要求乙方对本合同其它部分继续履行。</w:t>
      </w:r>
    </w:p>
    <w:p w14:paraId="0D270B92">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第十七条  通知及送达</w:t>
      </w:r>
    </w:p>
    <w:p w14:paraId="5B1A027E">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 xml:space="preserve">17.1 </w:t>
      </w:r>
      <w:r>
        <w:rPr>
          <w:rFonts w:hint="eastAsia" w:ascii="宋体" w:hAnsi="宋体" w:eastAsia="宋体" w:cs="宋体"/>
          <w:lang w:val="en-US" w:eastAsia="zh-CN"/>
        </w:rPr>
        <w:t>甲乙</w:t>
      </w:r>
      <w:r>
        <w:rPr>
          <w:rFonts w:hint="eastAsia" w:ascii="宋体" w:hAnsi="宋体" w:eastAsia="宋体" w:cs="宋体"/>
        </w:rPr>
        <w:t>双方在本合同签署页注明的地址、邮箱、传真为可以送达文件的合法有效的地址、邮箱、传真，合同履行过程中需向对方发出的通知、函件等均应以书面形式通知对方，否则由未履行通知义务方承担全部不利后果。</w:t>
      </w:r>
    </w:p>
    <w:p w14:paraId="58F21F4F">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17.2双方同意，寄送方式发出的文件自寄送之日起届满7天视为送达。任何一方不得拒绝签收对方邮寄的文件，因拒绝签收导致邮寄文件被退回的，视为发送方已送达。</w:t>
      </w:r>
    </w:p>
    <w:p w14:paraId="59147D25">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17.3</w:t>
      </w:r>
      <w:r>
        <w:rPr>
          <w:rFonts w:hint="eastAsia" w:ascii="宋体" w:hAnsi="宋体" w:eastAsia="宋体" w:cs="宋体"/>
          <w:lang w:val="en-US" w:eastAsia="zh-CN"/>
        </w:rPr>
        <w:t>甲乙</w:t>
      </w:r>
      <w:r>
        <w:rPr>
          <w:rFonts w:hint="eastAsia" w:ascii="宋体" w:hAnsi="宋体" w:eastAsia="宋体" w:cs="宋体"/>
        </w:rPr>
        <w:t>双方任何一方需变更前述联系方式的，均应以书面形式，在变更发生后的</w:t>
      </w:r>
      <w:r>
        <w:rPr>
          <w:rFonts w:hint="eastAsia" w:ascii="宋体" w:hAnsi="宋体" w:eastAsia="宋体" w:cs="宋体"/>
          <w:u w:val="single"/>
        </w:rPr>
        <w:t>3</w:t>
      </w:r>
      <w:r>
        <w:rPr>
          <w:rFonts w:hint="eastAsia" w:ascii="宋体" w:hAnsi="宋体" w:eastAsia="宋体" w:cs="宋体"/>
        </w:rPr>
        <w:t>个工作日通知对方。变更一方未发出变更通知，或另一方在实际收到变更通知前已发出通知的，如另一方系按照原联系方式发出通知，即视为已履行通知义务，由此造成的损失概由变更一方承担。</w:t>
      </w:r>
    </w:p>
    <w:p w14:paraId="522AE7BC">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第十八条  合同生效及其他</w:t>
      </w:r>
    </w:p>
    <w:p w14:paraId="7FD81DF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18.1本合同经双方法定代表或其授权代表签字并加盖公章（或合同专用章）后生效。</w:t>
      </w:r>
    </w:p>
    <w:p w14:paraId="2627654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w:t>
      </w:r>
      <w:r>
        <w:rPr>
          <w:rFonts w:hint="eastAsia" w:ascii="宋体" w:hAnsi="宋体" w:eastAsia="宋体" w:cs="宋体"/>
          <w:szCs w:val="21"/>
          <w:lang w:val="en-US" w:eastAsia="zh-CN"/>
        </w:rPr>
        <w:t>2</w:t>
      </w:r>
      <w:r>
        <w:rPr>
          <w:rFonts w:hint="eastAsia" w:ascii="宋体" w:hAnsi="宋体" w:eastAsia="宋体" w:cs="宋体"/>
          <w:szCs w:val="21"/>
        </w:rPr>
        <w:t xml:space="preserve"> 本合同随附合同附件（如有）为本合同不可分割的部分，并与本合同具有同等法律效力。</w:t>
      </w:r>
    </w:p>
    <w:p w14:paraId="72E9753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w:t>
      </w:r>
      <w:r>
        <w:rPr>
          <w:rFonts w:hint="eastAsia" w:ascii="宋体" w:hAnsi="宋体" w:eastAsia="宋体" w:cs="宋体"/>
          <w:szCs w:val="21"/>
          <w:lang w:val="en-US" w:eastAsia="zh-CN"/>
        </w:rPr>
        <w:t>3</w:t>
      </w:r>
      <w:r>
        <w:rPr>
          <w:rFonts w:hint="eastAsia" w:ascii="宋体" w:hAnsi="宋体" w:eastAsia="宋体" w:cs="宋体"/>
          <w:szCs w:val="21"/>
        </w:rPr>
        <w:t xml:space="preserve"> 如果本合同的任何条款被司法机关或其他有权机关宣布无效、非法或其他形式的不可执行，本合同其他条款仍然有效，双方均应遵照执行。</w:t>
      </w:r>
    </w:p>
    <w:p w14:paraId="413C85D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w:t>
      </w:r>
      <w:r>
        <w:rPr>
          <w:rFonts w:hint="eastAsia" w:ascii="宋体" w:hAnsi="宋体" w:eastAsia="宋体" w:cs="宋体"/>
          <w:szCs w:val="21"/>
          <w:lang w:val="en-US" w:eastAsia="zh-CN"/>
        </w:rPr>
        <w:t>4</w:t>
      </w:r>
      <w:r>
        <w:rPr>
          <w:rFonts w:hint="eastAsia" w:ascii="宋体" w:hAnsi="宋体" w:eastAsia="宋体" w:cs="宋体"/>
          <w:szCs w:val="21"/>
        </w:rPr>
        <w:t xml:space="preserve"> 合同一式</w:t>
      </w:r>
      <w:permStart w:id="54"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肆</w:t>
      </w:r>
      <w:r>
        <w:rPr>
          <w:rFonts w:hint="eastAsia" w:ascii="宋体" w:hAnsi="宋体" w:eastAsia="宋体" w:cs="宋体"/>
          <w:szCs w:val="21"/>
          <w:u w:val="single"/>
        </w:rPr>
        <w:t xml:space="preserve"> </w:t>
      </w:r>
      <w:permEnd w:id="54"/>
      <w:r>
        <w:rPr>
          <w:rFonts w:hint="eastAsia" w:ascii="宋体" w:hAnsi="宋体" w:eastAsia="宋体" w:cs="宋体"/>
          <w:szCs w:val="21"/>
        </w:rPr>
        <w:t>份，甲方执</w:t>
      </w:r>
      <w:permStart w:id="55"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贰</w:t>
      </w:r>
      <w:r>
        <w:rPr>
          <w:rFonts w:hint="eastAsia" w:ascii="宋体" w:hAnsi="宋体" w:eastAsia="宋体" w:cs="宋体"/>
          <w:szCs w:val="21"/>
          <w:u w:val="single"/>
        </w:rPr>
        <w:t xml:space="preserve"> </w:t>
      </w:r>
      <w:permEnd w:id="55"/>
      <w:r>
        <w:rPr>
          <w:rFonts w:hint="eastAsia" w:ascii="宋体" w:hAnsi="宋体" w:eastAsia="宋体" w:cs="宋体"/>
          <w:szCs w:val="21"/>
        </w:rPr>
        <w:t>份，乙方执</w:t>
      </w:r>
      <w:permStart w:id="56" w:edGrp="everyone"/>
      <w:r>
        <w:rPr>
          <w:rFonts w:hint="eastAsia" w:ascii="宋体" w:hAnsi="宋体" w:eastAsia="宋体" w:cs="宋体"/>
          <w:szCs w:val="21"/>
          <w:u w:val="single"/>
        </w:rPr>
        <w:t xml:space="preserve"> 贰 </w:t>
      </w:r>
      <w:permEnd w:id="56"/>
      <w:r>
        <w:rPr>
          <w:rFonts w:hint="eastAsia" w:ascii="宋体" w:hAnsi="宋体" w:eastAsia="宋体" w:cs="宋体"/>
          <w:szCs w:val="21"/>
        </w:rPr>
        <w:t xml:space="preserve">份，每份具有同等法律效力。 </w:t>
      </w:r>
    </w:p>
    <w:p w14:paraId="114DBE65">
      <w:pPr>
        <w:adjustRightInd w:val="0"/>
        <w:snapToGrid w:val="0"/>
        <w:spacing w:line="360" w:lineRule="auto"/>
        <w:ind w:firstLine="420" w:firstLineChars="200"/>
        <w:jc w:val="left"/>
        <w:rPr>
          <w:rFonts w:hint="eastAsia" w:ascii="宋体" w:hAnsi="宋体" w:eastAsia="宋体" w:cs="宋体"/>
          <w:szCs w:val="21"/>
        </w:rPr>
      </w:pPr>
    </w:p>
    <w:p w14:paraId="6B2EB29A">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bCs/>
          <w:szCs w:val="21"/>
        </w:rPr>
        <w:t>（以下无正文）</w:t>
      </w:r>
    </w:p>
    <w:tbl>
      <w:tblPr>
        <w:tblStyle w:val="17"/>
        <w:tblW w:w="8964" w:type="dxa"/>
        <w:tblInd w:w="0" w:type="dxa"/>
        <w:tblLayout w:type="fixed"/>
        <w:tblCellMar>
          <w:top w:w="0" w:type="dxa"/>
          <w:left w:w="108" w:type="dxa"/>
          <w:bottom w:w="0" w:type="dxa"/>
          <w:right w:w="108" w:type="dxa"/>
        </w:tblCellMar>
      </w:tblPr>
      <w:tblGrid>
        <w:gridCol w:w="1164"/>
        <w:gridCol w:w="3420"/>
        <w:gridCol w:w="1455"/>
        <w:gridCol w:w="2925"/>
      </w:tblGrid>
      <w:tr w14:paraId="452AFFBF">
        <w:tblPrEx>
          <w:tblCellMar>
            <w:top w:w="0" w:type="dxa"/>
            <w:left w:w="108" w:type="dxa"/>
            <w:bottom w:w="0" w:type="dxa"/>
            <w:right w:w="108" w:type="dxa"/>
          </w:tblCellMar>
        </w:tblPrEx>
        <w:trPr>
          <w:trHeight w:val="567" w:hRule="atLeast"/>
        </w:trPr>
        <w:tc>
          <w:tcPr>
            <w:tcW w:w="1164" w:type="dxa"/>
            <w:noWrap w:val="0"/>
            <w:vAlign w:val="top"/>
          </w:tcPr>
          <w:p w14:paraId="488B4DA6">
            <w:pPr>
              <w:pStyle w:val="15"/>
              <w:adjustRightInd w:val="0"/>
              <w:snapToGrid w:val="0"/>
              <w:rPr>
                <w:rFonts w:hint="eastAsia" w:ascii="宋体" w:hAnsi="宋体" w:eastAsia="宋体" w:cs="宋体"/>
                <w:sz w:val="21"/>
                <w:szCs w:val="21"/>
              </w:rPr>
            </w:pPr>
            <w:permStart w:id="57" w:edGrp="everyone" w:colFirst="2" w:colLast="2"/>
            <w:permStart w:id="58" w:edGrp="everyone" w:colFirst="3" w:colLast="3"/>
            <w:r>
              <w:rPr>
                <w:rFonts w:hint="eastAsia" w:ascii="宋体" w:hAnsi="宋体" w:eastAsia="宋体" w:cs="宋体"/>
                <w:sz w:val="21"/>
                <w:szCs w:val="21"/>
              </w:rPr>
              <w:t>甲方名称：</w:t>
            </w:r>
          </w:p>
        </w:tc>
        <w:tc>
          <w:tcPr>
            <w:tcW w:w="3420" w:type="dxa"/>
            <w:noWrap w:val="0"/>
            <w:vAlign w:val="top"/>
          </w:tcPr>
          <w:p w14:paraId="4EA0960E">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南京禄口国际机场空港科技有限公司</w:t>
            </w:r>
          </w:p>
        </w:tc>
        <w:tc>
          <w:tcPr>
            <w:tcW w:w="1455" w:type="dxa"/>
            <w:noWrap w:val="0"/>
            <w:vAlign w:val="top"/>
          </w:tcPr>
          <w:p w14:paraId="52DA0BAA">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乙方名称：</w:t>
            </w:r>
          </w:p>
        </w:tc>
        <w:tc>
          <w:tcPr>
            <w:tcW w:w="2925" w:type="dxa"/>
            <w:noWrap w:val="0"/>
            <w:vAlign w:val="top"/>
          </w:tcPr>
          <w:p w14:paraId="665435D2">
            <w:pPr>
              <w:pStyle w:val="15"/>
              <w:adjustRightInd w:val="0"/>
              <w:snapToGrid w:val="0"/>
              <w:rPr>
                <w:rFonts w:hint="eastAsia" w:ascii="宋体" w:hAnsi="宋体" w:eastAsia="宋体" w:cs="宋体"/>
                <w:sz w:val="21"/>
                <w:szCs w:val="21"/>
              </w:rPr>
            </w:pPr>
          </w:p>
        </w:tc>
      </w:tr>
      <w:permEnd w:id="57"/>
      <w:permEnd w:id="58"/>
      <w:tr w14:paraId="7385AE9F">
        <w:tblPrEx>
          <w:tblCellMar>
            <w:top w:w="0" w:type="dxa"/>
            <w:left w:w="108" w:type="dxa"/>
            <w:bottom w:w="0" w:type="dxa"/>
            <w:right w:w="108" w:type="dxa"/>
          </w:tblCellMar>
        </w:tblPrEx>
        <w:trPr>
          <w:trHeight w:val="567" w:hRule="atLeast"/>
        </w:trPr>
        <w:tc>
          <w:tcPr>
            <w:tcW w:w="1164" w:type="dxa"/>
            <w:noWrap w:val="0"/>
            <w:vAlign w:val="top"/>
          </w:tcPr>
          <w:p w14:paraId="26AB0170">
            <w:pPr>
              <w:pStyle w:val="15"/>
              <w:adjustRightInd w:val="0"/>
              <w:snapToGrid w:val="0"/>
              <w:rPr>
                <w:rFonts w:hint="eastAsia" w:ascii="宋体" w:hAnsi="宋体" w:eastAsia="宋体" w:cs="宋体"/>
                <w:sz w:val="21"/>
                <w:szCs w:val="21"/>
              </w:rPr>
            </w:pPr>
            <w:permStart w:id="59" w:edGrp="everyone" w:colFirst="2" w:colLast="2"/>
            <w:permStart w:id="60" w:edGrp="everyone" w:colFirst="3" w:colLast="3"/>
          </w:p>
        </w:tc>
        <w:tc>
          <w:tcPr>
            <w:tcW w:w="3420" w:type="dxa"/>
            <w:noWrap w:val="0"/>
            <w:vAlign w:val="top"/>
          </w:tcPr>
          <w:p w14:paraId="4A949EA6">
            <w:pPr>
              <w:pStyle w:val="15"/>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（签章）</w:t>
            </w:r>
          </w:p>
        </w:tc>
        <w:tc>
          <w:tcPr>
            <w:tcW w:w="1455" w:type="dxa"/>
            <w:noWrap w:val="0"/>
            <w:vAlign w:val="top"/>
          </w:tcPr>
          <w:p w14:paraId="2676B959">
            <w:pPr>
              <w:pStyle w:val="15"/>
              <w:adjustRightInd w:val="0"/>
              <w:snapToGrid w:val="0"/>
              <w:rPr>
                <w:rFonts w:hint="eastAsia" w:ascii="宋体" w:hAnsi="宋体" w:eastAsia="宋体" w:cs="宋体"/>
                <w:sz w:val="21"/>
                <w:szCs w:val="21"/>
              </w:rPr>
            </w:pPr>
          </w:p>
        </w:tc>
        <w:tc>
          <w:tcPr>
            <w:tcW w:w="2925" w:type="dxa"/>
            <w:noWrap w:val="0"/>
            <w:vAlign w:val="top"/>
          </w:tcPr>
          <w:p w14:paraId="586EDBE3">
            <w:pPr>
              <w:pStyle w:val="15"/>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（签章）</w:t>
            </w:r>
          </w:p>
        </w:tc>
      </w:tr>
      <w:permEnd w:id="59"/>
      <w:permEnd w:id="60"/>
      <w:tr w14:paraId="769E1FCD">
        <w:tblPrEx>
          <w:tblCellMar>
            <w:top w:w="0" w:type="dxa"/>
            <w:left w:w="108" w:type="dxa"/>
            <w:bottom w:w="0" w:type="dxa"/>
            <w:right w:w="108" w:type="dxa"/>
          </w:tblCellMar>
        </w:tblPrEx>
        <w:trPr>
          <w:trHeight w:val="567" w:hRule="atLeast"/>
        </w:trPr>
        <w:tc>
          <w:tcPr>
            <w:tcW w:w="4584" w:type="dxa"/>
            <w:gridSpan w:val="2"/>
            <w:vMerge w:val="restart"/>
            <w:noWrap w:val="0"/>
            <w:vAlign w:val="top"/>
          </w:tcPr>
          <w:p w14:paraId="17B3CE08">
            <w:pPr>
              <w:pStyle w:val="15"/>
              <w:adjustRightInd w:val="0"/>
              <w:snapToGrid w:val="0"/>
              <w:rPr>
                <w:rFonts w:hint="eastAsia" w:ascii="宋体" w:hAnsi="宋体" w:eastAsia="宋体" w:cs="宋体"/>
                <w:sz w:val="21"/>
                <w:szCs w:val="21"/>
              </w:rPr>
            </w:pPr>
            <w:permStart w:id="61" w:edGrp="everyone"/>
            <w:permStart w:id="62" w:edGrp="everyone" w:colFirst="1" w:colLast="1"/>
            <w:r>
              <w:rPr>
                <w:rFonts w:hint="eastAsia" w:ascii="宋体" w:hAnsi="宋体" w:eastAsia="宋体" w:cs="宋体"/>
                <w:sz w:val="21"/>
                <w:szCs w:val="21"/>
              </w:rPr>
              <w:t>法定代表/授权代表：（签字或盖章）</w:t>
            </w:r>
          </w:p>
          <w:permEnd w:id="61"/>
          <w:p w14:paraId="34A0333A">
            <w:pPr>
              <w:pStyle w:val="15"/>
              <w:adjustRightInd w:val="0"/>
              <w:snapToGrid w:val="0"/>
              <w:rPr>
                <w:rFonts w:hint="eastAsia" w:ascii="宋体" w:hAnsi="宋体" w:eastAsia="宋体" w:cs="宋体"/>
                <w:sz w:val="21"/>
                <w:szCs w:val="21"/>
              </w:rPr>
            </w:pPr>
          </w:p>
        </w:tc>
        <w:tc>
          <w:tcPr>
            <w:tcW w:w="4380" w:type="dxa"/>
            <w:gridSpan w:val="2"/>
            <w:vMerge w:val="restart"/>
            <w:noWrap w:val="0"/>
            <w:vAlign w:val="top"/>
          </w:tcPr>
          <w:p w14:paraId="4725D166">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法定代表/授权代表：（签字或盖章）</w:t>
            </w:r>
          </w:p>
        </w:tc>
      </w:tr>
      <w:permEnd w:id="62"/>
      <w:tr w14:paraId="70720031">
        <w:tblPrEx>
          <w:tblCellMar>
            <w:top w:w="0" w:type="dxa"/>
            <w:left w:w="108" w:type="dxa"/>
            <w:bottom w:w="0" w:type="dxa"/>
            <w:right w:w="108" w:type="dxa"/>
          </w:tblCellMar>
        </w:tblPrEx>
        <w:trPr>
          <w:trHeight w:val="567" w:hRule="atLeast"/>
        </w:trPr>
        <w:tc>
          <w:tcPr>
            <w:tcW w:w="4584" w:type="dxa"/>
            <w:gridSpan w:val="2"/>
            <w:vMerge w:val="continue"/>
            <w:noWrap w:val="0"/>
            <w:vAlign w:val="top"/>
          </w:tcPr>
          <w:p w14:paraId="679802B9">
            <w:pPr>
              <w:pStyle w:val="15"/>
              <w:adjustRightInd w:val="0"/>
              <w:snapToGrid w:val="0"/>
              <w:rPr>
                <w:rFonts w:hint="eastAsia" w:ascii="宋体" w:hAnsi="宋体" w:eastAsia="宋体" w:cs="宋体"/>
                <w:sz w:val="21"/>
                <w:szCs w:val="21"/>
              </w:rPr>
            </w:pPr>
            <w:permStart w:id="63" w:edGrp="everyone" w:colFirst="1" w:colLast="1"/>
          </w:p>
        </w:tc>
        <w:tc>
          <w:tcPr>
            <w:tcW w:w="4380" w:type="dxa"/>
            <w:gridSpan w:val="2"/>
            <w:vMerge w:val="continue"/>
            <w:noWrap w:val="0"/>
            <w:vAlign w:val="top"/>
          </w:tcPr>
          <w:p w14:paraId="4F609BDA">
            <w:pPr>
              <w:pStyle w:val="15"/>
              <w:adjustRightInd w:val="0"/>
              <w:snapToGrid w:val="0"/>
              <w:rPr>
                <w:rFonts w:hint="eastAsia" w:ascii="宋体" w:hAnsi="宋体" w:eastAsia="宋体" w:cs="宋体"/>
                <w:sz w:val="21"/>
                <w:szCs w:val="21"/>
              </w:rPr>
            </w:pPr>
          </w:p>
        </w:tc>
      </w:tr>
      <w:permEnd w:id="63"/>
      <w:tr w14:paraId="3A15E5F7">
        <w:tblPrEx>
          <w:tblCellMar>
            <w:top w:w="0" w:type="dxa"/>
            <w:left w:w="108" w:type="dxa"/>
            <w:bottom w:w="0" w:type="dxa"/>
            <w:right w:w="108" w:type="dxa"/>
          </w:tblCellMar>
        </w:tblPrEx>
        <w:trPr>
          <w:trHeight w:val="567" w:hRule="atLeast"/>
        </w:trPr>
        <w:tc>
          <w:tcPr>
            <w:tcW w:w="4584" w:type="dxa"/>
            <w:gridSpan w:val="2"/>
            <w:noWrap w:val="0"/>
            <w:vAlign w:val="top"/>
          </w:tcPr>
          <w:p w14:paraId="74851D51">
            <w:pPr>
              <w:pStyle w:val="15"/>
              <w:adjustRightInd w:val="0"/>
              <w:snapToGrid w:val="0"/>
              <w:rPr>
                <w:rFonts w:hint="eastAsia" w:ascii="宋体" w:hAnsi="宋体" w:eastAsia="宋体" w:cs="宋体"/>
                <w:sz w:val="21"/>
                <w:szCs w:val="21"/>
              </w:rPr>
            </w:pPr>
            <w:permStart w:id="64" w:edGrp="everyone" w:colFirst="1" w:colLast="1"/>
            <w:permStart w:id="65" w:edGrp="everyone" w:colFirst="2" w:colLast="2"/>
            <w:r>
              <w:rPr>
                <w:rFonts w:hint="eastAsia" w:ascii="宋体" w:hAnsi="宋体" w:eastAsia="宋体" w:cs="宋体"/>
                <w:sz w:val="21"/>
                <w:szCs w:val="21"/>
              </w:rPr>
              <w:t>纳税人识别号：913200007140930345</w:t>
            </w:r>
          </w:p>
        </w:tc>
        <w:tc>
          <w:tcPr>
            <w:tcW w:w="1455" w:type="dxa"/>
            <w:noWrap w:val="0"/>
            <w:vAlign w:val="top"/>
          </w:tcPr>
          <w:p w14:paraId="7F59A76A">
            <w:pPr>
              <w:pStyle w:val="15"/>
              <w:adjustRightInd w:val="0"/>
              <w:snapToGrid w:val="0"/>
              <w:rPr>
                <w:rFonts w:hint="eastAsia" w:ascii="宋体" w:hAnsi="宋体" w:eastAsia="宋体" w:cs="宋体"/>
                <w:sz w:val="21"/>
                <w:szCs w:val="21"/>
              </w:rPr>
            </w:pPr>
          </w:p>
        </w:tc>
        <w:tc>
          <w:tcPr>
            <w:tcW w:w="2925" w:type="dxa"/>
            <w:noWrap w:val="0"/>
            <w:vAlign w:val="top"/>
          </w:tcPr>
          <w:p w14:paraId="2AE32034">
            <w:pPr>
              <w:pStyle w:val="15"/>
              <w:adjustRightInd w:val="0"/>
              <w:snapToGrid w:val="0"/>
              <w:rPr>
                <w:rFonts w:hint="eastAsia" w:ascii="宋体" w:hAnsi="宋体" w:eastAsia="宋体" w:cs="宋体"/>
                <w:sz w:val="21"/>
                <w:szCs w:val="21"/>
              </w:rPr>
            </w:pPr>
          </w:p>
        </w:tc>
      </w:tr>
      <w:permEnd w:id="64"/>
      <w:permEnd w:id="65"/>
      <w:tr w14:paraId="1D782168">
        <w:tblPrEx>
          <w:tblCellMar>
            <w:top w:w="0" w:type="dxa"/>
            <w:left w:w="108" w:type="dxa"/>
            <w:bottom w:w="0" w:type="dxa"/>
            <w:right w:w="108" w:type="dxa"/>
          </w:tblCellMar>
        </w:tblPrEx>
        <w:trPr>
          <w:trHeight w:val="1134" w:hRule="atLeast"/>
        </w:trPr>
        <w:tc>
          <w:tcPr>
            <w:tcW w:w="1164" w:type="dxa"/>
            <w:noWrap w:val="0"/>
            <w:vAlign w:val="top"/>
          </w:tcPr>
          <w:p w14:paraId="00912CA9">
            <w:pPr>
              <w:pStyle w:val="15"/>
              <w:adjustRightInd w:val="0"/>
              <w:snapToGrid w:val="0"/>
              <w:rPr>
                <w:rFonts w:hint="eastAsia" w:ascii="宋体" w:hAnsi="宋体" w:eastAsia="宋体" w:cs="宋体"/>
                <w:sz w:val="21"/>
                <w:szCs w:val="21"/>
              </w:rPr>
            </w:pPr>
            <w:permStart w:id="66" w:edGrp="everyone" w:colFirst="2" w:colLast="2"/>
            <w:permStart w:id="67" w:edGrp="everyone" w:colFirst="3" w:colLast="3"/>
            <w:r>
              <w:rPr>
                <w:rFonts w:hint="eastAsia" w:ascii="宋体" w:hAnsi="宋体" w:eastAsia="宋体" w:cs="宋体"/>
                <w:sz w:val="21"/>
                <w:szCs w:val="21"/>
              </w:rPr>
              <w:t>甲方地址：</w:t>
            </w:r>
          </w:p>
        </w:tc>
        <w:tc>
          <w:tcPr>
            <w:tcW w:w="3420" w:type="dxa"/>
            <w:noWrap w:val="0"/>
            <w:vAlign w:val="top"/>
          </w:tcPr>
          <w:p w14:paraId="223BF40E">
            <w:pPr>
              <w:pStyle w:val="15"/>
              <w:adjustRightInd w:val="0"/>
              <w:snapToGrid w:val="0"/>
              <w:spacing w:line="480" w:lineRule="auto"/>
              <w:rPr>
                <w:rFonts w:hint="eastAsia" w:ascii="宋体" w:hAnsi="宋体" w:eastAsia="宋体" w:cs="宋体"/>
                <w:sz w:val="21"/>
                <w:szCs w:val="21"/>
              </w:rPr>
            </w:pPr>
            <w:r>
              <w:rPr>
                <w:rFonts w:hint="eastAsia" w:ascii="宋体" w:hAnsi="宋体" w:eastAsia="宋体" w:cs="宋体"/>
              </w:rPr>
              <w:t>南京市江宁区秣陵街道天元西路199号东部机场集团10楼</w:t>
            </w:r>
          </w:p>
        </w:tc>
        <w:tc>
          <w:tcPr>
            <w:tcW w:w="1455" w:type="dxa"/>
            <w:noWrap w:val="0"/>
            <w:vAlign w:val="top"/>
          </w:tcPr>
          <w:p w14:paraId="1899FAB5">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乙方地址：</w:t>
            </w:r>
          </w:p>
        </w:tc>
        <w:tc>
          <w:tcPr>
            <w:tcW w:w="2925" w:type="dxa"/>
            <w:noWrap w:val="0"/>
            <w:vAlign w:val="top"/>
          </w:tcPr>
          <w:p w14:paraId="1DCF8E9E">
            <w:pPr>
              <w:pStyle w:val="15"/>
              <w:adjustRightInd w:val="0"/>
              <w:snapToGrid w:val="0"/>
              <w:spacing w:line="480" w:lineRule="auto"/>
              <w:rPr>
                <w:rFonts w:hint="eastAsia" w:ascii="宋体" w:hAnsi="宋体" w:eastAsia="宋体" w:cs="宋体"/>
                <w:sz w:val="21"/>
                <w:szCs w:val="21"/>
              </w:rPr>
            </w:pPr>
          </w:p>
        </w:tc>
      </w:tr>
      <w:permEnd w:id="66"/>
      <w:permEnd w:id="67"/>
      <w:tr w14:paraId="359EE7EE">
        <w:tblPrEx>
          <w:tblCellMar>
            <w:top w:w="0" w:type="dxa"/>
            <w:left w:w="108" w:type="dxa"/>
            <w:bottom w:w="0" w:type="dxa"/>
            <w:right w:w="108" w:type="dxa"/>
          </w:tblCellMar>
        </w:tblPrEx>
        <w:trPr>
          <w:trHeight w:val="567" w:hRule="atLeast"/>
        </w:trPr>
        <w:tc>
          <w:tcPr>
            <w:tcW w:w="1164" w:type="dxa"/>
            <w:noWrap w:val="0"/>
            <w:vAlign w:val="top"/>
          </w:tcPr>
          <w:p w14:paraId="620B0495">
            <w:pPr>
              <w:pStyle w:val="15"/>
              <w:adjustRightInd w:val="0"/>
              <w:snapToGrid w:val="0"/>
              <w:rPr>
                <w:rFonts w:hint="eastAsia" w:ascii="宋体" w:hAnsi="宋体" w:eastAsia="宋体" w:cs="宋体"/>
                <w:sz w:val="21"/>
                <w:szCs w:val="21"/>
              </w:rPr>
            </w:pPr>
            <w:permStart w:id="68" w:edGrp="everyone" w:colFirst="2" w:colLast="2"/>
            <w:permStart w:id="69" w:edGrp="everyone" w:colFirst="3" w:colLast="3"/>
            <w:r>
              <w:rPr>
                <w:rFonts w:hint="eastAsia" w:ascii="宋体" w:hAnsi="宋体" w:eastAsia="宋体" w:cs="宋体"/>
                <w:sz w:val="21"/>
                <w:szCs w:val="21"/>
              </w:rPr>
              <w:t>开户银行：</w:t>
            </w:r>
          </w:p>
        </w:tc>
        <w:tc>
          <w:tcPr>
            <w:tcW w:w="3420" w:type="dxa"/>
            <w:noWrap w:val="0"/>
            <w:vAlign w:val="top"/>
          </w:tcPr>
          <w:p w14:paraId="0A0C6899">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中国银行南京禄口机场支行</w:t>
            </w:r>
          </w:p>
        </w:tc>
        <w:tc>
          <w:tcPr>
            <w:tcW w:w="1455" w:type="dxa"/>
            <w:noWrap w:val="0"/>
            <w:vAlign w:val="top"/>
          </w:tcPr>
          <w:p w14:paraId="143396FD">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开户银行：</w:t>
            </w:r>
          </w:p>
        </w:tc>
        <w:tc>
          <w:tcPr>
            <w:tcW w:w="2925" w:type="dxa"/>
            <w:noWrap w:val="0"/>
            <w:vAlign w:val="top"/>
          </w:tcPr>
          <w:p w14:paraId="6B9A9FDD">
            <w:pPr>
              <w:pStyle w:val="15"/>
              <w:adjustRightInd w:val="0"/>
              <w:snapToGrid w:val="0"/>
              <w:rPr>
                <w:rFonts w:hint="eastAsia" w:ascii="宋体" w:hAnsi="宋体" w:eastAsia="宋体" w:cs="宋体"/>
                <w:sz w:val="21"/>
                <w:szCs w:val="21"/>
              </w:rPr>
            </w:pPr>
          </w:p>
        </w:tc>
      </w:tr>
      <w:permEnd w:id="68"/>
      <w:permEnd w:id="69"/>
      <w:tr w14:paraId="6F03B3E1">
        <w:tblPrEx>
          <w:tblCellMar>
            <w:top w:w="0" w:type="dxa"/>
            <w:left w:w="108" w:type="dxa"/>
            <w:bottom w:w="0" w:type="dxa"/>
            <w:right w:w="108" w:type="dxa"/>
          </w:tblCellMar>
        </w:tblPrEx>
        <w:trPr>
          <w:trHeight w:val="567" w:hRule="atLeast"/>
        </w:trPr>
        <w:tc>
          <w:tcPr>
            <w:tcW w:w="1164" w:type="dxa"/>
            <w:noWrap w:val="0"/>
            <w:vAlign w:val="top"/>
          </w:tcPr>
          <w:p w14:paraId="16E82252">
            <w:pPr>
              <w:pStyle w:val="15"/>
              <w:adjustRightInd w:val="0"/>
              <w:snapToGrid w:val="0"/>
              <w:rPr>
                <w:rFonts w:hint="eastAsia" w:ascii="宋体" w:hAnsi="宋体" w:eastAsia="宋体" w:cs="宋体"/>
                <w:sz w:val="21"/>
                <w:szCs w:val="21"/>
              </w:rPr>
            </w:pPr>
            <w:permStart w:id="70" w:edGrp="everyone" w:colFirst="2" w:colLast="2"/>
            <w:permStart w:id="71" w:edGrp="everyone" w:colFirst="3" w:colLast="3"/>
            <w:r>
              <w:rPr>
                <w:rFonts w:hint="eastAsia" w:ascii="宋体" w:hAnsi="宋体" w:eastAsia="宋体" w:cs="宋体"/>
                <w:sz w:val="21"/>
                <w:szCs w:val="21"/>
              </w:rPr>
              <w:t>账    号：</w:t>
            </w:r>
          </w:p>
        </w:tc>
        <w:tc>
          <w:tcPr>
            <w:tcW w:w="3420" w:type="dxa"/>
            <w:noWrap w:val="0"/>
            <w:vAlign w:val="top"/>
          </w:tcPr>
          <w:p w14:paraId="09774340">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553470001259</w:t>
            </w:r>
          </w:p>
        </w:tc>
        <w:tc>
          <w:tcPr>
            <w:tcW w:w="1455" w:type="dxa"/>
            <w:noWrap w:val="0"/>
            <w:vAlign w:val="top"/>
          </w:tcPr>
          <w:p w14:paraId="04917B30">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账    号：</w:t>
            </w:r>
          </w:p>
        </w:tc>
        <w:tc>
          <w:tcPr>
            <w:tcW w:w="2925" w:type="dxa"/>
            <w:noWrap w:val="0"/>
            <w:vAlign w:val="top"/>
          </w:tcPr>
          <w:p w14:paraId="46C180C8">
            <w:pPr>
              <w:pStyle w:val="15"/>
              <w:adjustRightInd w:val="0"/>
              <w:snapToGrid w:val="0"/>
              <w:rPr>
                <w:rFonts w:hint="eastAsia" w:ascii="宋体" w:hAnsi="宋体" w:eastAsia="宋体" w:cs="宋体"/>
                <w:sz w:val="21"/>
                <w:szCs w:val="21"/>
              </w:rPr>
            </w:pPr>
          </w:p>
        </w:tc>
      </w:tr>
      <w:permEnd w:id="70"/>
      <w:permEnd w:id="71"/>
      <w:tr w14:paraId="45236D11">
        <w:tblPrEx>
          <w:tblCellMar>
            <w:top w:w="0" w:type="dxa"/>
            <w:left w:w="108" w:type="dxa"/>
            <w:bottom w:w="0" w:type="dxa"/>
            <w:right w:w="108" w:type="dxa"/>
          </w:tblCellMar>
        </w:tblPrEx>
        <w:trPr>
          <w:trHeight w:val="567" w:hRule="atLeast"/>
        </w:trPr>
        <w:tc>
          <w:tcPr>
            <w:tcW w:w="1164" w:type="dxa"/>
            <w:noWrap w:val="0"/>
            <w:vAlign w:val="top"/>
          </w:tcPr>
          <w:p w14:paraId="35BD7CBE">
            <w:pPr>
              <w:pStyle w:val="15"/>
              <w:adjustRightInd w:val="0"/>
              <w:snapToGrid w:val="0"/>
              <w:rPr>
                <w:rFonts w:hint="eastAsia" w:ascii="宋体" w:hAnsi="宋体" w:eastAsia="宋体" w:cs="宋体"/>
                <w:sz w:val="21"/>
                <w:szCs w:val="21"/>
              </w:rPr>
            </w:pPr>
            <w:permStart w:id="72" w:edGrp="everyone" w:colFirst="1" w:colLast="1"/>
            <w:permStart w:id="73" w:edGrp="everyone" w:colFirst="2" w:colLast="2"/>
            <w:permStart w:id="74" w:edGrp="everyone" w:colFirst="3" w:colLast="3"/>
            <w:r>
              <w:rPr>
                <w:rFonts w:hint="eastAsia" w:ascii="宋体" w:hAnsi="宋体" w:eastAsia="宋体" w:cs="宋体"/>
                <w:sz w:val="21"/>
                <w:szCs w:val="21"/>
              </w:rPr>
              <w:t>电    话：</w:t>
            </w:r>
          </w:p>
        </w:tc>
        <w:tc>
          <w:tcPr>
            <w:tcW w:w="3420" w:type="dxa"/>
            <w:noWrap w:val="0"/>
            <w:vAlign w:val="top"/>
          </w:tcPr>
          <w:p w14:paraId="0E8F326D">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025-69820630</w:t>
            </w:r>
          </w:p>
        </w:tc>
        <w:tc>
          <w:tcPr>
            <w:tcW w:w="1455" w:type="dxa"/>
            <w:noWrap w:val="0"/>
            <w:vAlign w:val="top"/>
          </w:tcPr>
          <w:p w14:paraId="5B31A991">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电    话：</w:t>
            </w:r>
          </w:p>
        </w:tc>
        <w:tc>
          <w:tcPr>
            <w:tcW w:w="2925" w:type="dxa"/>
            <w:noWrap w:val="0"/>
            <w:vAlign w:val="top"/>
          </w:tcPr>
          <w:p w14:paraId="418FB038">
            <w:pPr>
              <w:pStyle w:val="15"/>
              <w:adjustRightInd w:val="0"/>
              <w:snapToGrid w:val="0"/>
              <w:rPr>
                <w:rFonts w:hint="eastAsia" w:ascii="宋体" w:hAnsi="宋体" w:eastAsia="宋体" w:cs="宋体"/>
                <w:sz w:val="21"/>
                <w:szCs w:val="21"/>
              </w:rPr>
            </w:pPr>
          </w:p>
        </w:tc>
      </w:tr>
      <w:permEnd w:id="72"/>
      <w:permEnd w:id="73"/>
      <w:permEnd w:id="74"/>
      <w:tr w14:paraId="24A9806F">
        <w:tblPrEx>
          <w:tblCellMar>
            <w:top w:w="0" w:type="dxa"/>
            <w:left w:w="108" w:type="dxa"/>
            <w:bottom w:w="0" w:type="dxa"/>
            <w:right w:w="108" w:type="dxa"/>
          </w:tblCellMar>
        </w:tblPrEx>
        <w:trPr>
          <w:trHeight w:val="567" w:hRule="atLeast"/>
        </w:trPr>
        <w:tc>
          <w:tcPr>
            <w:tcW w:w="1164" w:type="dxa"/>
            <w:noWrap w:val="0"/>
            <w:vAlign w:val="top"/>
          </w:tcPr>
          <w:p w14:paraId="69163BAA">
            <w:pPr>
              <w:pStyle w:val="15"/>
              <w:adjustRightInd w:val="0"/>
              <w:snapToGrid w:val="0"/>
              <w:rPr>
                <w:rFonts w:hint="eastAsia" w:ascii="宋体" w:hAnsi="宋体" w:eastAsia="宋体" w:cs="宋体"/>
                <w:sz w:val="21"/>
                <w:szCs w:val="21"/>
              </w:rPr>
            </w:pPr>
            <w:permStart w:id="75" w:edGrp="everyone" w:colFirst="1" w:colLast="1"/>
            <w:permStart w:id="76" w:edGrp="everyone" w:colFirst="2" w:colLast="2"/>
            <w:permStart w:id="77" w:edGrp="everyone" w:colFirst="3" w:colLast="3"/>
            <w:r>
              <w:rPr>
                <w:rFonts w:hint="eastAsia" w:ascii="宋体" w:hAnsi="宋体" w:eastAsia="宋体" w:cs="宋体"/>
                <w:sz w:val="21"/>
                <w:szCs w:val="21"/>
              </w:rPr>
              <w:t>传    真：</w:t>
            </w:r>
          </w:p>
        </w:tc>
        <w:tc>
          <w:tcPr>
            <w:tcW w:w="3420" w:type="dxa"/>
            <w:noWrap w:val="0"/>
            <w:vAlign w:val="top"/>
          </w:tcPr>
          <w:p w14:paraId="548FDF7E">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025-69820630</w:t>
            </w:r>
          </w:p>
        </w:tc>
        <w:tc>
          <w:tcPr>
            <w:tcW w:w="1455" w:type="dxa"/>
            <w:noWrap w:val="0"/>
            <w:vAlign w:val="top"/>
          </w:tcPr>
          <w:p w14:paraId="3A1B5890">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传    真：</w:t>
            </w:r>
          </w:p>
        </w:tc>
        <w:tc>
          <w:tcPr>
            <w:tcW w:w="2925" w:type="dxa"/>
            <w:noWrap w:val="0"/>
            <w:vAlign w:val="top"/>
          </w:tcPr>
          <w:p w14:paraId="7A475CE7">
            <w:pPr>
              <w:pStyle w:val="15"/>
              <w:adjustRightInd w:val="0"/>
              <w:snapToGrid w:val="0"/>
              <w:rPr>
                <w:rFonts w:hint="eastAsia" w:ascii="宋体" w:hAnsi="宋体" w:eastAsia="宋体" w:cs="宋体"/>
                <w:sz w:val="21"/>
                <w:szCs w:val="21"/>
                <w:lang w:val="en-US" w:eastAsia="zh-CN"/>
              </w:rPr>
            </w:pPr>
          </w:p>
        </w:tc>
      </w:tr>
      <w:permEnd w:id="75"/>
      <w:permEnd w:id="76"/>
      <w:permEnd w:id="77"/>
      <w:tr w14:paraId="1608CBCA">
        <w:tblPrEx>
          <w:tblCellMar>
            <w:top w:w="0" w:type="dxa"/>
            <w:left w:w="108" w:type="dxa"/>
            <w:bottom w:w="0" w:type="dxa"/>
            <w:right w:w="108" w:type="dxa"/>
          </w:tblCellMar>
        </w:tblPrEx>
        <w:trPr>
          <w:trHeight w:val="567" w:hRule="atLeast"/>
        </w:trPr>
        <w:tc>
          <w:tcPr>
            <w:tcW w:w="1164" w:type="dxa"/>
            <w:noWrap w:val="0"/>
            <w:vAlign w:val="top"/>
          </w:tcPr>
          <w:p w14:paraId="13C53077">
            <w:pPr>
              <w:pStyle w:val="15"/>
              <w:adjustRightInd w:val="0"/>
              <w:snapToGrid w:val="0"/>
              <w:rPr>
                <w:rFonts w:hint="eastAsia" w:ascii="宋体" w:hAnsi="宋体" w:eastAsia="宋体" w:cs="宋体"/>
                <w:sz w:val="21"/>
                <w:szCs w:val="21"/>
              </w:rPr>
            </w:pPr>
            <w:permStart w:id="78" w:edGrp="everyone" w:colFirst="1" w:colLast="1"/>
            <w:permStart w:id="79" w:edGrp="everyone" w:colFirst="2" w:colLast="2"/>
            <w:permStart w:id="80" w:edGrp="everyone" w:colFirst="3" w:colLast="3"/>
            <w:r>
              <w:rPr>
                <w:rFonts w:hint="eastAsia" w:ascii="宋体" w:hAnsi="宋体" w:eastAsia="宋体" w:cs="宋体"/>
                <w:sz w:val="21"/>
                <w:szCs w:val="21"/>
              </w:rPr>
              <w:t>电子邮箱：</w:t>
            </w:r>
          </w:p>
        </w:tc>
        <w:tc>
          <w:tcPr>
            <w:tcW w:w="3420" w:type="dxa"/>
            <w:noWrap w:val="0"/>
            <w:vAlign w:val="top"/>
          </w:tcPr>
          <w:p w14:paraId="22E2CEB3">
            <w:pPr>
              <w:pStyle w:val="15"/>
              <w:adjustRightInd w:val="0"/>
              <w:snapToGrid w:val="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tc>
        <w:tc>
          <w:tcPr>
            <w:tcW w:w="1455" w:type="dxa"/>
            <w:noWrap w:val="0"/>
            <w:vAlign w:val="top"/>
          </w:tcPr>
          <w:p w14:paraId="7D0B5F8D">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电子邮箱：</w:t>
            </w:r>
          </w:p>
        </w:tc>
        <w:tc>
          <w:tcPr>
            <w:tcW w:w="2925" w:type="dxa"/>
            <w:noWrap w:val="0"/>
            <w:vAlign w:val="top"/>
          </w:tcPr>
          <w:p w14:paraId="40BC18CC">
            <w:pPr>
              <w:pStyle w:val="15"/>
              <w:adjustRightInd w:val="0"/>
              <w:snapToGrid w:val="0"/>
              <w:rPr>
                <w:rFonts w:hint="eastAsia" w:ascii="宋体" w:hAnsi="宋体" w:eastAsia="宋体" w:cs="宋体"/>
                <w:sz w:val="21"/>
                <w:szCs w:val="21"/>
              </w:rPr>
            </w:pPr>
          </w:p>
        </w:tc>
      </w:tr>
      <w:permEnd w:id="78"/>
      <w:permEnd w:id="79"/>
      <w:permEnd w:id="80"/>
      <w:tr w14:paraId="0724D633">
        <w:tblPrEx>
          <w:tblCellMar>
            <w:top w:w="0" w:type="dxa"/>
            <w:left w:w="108" w:type="dxa"/>
            <w:bottom w:w="0" w:type="dxa"/>
            <w:right w:w="108" w:type="dxa"/>
          </w:tblCellMar>
        </w:tblPrEx>
        <w:trPr>
          <w:trHeight w:val="567" w:hRule="atLeast"/>
        </w:trPr>
        <w:tc>
          <w:tcPr>
            <w:tcW w:w="4584" w:type="dxa"/>
            <w:gridSpan w:val="2"/>
            <w:noWrap w:val="0"/>
            <w:vAlign w:val="top"/>
          </w:tcPr>
          <w:p w14:paraId="1E0B26F4">
            <w:pPr>
              <w:pStyle w:val="15"/>
              <w:adjustRightInd w:val="0"/>
              <w:snapToGrid w:val="0"/>
              <w:jc w:val="right"/>
              <w:rPr>
                <w:rFonts w:hint="eastAsia" w:ascii="宋体" w:hAnsi="宋体" w:eastAsia="宋体" w:cs="宋体"/>
                <w:sz w:val="21"/>
                <w:szCs w:val="21"/>
              </w:rPr>
            </w:pPr>
            <w:permStart w:id="81" w:edGrp="everyone"/>
            <w:r>
              <w:rPr>
                <w:rFonts w:hint="eastAsia" w:ascii="宋体" w:hAnsi="宋体" w:eastAsia="宋体" w:cs="宋体"/>
                <w:sz w:val="21"/>
                <w:szCs w:val="21"/>
              </w:rPr>
              <w:t>年    月    日</w:t>
            </w:r>
            <w:permEnd w:id="81"/>
          </w:p>
        </w:tc>
        <w:tc>
          <w:tcPr>
            <w:tcW w:w="4380" w:type="dxa"/>
            <w:gridSpan w:val="2"/>
            <w:noWrap w:val="0"/>
            <w:vAlign w:val="top"/>
          </w:tcPr>
          <w:p w14:paraId="1FA758AA">
            <w:pPr>
              <w:pStyle w:val="15"/>
              <w:adjustRightInd w:val="0"/>
              <w:snapToGrid w:val="0"/>
              <w:jc w:val="right"/>
              <w:rPr>
                <w:rFonts w:hint="eastAsia" w:ascii="宋体" w:hAnsi="宋体" w:eastAsia="宋体" w:cs="宋体"/>
                <w:sz w:val="21"/>
                <w:szCs w:val="21"/>
              </w:rPr>
            </w:pPr>
            <w:permStart w:id="82" w:edGrp="everyone"/>
            <w:r>
              <w:rPr>
                <w:rFonts w:hint="eastAsia" w:ascii="宋体" w:hAnsi="宋体" w:eastAsia="宋体" w:cs="宋体"/>
                <w:sz w:val="21"/>
                <w:szCs w:val="21"/>
              </w:rPr>
              <w:t>年    月    日</w:t>
            </w:r>
            <w:permEnd w:id="82"/>
          </w:p>
        </w:tc>
      </w:tr>
    </w:tbl>
    <w:p w14:paraId="50D250B3">
      <w:pPr>
        <w:jc w:val="left"/>
        <w:rPr>
          <w:rFonts w:hint="eastAsia" w:ascii="宋体" w:hAnsi="宋体" w:eastAsia="宋体" w:cs="宋体"/>
        </w:rPr>
      </w:pPr>
    </w:p>
    <w:p w14:paraId="78BBEF00">
      <w:pPr>
        <w:pStyle w:val="4"/>
        <w:keepNext w:val="0"/>
        <w:keepLines w:val="0"/>
        <w:pageBreakBefore/>
        <w:widowControl w:val="0"/>
        <w:kinsoku/>
        <w:wordWrap/>
        <w:overflowPunct/>
        <w:topLinePunct w:val="0"/>
        <w:autoSpaceDE/>
        <w:autoSpaceDN/>
        <w:bidi w:val="0"/>
        <w:adjustRightInd/>
        <w:snapToGrid/>
        <w:textAlignment w:val="auto"/>
        <w:rPr>
          <w:rFonts w:hint="eastAsia" w:ascii="宋体" w:hAnsi="宋体" w:eastAsia="宋体" w:cs="宋体"/>
          <w:b/>
          <w:bCs/>
          <w:lang w:val="en-US" w:eastAsia="zh-CN"/>
        </w:rPr>
      </w:pPr>
      <w:r>
        <w:rPr>
          <w:rFonts w:hint="eastAsia" w:ascii="宋体" w:hAnsi="宋体" w:eastAsia="宋体" w:cs="宋体"/>
          <w:b/>
          <w:bCs/>
          <w:lang w:val="en-US" w:eastAsia="zh-CN"/>
        </w:rPr>
        <w:t>附件六：技术参数</w:t>
      </w:r>
    </w:p>
    <w:p w14:paraId="380910B1">
      <w:pPr>
        <w:numPr>
          <w:ilvl w:val="0"/>
          <w:numId w:val="6"/>
        </w:numPr>
        <w:spacing w:line="360" w:lineRule="auto"/>
        <w:outlineLvl w:val="0"/>
        <w:rPr>
          <w:rFonts w:hint="eastAsia" w:ascii="宋体" w:hAnsi="宋体" w:eastAsia="宋体" w:cs="宋体"/>
          <w:b/>
          <w:bCs/>
          <w:szCs w:val="21"/>
        </w:rPr>
      </w:pPr>
      <w:r>
        <w:rPr>
          <w:rFonts w:hint="eastAsia" w:ascii="宋体" w:hAnsi="宋体" w:eastAsia="宋体" w:cs="宋体"/>
          <w:b/>
          <w:bCs/>
          <w:szCs w:val="21"/>
        </w:rPr>
        <w:t>采购设备参数</w:t>
      </w:r>
    </w:p>
    <w:p w14:paraId="588986C8">
      <w:pPr>
        <w:pStyle w:val="5"/>
        <w:spacing w:after="0" w:line="360" w:lineRule="auto"/>
        <w:ind w:firstLine="420" w:firstLineChars="200"/>
        <w:rPr>
          <w:rFonts w:hint="eastAsia" w:ascii="宋体" w:hAnsi="宋体" w:eastAsia="宋体" w:cs="宋体"/>
          <w:szCs w:val="21"/>
        </w:rPr>
      </w:pPr>
      <w:r>
        <w:rPr>
          <w:rFonts w:hint="eastAsia" w:ascii="宋体" w:hAnsi="宋体" w:eastAsia="宋体" w:cs="宋体"/>
        </w:rPr>
        <w:t>★本次采购4台离港核心交换机、10台离港、集成汇聚交换机，17台离港48口接入交换机，63台离港24口接入交换机、2台出口防火墙及一批运维设备。</w:t>
      </w:r>
      <w:r>
        <w:rPr>
          <w:rFonts w:hint="eastAsia" w:ascii="宋体" w:hAnsi="宋体" w:eastAsia="宋体" w:cs="宋体"/>
          <w:szCs w:val="21"/>
        </w:rPr>
        <w:t>为保证网络设备成熟稳定能与现网顺利对接，本次采购的离港核心</w:t>
      </w:r>
      <w:r>
        <w:rPr>
          <w:rFonts w:hint="eastAsia" w:ascii="宋体" w:hAnsi="宋体" w:eastAsia="宋体" w:cs="宋体"/>
        </w:rPr>
        <w:t>交换机、离港汇聚交换机、集成汇聚交换机、离港24口接入交换机、离港48口接入交换机须</w:t>
      </w:r>
      <w:r>
        <w:rPr>
          <w:rFonts w:hint="eastAsia" w:ascii="宋体" w:hAnsi="宋体" w:eastAsia="宋体" w:cs="宋体"/>
          <w:szCs w:val="21"/>
        </w:rPr>
        <w:t>提供入网证书（入网时间≥3年），且为同一制造商产品。</w:t>
      </w:r>
    </w:p>
    <w:p w14:paraId="6F89BFED">
      <w:pPr>
        <w:pStyle w:val="5"/>
        <w:spacing w:after="0" w:line="360" w:lineRule="auto"/>
        <w:ind w:firstLine="420" w:firstLineChars="200"/>
        <w:rPr>
          <w:rFonts w:hint="eastAsia" w:ascii="宋体" w:hAnsi="宋体" w:eastAsia="宋体" w:cs="宋体"/>
          <w:szCs w:val="21"/>
        </w:rPr>
      </w:pPr>
      <w:r>
        <w:rPr>
          <w:rFonts w:hint="eastAsia" w:ascii="宋体" w:hAnsi="宋体" w:eastAsia="宋体" w:cs="宋体"/>
        </w:rPr>
        <w:t>★本次</w:t>
      </w:r>
      <w:r>
        <w:rPr>
          <w:rFonts w:hint="eastAsia" w:ascii="宋体" w:hAnsi="宋体" w:eastAsia="宋体" w:cs="宋体"/>
          <w:szCs w:val="21"/>
        </w:rPr>
        <w:t>采购设备原厂质保期3年，提供设备原厂维保服务。投标人必须在投标文件中报出保修期外的售后服务方案及报价（包括设备的耗材及零配件的报价等），其中设备的维修服务标准须等同于保修期内的标准（包括制造商保修服务），每年的设备保修及软件升级服务应不超过对应投标设备总价的10%。</w:t>
      </w:r>
    </w:p>
    <w:p w14:paraId="7B9C556A">
      <w:pPr>
        <w:pStyle w:val="5"/>
        <w:rPr>
          <w:rFonts w:hint="eastAsia" w:ascii="宋体" w:hAnsi="宋体" w:eastAsia="宋体" w:cs="宋体"/>
          <w:lang w:val="en-US" w:eastAsia="zh-CN"/>
        </w:rPr>
      </w:pPr>
      <w:r>
        <w:rPr>
          <w:rFonts w:hint="eastAsia" w:ascii="宋体" w:hAnsi="宋体" w:eastAsia="宋体" w:cs="宋体"/>
        </w:rPr>
        <w:t>★本项目采购设备功能及技术指标须满足或优于以下具体参数要求：</w:t>
      </w:r>
    </w:p>
    <w:p w14:paraId="37D8BBAD">
      <w:pPr>
        <w:numPr>
          <w:ilvl w:val="0"/>
          <w:numId w:val="7"/>
        </w:numPr>
        <w:spacing w:line="360" w:lineRule="auto"/>
        <w:ind w:firstLine="403"/>
        <w:outlineLvl w:val="1"/>
        <w:rPr>
          <w:rFonts w:hint="eastAsia" w:ascii="宋体" w:hAnsi="宋体" w:eastAsia="宋体" w:cs="宋体"/>
          <w:szCs w:val="21"/>
        </w:rPr>
      </w:pPr>
      <w:bookmarkStart w:id="0" w:name="_GoBack"/>
      <w:bookmarkEnd w:id="0"/>
      <w:r>
        <w:rPr>
          <w:rFonts w:hint="eastAsia" w:ascii="宋体" w:hAnsi="宋体" w:eastAsia="宋体" w:cs="宋体"/>
          <w:szCs w:val="21"/>
        </w:rPr>
        <w:t>应急抢修笔记本</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7909"/>
      </w:tblGrid>
      <w:tr w14:paraId="42A7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top w:val="single" w:color="auto" w:sz="4" w:space="0"/>
              <w:left w:val="single" w:color="auto" w:sz="4" w:space="0"/>
              <w:bottom w:val="single" w:color="auto" w:sz="4" w:space="0"/>
              <w:right w:val="single" w:color="auto" w:sz="4" w:space="0"/>
            </w:tcBorders>
            <w:noWrap w:val="0"/>
            <w:vAlign w:val="top"/>
          </w:tcPr>
          <w:p w14:paraId="79D38C8C">
            <w:pPr>
              <w:spacing w:line="360" w:lineRule="auto"/>
              <w:jc w:val="center"/>
              <w:rPr>
                <w:rFonts w:hint="eastAsia" w:ascii="宋体" w:hAnsi="宋体" w:eastAsia="宋体" w:cs="宋体"/>
                <w:b/>
                <w:bCs/>
                <w:szCs w:val="21"/>
              </w:rPr>
            </w:pPr>
            <w:r>
              <w:rPr>
                <w:rFonts w:hint="eastAsia" w:ascii="宋体" w:hAnsi="宋体" w:eastAsia="宋体" w:cs="宋体"/>
                <w:b/>
                <w:bCs/>
                <w:szCs w:val="21"/>
              </w:rPr>
              <w:t>功能及技术指标</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0AADD818">
            <w:pPr>
              <w:spacing w:line="360" w:lineRule="auto"/>
              <w:ind w:firstLine="372"/>
              <w:jc w:val="center"/>
              <w:rPr>
                <w:rFonts w:hint="eastAsia" w:ascii="宋体" w:hAnsi="宋体" w:eastAsia="宋体" w:cs="宋体"/>
                <w:b/>
                <w:bCs/>
                <w:szCs w:val="21"/>
              </w:rPr>
            </w:pPr>
            <w:r>
              <w:rPr>
                <w:rFonts w:hint="eastAsia" w:ascii="宋体" w:hAnsi="宋体" w:eastAsia="宋体" w:cs="宋体"/>
                <w:b/>
                <w:bCs/>
                <w:szCs w:val="21"/>
              </w:rPr>
              <w:t>参数要求</w:t>
            </w:r>
          </w:p>
        </w:tc>
      </w:tr>
      <w:tr w14:paraId="1655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top w:val="single" w:color="auto" w:sz="4" w:space="0"/>
              <w:left w:val="single" w:color="auto" w:sz="4" w:space="0"/>
              <w:right w:val="single" w:color="auto" w:sz="4" w:space="0"/>
            </w:tcBorders>
            <w:noWrap w:val="0"/>
            <w:vAlign w:val="top"/>
          </w:tcPr>
          <w:p w14:paraId="64855F13">
            <w:pPr>
              <w:jc w:val="center"/>
              <w:rPr>
                <w:rFonts w:hint="eastAsia" w:ascii="宋体" w:hAnsi="宋体" w:eastAsia="宋体" w:cs="宋体"/>
                <w:szCs w:val="21"/>
              </w:rPr>
            </w:pPr>
            <w:r>
              <w:rPr>
                <w:rFonts w:hint="eastAsia" w:ascii="宋体" w:hAnsi="宋体" w:eastAsia="宋体" w:cs="宋体"/>
                <w:szCs w:val="21"/>
              </w:rPr>
              <w:t>产品型号</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040B3C2E">
            <w:pPr>
              <w:jc w:val="left"/>
              <w:rPr>
                <w:rFonts w:hint="eastAsia" w:ascii="宋体" w:hAnsi="宋体" w:eastAsia="宋体" w:cs="宋体"/>
                <w:szCs w:val="21"/>
              </w:rPr>
            </w:pPr>
            <w:r>
              <w:rPr>
                <w:rFonts w:hint="eastAsia" w:ascii="宋体" w:hAnsi="宋体" w:eastAsia="宋体" w:cs="宋体"/>
                <w:szCs w:val="21"/>
              </w:rPr>
              <w:t>不低于ThinkBook 16p 2024</w:t>
            </w:r>
          </w:p>
        </w:tc>
      </w:tr>
      <w:tr w14:paraId="6412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top w:val="single" w:color="auto" w:sz="4" w:space="0"/>
              <w:left w:val="single" w:color="auto" w:sz="4" w:space="0"/>
              <w:right w:val="single" w:color="auto" w:sz="4" w:space="0"/>
            </w:tcBorders>
            <w:noWrap w:val="0"/>
            <w:vAlign w:val="top"/>
          </w:tcPr>
          <w:p w14:paraId="6BAFBC46">
            <w:pPr>
              <w:jc w:val="center"/>
              <w:rPr>
                <w:rFonts w:hint="eastAsia" w:ascii="宋体" w:hAnsi="宋体" w:eastAsia="宋体" w:cs="宋体"/>
                <w:szCs w:val="21"/>
              </w:rPr>
            </w:pPr>
            <w:r>
              <w:rPr>
                <w:rFonts w:hint="eastAsia" w:ascii="宋体" w:hAnsi="宋体" w:eastAsia="宋体" w:cs="宋体"/>
                <w:szCs w:val="21"/>
              </w:rPr>
              <w:t>处理器</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33F60E4B">
            <w:pPr>
              <w:jc w:val="left"/>
              <w:rPr>
                <w:rFonts w:hint="eastAsia" w:ascii="宋体" w:hAnsi="宋体" w:eastAsia="宋体" w:cs="宋体"/>
                <w:szCs w:val="21"/>
              </w:rPr>
            </w:pPr>
            <w:r>
              <w:rPr>
                <w:rFonts w:hint="eastAsia" w:ascii="宋体" w:hAnsi="宋体" w:eastAsia="宋体" w:cs="宋体"/>
                <w:szCs w:val="21"/>
              </w:rPr>
              <w:t>不低于英特尔酷睿 Ultra 9 185H 16核心/22线程</w:t>
            </w:r>
          </w:p>
        </w:tc>
      </w:tr>
      <w:tr w14:paraId="5674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top"/>
          </w:tcPr>
          <w:p w14:paraId="1B381E2C">
            <w:pPr>
              <w:jc w:val="center"/>
              <w:rPr>
                <w:rFonts w:hint="eastAsia" w:ascii="宋体" w:hAnsi="宋体" w:eastAsia="宋体" w:cs="宋体"/>
                <w:szCs w:val="21"/>
              </w:rPr>
            </w:pPr>
            <w:r>
              <w:rPr>
                <w:rFonts w:hint="eastAsia" w:ascii="宋体" w:hAnsi="宋体" w:eastAsia="宋体" w:cs="宋体"/>
                <w:szCs w:val="21"/>
              </w:rPr>
              <w:t>屏幕</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76A2BA96">
            <w:pPr>
              <w:jc w:val="left"/>
              <w:rPr>
                <w:rFonts w:hint="eastAsia" w:ascii="宋体" w:hAnsi="宋体" w:eastAsia="宋体" w:cs="宋体"/>
                <w:szCs w:val="21"/>
              </w:rPr>
            </w:pPr>
            <w:r>
              <w:rPr>
                <w:rFonts w:hint="eastAsia" w:ascii="宋体" w:hAnsi="宋体" w:eastAsia="宋体" w:cs="宋体"/>
                <w:szCs w:val="21"/>
              </w:rPr>
              <w:t>不低于14.5英寸 屏幕分辨率3072×1920</w:t>
            </w:r>
          </w:p>
        </w:tc>
      </w:tr>
      <w:tr w14:paraId="11C5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top w:val="single" w:color="auto" w:sz="4" w:space="0"/>
              <w:left w:val="single" w:color="auto" w:sz="4" w:space="0"/>
              <w:right w:val="single" w:color="auto" w:sz="4" w:space="0"/>
            </w:tcBorders>
            <w:noWrap w:val="0"/>
            <w:vAlign w:val="top"/>
          </w:tcPr>
          <w:p w14:paraId="792702F6">
            <w:pPr>
              <w:jc w:val="center"/>
              <w:rPr>
                <w:rFonts w:hint="eastAsia" w:ascii="宋体" w:hAnsi="宋体" w:eastAsia="宋体" w:cs="宋体"/>
                <w:szCs w:val="21"/>
              </w:rPr>
            </w:pPr>
            <w:r>
              <w:rPr>
                <w:rFonts w:hint="eastAsia" w:ascii="宋体" w:hAnsi="宋体" w:eastAsia="宋体" w:cs="宋体"/>
                <w:szCs w:val="21"/>
              </w:rPr>
              <w:t>内存</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0E5A76EE">
            <w:pPr>
              <w:jc w:val="left"/>
              <w:rPr>
                <w:rFonts w:hint="eastAsia" w:ascii="宋体" w:hAnsi="宋体" w:eastAsia="宋体" w:cs="宋体"/>
                <w:szCs w:val="21"/>
              </w:rPr>
            </w:pPr>
            <w:r>
              <w:rPr>
                <w:rFonts w:hint="eastAsia" w:ascii="宋体" w:hAnsi="宋体" w:eastAsia="宋体" w:cs="宋体"/>
                <w:szCs w:val="21"/>
              </w:rPr>
              <w:t>不低于32G(16+16) DDR5内存，频率5600Mhz，支持自行扩展</w:t>
            </w:r>
          </w:p>
        </w:tc>
      </w:tr>
      <w:tr w14:paraId="5B65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2" w:type="pct"/>
            <w:tcBorders>
              <w:left w:val="single" w:color="auto" w:sz="4" w:space="0"/>
              <w:right w:val="single" w:color="auto" w:sz="4" w:space="0"/>
            </w:tcBorders>
            <w:noWrap w:val="0"/>
            <w:vAlign w:val="top"/>
          </w:tcPr>
          <w:p w14:paraId="1C4D5233">
            <w:pPr>
              <w:jc w:val="center"/>
              <w:rPr>
                <w:rFonts w:hint="eastAsia" w:ascii="宋体" w:hAnsi="宋体" w:eastAsia="宋体" w:cs="宋体"/>
                <w:szCs w:val="21"/>
              </w:rPr>
            </w:pPr>
            <w:r>
              <w:rPr>
                <w:rFonts w:hint="eastAsia" w:ascii="宋体" w:hAnsi="宋体" w:eastAsia="宋体" w:cs="宋体"/>
                <w:szCs w:val="21"/>
              </w:rPr>
              <w:t>硬盘</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0476801D">
            <w:pPr>
              <w:jc w:val="left"/>
              <w:rPr>
                <w:rFonts w:hint="eastAsia" w:ascii="宋体" w:hAnsi="宋体" w:eastAsia="宋体" w:cs="宋体"/>
                <w:szCs w:val="21"/>
              </w:rPr>
            </w:pPr>
            <w:r>
              <w:rPr>
                <w:rFonts w:hint="eastAsia" w:ascii="宋体" w:hAnsi="宋体" w:eastAsia="宋体" w:cs="宋体"/>
                <w:szCs w:val="21"/>
              </w:rPr>
              <w:t>不低于2TB M.2 2242 PCIe Gen4 固态硬盘，支持自行扩展</w:t>
            </w:r>
          </w:p>
        </w:tc>
      </w:tr>
      <w:tr w14:paraId="15A2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top"/>
          </w:tcPr>
          <w:p w14:paraId="420A3EC5">
            <w:pPr>
              <w:jc w:val="center"/>
              <w:rPr>
                <w:rFonts w:hint="eastAsia" w:ascii="宋体" w:hAnsi="宋体" w:eastAsia="宋体" w:cs="宋体"/>
                <w:szCs w:val="21"/>
              </w:rPr>
            </w:pPr>
            <w:r>
              <w:rPr>
                <w:rFonts w:hint="eastAsia" w:ascii="宋体" w:hAnsi="宋体" w:eastAsia="宋体" w:cs="宋体"/>
                <w:szCs w:val="21"/>
              </w:rPr>
              <w:t>显卡</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0A0D10EC">
            <w:pPr>
              <w:jc w:val="left"/>
              <w:rPr>
                <w:rFonts w:hint="eastAsia" w:ascii="宋体" w:hAnsi="宋体" w:eastAsia="宋体" w:cs="宋体"/>
                <w:szCs w:val="21"/>
              </w:rPr>
            </w:pPr>
            <w:r>
              <w:rPr>
                <w:rFonts w:hint="eastAsia" w:ascii="宋体" w:hAnsi="宋体" w:eastAsia="宋体" w:cs="宋体"/>
                <w:szCs w:val="21"/>
              </w:rPr>
              <w:t>不低于NVIDIA GeForce RTX 4060独立显卡，6GB GDDR6 显存</w:t>
            </w:r>
          </w:p>
        </w:tc>
      </w:tr>
      <w:tr w14:paraId="482E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top"/>
          </w:tcPr>
          <w:p w14:paraId="18E4B338">
            <w:pPr>
              <w:jc w:val="center"/>
              <w:rPr>
                <w:rFonts w:hint="eastAsia" w:ascii="宋体" w:hAnsi="宋体" w:eastAsia="宋体" w:cs="宋体"/>
                <w:szCs w:val="21"/>
              </w:rPr>
            </w:pPr>
            <w:r>
              <w:rPr>
                <w:rFonts w:hint="eastAsia" w:ascii="宋体" w:hAnsi="宋体" w:eastAsia="宋体" w:cs="宋体"/>
                <w:szCs w:val="21"/>
              </w:rPr>
              <w:t>操作系统</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6D7AAFB9">
            <w:pPr>
              <w:jc w:val="left"/>
              <w:rPr>
                <w:rFonts w:hint="eastAsia" w:ascii="宋体" w:hAnsi="宋体" w:eastAsia="宋体" w:cs="宋体"/>
                <w:szCs w:val="21"/>
              </w:rPr>
            </w:pPr>
            <w:r>
              <w:rPr>
                <w:rFonts w:hint="eastAsia" w:ascii="宋体" w:hAnsi="宋体" w:eastAsia="宋体" w:cs="宋体"/>
                <w:szCs w:val="21"/>
              </w:rPr>
              <w:t>预装正版windows操作系统</w:t>
            </w:r>
          </w:p>
        </w:tc>
      </w:tr>
      <w:tr w14:paraId="52D7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72" w:type="pct"/>
            <w:tcBorders>
              <w:left w:val="single" w:color="auto" w:sz="4" w:space="0"/>
              <w:right w:val="single" w:color="auto" w:sz="4" w:space="0"/>
            </w:tcBorders>
            <w:noWrap w:val="0"/>
            <w:vAlign w:val="top"/>
          </w:tcPr>
          <w:p w14:paraId="54F93EE8">
            <w:pPr>
              <w:jc w:val="center"/>
              <w:rPr>
                <w:rFonts w:hint="eastAsia" w:ascii="宋体" w:hAnsi="宋体" w:eastAsia="宋体" w:cs="宋体"/>
                <w:szCs w:val="21"/>
              </w:rPr>
            </w:pPr>
            <w:r>
              <w:rPr>
                <w:rFonts w:hint="eastAsia" w:ascii="宋体" w:hAnsi="宋体" w:eastAsia="宋体" w:cs="宋体"/>
                <w:szCs w:val="21"/>
              </w:rPr>
              <w:t>其他</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17D9E599">
            <w:pPr>
              <w:jc w:val="left"/>
              <w:rPr>
                <w:rFonts w:hint="eastAsia" w:ascii="宋体" w:hAnsi="宋体" w:eastAsia="宋体" w:cs="宋体"/>
                <w:szCs w:val="21"/>
              </w:rPr>
            </w:pPr>
            <w:r>
              <w:rPr>
                <w:rFonts w:hint="eastAsia" w:ascii="宋体" w:hAnsi="宋体" w:eastAsia="宋体" w:cs="宋体"/>
                <w:szCs w:val="21"/>
              </w:rPr>
              <w:t>不低于2个 USB-A 3.2 Gen1数据接口，HDMI2.1 TMDS视频接口</w:t>
            </w:r>
          </w:p>
        </w:tc>
      </w:tr>
      <w:tr w14:paraId="3E64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top"/>
          </w:tcPr>
          <w:p w14:paraId="0C6C1F37">
            <w:pPr>
              <w:jc w:val="center"/>
              <w:rPr>
                <w:rFonts w:hint="eastAsia" w:ascii="宋体" w:hAnsi="宋体" w:eastAsia="宋体" w:cs="宋体"/>
                <w:szCs w:val="21"/>
              </w:rPr>
            </w:pPr>
            <w:r>
              <w:rPr>
                <w:rFonts w:hint="eastAsia" w:ascii="宋体" w:hAnsi="宋体" w:eastAsia="宋体" w:cs="宋体"/>
                <w:szCs w:val="21"/>
              </w:rPr>
              <w:t>售后服务</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028F8600">
            <w:pPr>
              <w:jc w:val="left"/>
              <w:rPr>
                <w:rFonts w:hint="eastAsia" w:ascii="宋体" w:hAnsi="宋体" w:eastAsia="宋体" w:cs="宋体"/>
                <w:szCs w:val="21"/>
              </w:rPr>
            </w:pPr>
            <w:r>
              <w:rPr>
                <w:rFonts w:hint="eastAsia" w:ascii="宋体" w:hAnsi="宋体" w:eastAsia="宋体" w:cs="宋体"/>
                <w:szCs w:val="21"/>
              </w:rPr>
              <w:t>3年原厂质保及上门服务</w:t>
            </w:r>
          </w:p>
        </w:tc>
      </w:tr>
    </w:tbl>
    <w:p w14:paraId="1D9964F0">
      <w:pPr>
        <w:numPr>
          <w:ilvl w:val="0"/>
          <w:numId w:val="7"/>
        </w:numPr>
        <w:spacing w:line="360" w:lineRule="auto"/>
        <w:ind w:firstLine="403"/>
        <w:outlineLvl w:val="1"/>
        <w:rPr>
          <w:rFonts w:hint="eastAsia" w:ascii="宋体" w:hAnsi="宋体" w:eastAsia="宋体" w:cs="宋体"/>
          <w:szCs w:val="21"/>
        </w:rPr>
      </w:pPr>
      <w:r>
        <w:rPr>
          <w:rFonts w:hint="eastAsia" w:ascii="宋体" w:hAnsi="宋体" w:eastAsia="宋体" w:cs="宋体"/>
          <w:szCs w:val="21"/>
        </w:rPr>
        <w:t>网络运维终端</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7909"/>
      </w:tblGrid>
      <w:tr w14:paraId="5316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top w:val="single" w:color="auto" w:sz="4" w:space="0"/>
              <w:left w:val="single" w:color="auto" w:sz="4" w:space="0"/>
              <w:bottom w:val="single" w:color="auto" w:sz="4" w:space="0"/>
              <w:right w:val="single" w:color="auto" w:sz="4" w:space="0"/>
            </w:tcBorders>
            <w:noWrap w:val="0"/>
            <w:vAlign w:val="top"/>
          </w:tcPr>
          <w:p w14:paraId="32A121FC">
            <w:pPr>
              <w:jc w:val="center"/>
              <w:rPr>
                <w:rFonts w:hint="eastAsia" w:ascii="宋体" w:hAnsi="宋体" w:eastAsia="宋体" w:cs="宋体"/>
                <w:b/>
                <w:bCs/>
                <w:szCs w:val="21"/>
              </w:rPr>
            </w:pPr>
            <w:r>
              <w:rPr>
                <w:rFonts w:hint="eastAsia" w:ascii="宋体" w:hAnsi="宋体" w:eastAsia="宋体" w:cs="宋体"/>
                <w:b/>
                <w:bCs/>
                <w:szCs w:val="21"/>
              </w:rPr>
              <w:t>功能及技术指标</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74FAF77F">
            <w:pPr>
              <w:ind w:firstLine="372"/>
              <w:jc w:val="center"/>
              <w:rPr>
                <w:rFonts w:hint="eastAsia" w:ascii="宋体" w:hAnsi="宋体" w:eastAsia="宋体" w:cs="宋体"/>
                <w:b/>
                <w:bCs/>
                <w:szCs w:val="21"/>
              </w:rPr>
            </w:pPr>
            <w:r>
              <w:rPr>
                <w:rFonts w:hint="eastAsia" w:ascii="宋体" w:hAnsi="宋体" w:eastAsia="宋体" w:cs="宋体"/>
                <w:b/>
                <w:bCs/>
                <w:szCs w:val="21"/>
              </w:rPr>
              <w:t>参数要求</w:t>
            </w:r>
          </w:p>
        </w:tc>
      </w:tr>
      <w:tr w14:paraId="4245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top w:val="single" w:color="auto" w:sz="4" w:space="0"/>
              <w:left w:val="single" w:color="auto" w:sz="4" w:space="0"/>
              <w:right w:val="single" w:color="auto" w:sz="4" w:space="0"/>
            </w:tcBorders>
            <w:noWrap w:val="0"/>
            <w:vAlign w:val="top"/>
          </w:tcPr>
          <w:p w14:paraId="17284F0E">
            <w:pPr>
              <w:jc w:val="center"/>
              <w:rPr>
                <w:rFonts w:hint="eastAsia" w:ascii="宋体" w:hAnsi="宋体" w:eastAsia="宋体" w:cs="宋体"/>
                <w:szCs w:val="21"/>
              </w:rPr>
            </w:pPr>
            <w:r>
              <w:rPr>
                <w:rFonts w:hint="eastAsia" w:ascii="宋体" w:hAnsi="宋体" w:eastAsia="宋体" w:cs="宋体"/>
                <w:szCs w:val="21"/>
              </w:rPr>
              <w:t>产品型号</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1A437188">
            <w:pPr>
              <w:jc w:val="left"/>
              <w:rPr>
                <w:rFonts w:hint="eastAsia" w:ascii="宋体" w:hAnsi="宋体" w:eastAsia="宋体" w:cs="宋体"/>
                <w:szCs w:val="21"/>
              </w:rPr>
            </w:pPr>
            <w:r>
              <w:rPr>
                <w:rFonts w:hint="eastAsia" w:ascii="宋体" w:hAnsi="宋体" w:eastAsia="宋体" w:cs="宋体"/>
                <w:szCs w:val="21"/>
              </w:rPr>
              <w:t>国产整机品牌</w:t>
            </w:r>
          </w:p>
        </w:tc>
      </w:tr>
      <w:tr w14:paraId="1C74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top w:val="single" w:color="auto" w:sz="4" w:space="0"/>
              <w:left w:val="single" w:color="auto" w:sz="4" w:space="0"/>
              <w:right w:val="single" w:color="auto" w:sz="4" w:space="0"/>
            </w:tcBorders>
            <w:noWrap w:val="0"/>
            <w:vAlign w:val="top"/>
          </w:tcPr>
          <w:p w14:paraId="11D6993D">
            <w:pPr>
              <w:jc w:val="center"/>
              <w:rPr>
                <w:rFonts w:hint="eastAsia" w:ascii="宋体" w:hAnsi="宋体" w:eastAsia="宋体" w:cs="宋体"/>
                <w:szCs w:val="21"/>
              </w:rPr>
            </w:pPr>
            <w:r>
              <w:rPr>
                <w:rFonts w:hint="eastAsia" w:ascii="宋体" w:hAnsi="宋体" w:eastAsia="宋体" w:cs="宋体"/>
                <w:szCs w:val="21"/>
              </w:rPr>
              <w:t>处理器</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282E7E65">
            <w:pPr>
              <w:jc w:val="left"/>
              <w:rPr>
                <w:rFonts w:hint="eastAsia" w:ascii="宋体" w:hAnsi="宋体" w:eastAsia="宋体" w:cs="宋体"/>
                <w:szCs w:val="21"/>
              </w:rPr>
            </w:pPr>
            <w:r>
              <w:rPr>
                <w:rFonts w:hint="eastAsia" w:ascii="宋体" w:hAnsi="宋体" w:eastAsia="宋体" w:cs="宋体"/>
                <w:szCs w:val="21"/>
              </w:rPr>
              <w:t>不低于14代英特尔i7-14700（F）处理器</w:t>
            </w:r>
          </w:p>
        </w:tc>
      </w:tr>
      <w:tr w14:paraId="4C0C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center"/>
          </w:tcPr>
          <w:p w14:paraId="212FA75A">
            <w:pPr>
              <w:jc w:val="center"/>
              <w:rPr>
                <w:rFonts w:hint="eastAsia" w:ascii="宋体" w:hAnsi="宋体" w:eastAsia="宋体" w:cs="宋体"/>
                <w:szCs w:val="21"/>
              </w:rPr>
            </w:pPr>
            <w:r>
              <w:rPr>
                <w:rFonts w:hint="eastAsia" w:ascii="宋体" w:hAnsi="宋体" w:eastAsia="宋体" w:cs="宋体"/>
                <w:szCs w:val="21"/>
              </w:rPr>
              <w:t>屏幕</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7EA8840D">
            <w:pPr>
              <w:jc w:val="left"/>
              <w:rPr>
                <w:rFonts w:hint="eastAsia" w:ascii="宋体" w:hAnsi="宋体" w:eastAsia="宋体" w:cs="宋体"/>
                <w:szCs w:val="21"/>
              </w:rPr>
            </w:pPr>
            <w:r>
              <w:rPr>
                <w:rFonts w:hint="eastAsia" w:ascii="宋体" w:hAnsi="宋体" w:eastAsia="宋体" w:cs="宋体"/>
                <w:szCs w:val="21"/>
              </w:rPr>
              <w:t>不低于27英寸Nano IPS面板，不低于2K分辨率，144Hz刷新率，亮度300尼特</w:t>
            </w:r>
          </w:p>
        </w:tc>
      </w:tr>
      <w:tr w14:paraId="35E6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top w:val="single" w:color="auto" w:sz="4" w:space="0"/>
              <w:left w:val="single" w:color="auto" w:sz="4" w:space="0"/>
              <w:right w:val="single" w:color="auto" w:sz="4" w:space="0"/>
            </w:tcBorders>
            <w:noWrap w:val="0"/>
            <w:vAlign w:val="center"/>
          </w:tcPr>
          <w:p w14:paraId="1A41C157">
            <w:pPr>
              <w:jc w:val="center"/>
              <w:rPr>
                <w:rFonts w:hint="eastAsia" w:ascii="宋体" w:hAnsi="宋体" w:eastAsia="宋体" w:cs="宋体"/>
                <w:szCs w:val="21"/>
              </w:rPr>
            </w:pPr>
            <w:r>
              <w:rPr>
                <w:rFonts w:hint="eastAsia" w:ascii="宋体" w:hAnsi="宋体" w:eastAsia="宋体" w:cs="宋体"/>
                <w:szCs w:val="21"/>
              </w:rPr>
              <w:t>内存</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739E4E24">
            <w:pPr>
              <w:jc w:val="left"/>
              <w:rPr>
                <w:rFonts w:hint="eastAsia" w:ascii="宋体" w:hAnsi="宋体" w:eastAsia="宋体" w:cs="宋体"/>
                <w:szCs w:val="21"/>
              </w:rPr>
            </w:pPr>
            <w:r>
              <w:rPr>
                <w:rFonts w:hint="eastAsia" w:ascii="宋体" w:hAnsi="宋体" w:eastAsia="宋体" w:cs="宋体"/>
                <w:szCs w:val="21"/>
              </w:rPr>
              <w:t>不低于32G DDR5内存，频率5600Mhz，支持自行扩展</w:t>
            </w:r>
          </w:p>
        </w:tc>
      </w:tr>
      <w:tr w14:paraId="7A24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center"/>
          </w:tcPr>
          <w:p w14:paraId="08EB6848">
            <w:pPr>
              <w:jc w:val="center"/>
              <w:rPr>
                <w:rFonts w:hint="eastAsia" w:ascii="宋体" w:hAnsi="宋体" w:eastAsia="宋体" w:cs="宋体"/>
                <w:szCs w:val="21"/>
              </w:rPr>
            </w:pPr>
            <w:r>
              <w:rPr>
                <w:rFonts w:hint="eastAsia" w:ascii="宋体" w:hAnsi="宋体" w:eastAsia="宋体" w:cs="宋体"/>
                <w:szCs w:val="21"/>
              </w:rPr>
              <w:t>硬盘</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70896332">
            <w:pPr>
              <w:jc w:val="left"/>
              <w:rPr>
                <w:rFonts w:hint="eastAsia" w:ascii="宋体" w:hAnsi="宋体" w:eastAsia="宋体" w:cs="宋体"/>
                <w:szCs w:val="21"/>
              </w:rPr>
            </w:pPr>
            <w:r>
              <w:rPr>
                <w:rFonts w:hint="eastAsia" w:ascii="宋体" w:hAnsi="宋体" w:eastAsia="宋体" w:cs="宋体"/>
                <w:szCs w:val="21"/>
              </w:rPr>
              <w:t>不低于1TB PCIe4.0固态硬盘，磁盘I/O性能不低于三星980 Pro SSD，支持自行扩展</w:t>
            </w:r>
          </w:p>
        </w:tc>
      </w:tr>
      <w:tr w14:paraId="6595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center"/>
          </w:tcPr>
          <w:p w14:paraId="3ADAF5F4">
            <w:pPr>
              <w:jc w:val="center"/>
              <w:rPr>
                <w:rFonts w:hint="eastAsia" w:ascii="宋体" w:hAnsi="宋体" w:eastAsia="宋体" w:cs="宋体"/>
                <w:szCs w:val="21"/>
              </w:rPr>
            </w:pPr>
            <w:r>
              <w:rPr>
                <w:rFonts w:hint="eastAsia" w:ascii="宋体" w:hAnsi="宋体" w:eastAsia="宋体" w:cs="宋体"/>
                <w:szCs w:val="21"/>
              </w:rPr>
              <w:t>显卡</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19523910">
            <w:pPr>
              <w:jc w:val="left"/>
              <w:rPr>
                <w:rFonts w:hint="eastAsia" w:ascii="宋体" w:hAnsi="宋体" w:eastAsia="宋体" w:cs="宋体"/>
                <w:szCs w:val="21"/>
              </w:rPr>
            </w:pPr>
            <w:r>
              <w:rPr>
                <w:rFonts w:hint="eastAsia" w:ascii="宋体" w:hAnsi="宋体" w:eastAsia="宋体" w:cs="宋体"/>
                <w:szCs w:val="21"/>
              </w:rPr>
              <w:t>独立显卡，芯片性能不低于RTX 4060，8GB 128bit GDDR6 显存</w:t>
            </w:r>
          </w:p>
        </w:tc>
      </w:tr>
      <w:tr w14:paraId="6271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center"/>
          </w:tcPr>
          <w:p w14:paraId="64823039">
            <w:pPr>
              <w:jc w:val="center"/>
              <w:rPr>
                <w:rFonts w:hint="eastAsia" w:ascii="宋体" w:hAnsi="宋体" w:eastAsia="宋体" w:cs="宋体"/>
                <w:szCs w:val="21"/>
              </w:rPr>
            </w:pPr>
            <w:r>
              <w:rPr>
                <w:rFonts w:hint="eastAsia" w:ascii="宋体" w:hAnsi="宋体" w:eastAsia="宋体" w:cs="宋体"/>
                <w:szCs w:val="21"/>
              </w:rPr>
              <w:t>网卡</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6AB456FA">
            <w:pPr>
              <w:jc w:val="left"/>
              <w:rPr>
                <w:rFonts w:hint="eastAsia" w:ascii="宋体" w:hAnsi="宋体" w:eastAsia="宋体" w:cs="宋体"/>
                <w:szCs w:val="21"/>
              </w:rPr>
            </w:pPr>
            <w:r>
              <w:rPr>
                <w:rFonts w:hint="eastAsia" w:ascii="宋体" w:hAnsi="宋体" w:eastAsia="宋体" w:cs="宋体"/>
                <w:szCs w:val="21"/>
              </w:rPr>
              <w:t>不低于内置WiFi 6无线网卡 + 蓝牙，1个千兆有线网卡</w:t>
            </w:r>
          </w:p>
        </w:tc>
      </w:tr>
      <w:tr w14:paraId="1A8C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center"/>
          </w:tcPr>
          <w:p w14:paraId="210114D6">
            <w:pPr>
              <w:jc w:val="center"/>
              <w:rPr>
                <w:rFonts w:hint="eastAsia" w:ascii="宋体" w:hAnsi="宋体" w:eastAsia="宋体" w:cs="宋体"/>
                <w:szCs w:val="21"/>
              </w:rPr>
            </w:pPr>
            <w:r>
              <w:rPr>
                <w:rFonts w:hint="eastAsia" w:ascii="宋体" w:hAnsi="宋体" w:eastAsia="宋体" w:cs="宋体"/>
                <w:szCs w:val="21"/>
              </w:rPr>
              <w:t>操作系统</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072BDCD8">
            <w:pPr>
              <w:jc w:val="left"/>
              <w:rPr>
                <w:rFonts w:hint="eastAsia" w:ascii="宋体" w:hAnsi="宋体" w:eastAsia="宋体" w:cs="宋体"/>
                <w:szCs w:val="21"/>
              </w:rPr>
            </w:pPr>
            <w:r>
              <w:rPr>
                <w:rFonts w:hint="eastAsia" w:ascii="宋体" w:hAnsi="宋体" w:eastAsia="宋体" w:cs="宋体"/>
                <w:szCs w:val="21"/>
              </w:rPr>
              <w:t>预装正版windows操作系统</w:t>
            </w:r>
          </w:p>
        </w:tc>
      </w:tr>
      <w:tr w14:paraId="5ADA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center"/>
          </w:tcPr>
          <w:p w14:paraId="752A4222">
            <w:pPr>
              <w:jc w:val="center"/>
              <w:rPr>
                <w:rFonts w:hint="eastAsia" w:ascii="宋体" w:hAnsi="宋体" w:eastAsia="宋体" w:cs="宋体"/>
                <w:szCs w:val="21"/>
              </w:rPr>
            </w:pPr>
            <w:r>
              <w:rPr>
                <w:rFonts w:hint="eastAsia" w:ascii="宋体" w:hAnsi="宋体" w:eastAsia="宋体" w:cs="宋体"/>
                <w:szCs w:val="21"/>
              </w:rPr>
              <w:t>其他</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44A9F48A">
            <w:pPr>
              <w:jc w:val="left"/>
              <w:rPr>
                <w:rFonts w:hint="eastAsia" w:ascii="宋体" w:hAnsi="宋体" w:eastAsia="宋体" w:cs="宋体"/>
                <w:szCs w:val="21"/>
              </w:rPr>
            </w:pPr>
            <w:r>
              <w:rPr>
                <w:rFonts w:hint="eastAsia" w:ascii="宋体" w:hAnsi="宋体" w:eastAsia="宋体" w:cs="宋体"/>
                <w:szCs w:val="21"/>
              </w:rPr>
              <w:t>不低于500W全模组电源，3个USB 3.2接口，4个USB 2.0接口</w:t>
            </w:r>
          </w:p>
        </w:tc>
      </w:tr>
      <w:tr w14:paraId="1C2B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center"/>
          </w:tcPr>
          <w:p w14:paraId="72886D9D">
            <w:pPr>
              <w:jc w:val="center"/>
              <w:rPr>
                <w:rFonts w:hint="eastAsia" w:ascii="宋体" w:hAnsi="宋体" w:eastAsia="宋体" w:cs="宋体"/>
                <w:szCs w:val="21"/>
              </w:rPr>
            </w:pPr>
            <w:r>
              <w:rPr>
                <w:rFonts w:hint="eastAsia" w:ascii="宋体" w:hAnsi="宋体" w:eastAsia="宋体" w:cs="宋体"/>
                <w:szCs w:val="21"/>
              </w:rPr>
              <w:t>售后服务</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41D75D9E">
            <w:pPr>
              <w:jc w:val="left"/>
              <w:rPr>
                <w:rFonts w:hint="eastAsia" w:ascii="宋体" w:hAnsi="宋体" w:eastAsia="宋体" w:cs="宋体"/>
                <w:szCs w:val="21"/>
              </w:rPr>
            </w:pPr>
            <w:r>
              <w:rPr>
                <w:rFonts w:hint="eastAsia" w:ascii="宋体" w:hAnsi="宋体" w:eastAsia="宋体" w:cs="宋体"/>
                <w:szCs w:val="21"/>
              </w:rPr>
              <w:t>3年原厂质保及上门服务</w:t>
            </w:r>
          </w:p>
        </w:tc>
      </w:tr>
    </w:tbl>
    <w:p w14:paraId="1770F9FA">
      <w:pPr>
        <w:numPr>
          <w:ilvl w:val="0"/>
          <w:numId w:val="7"/>
        </w:numPr>
        <w:spacing w:line="360" w:lineRule="auto"/>
        <w:ind w:firstLine="403"/>
        <w:outlineLvl w:val="1"/>
        <w:rPr>
          <w:rFonts w:hint="eastAsia" w:ascii="宋体" w:hAnsi="宋体" w:eastAsia="宋体" w:cs="宋体"/>
          <w:szCs w:val="21"/>
        </w:rPr>
      </w:pPr>
      <w:r>
        <w:rPr>
          <w:rFonts w:hint="eastAsia" w:ascii="宋体" w:hAnsi="宋体" w:eastAsia="宋体" w:cs="宋体"/>
          <w:szCs w:val="21"/>
        </w:rPr>
        <w:t>网络业务终端</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7909"/>
      </w:tblGrid>
      <w:tr w14:paraId="02B5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top w:val="single" w:color="auto" w:sz="4" w:space="0"/>
              <w:left w:val="single" w:color="auto" w:sz="4" w:space="0"/>
              <w:bottom w:val="single" w:color="auto" w:sz="4" w:space="0"/>
              <w:right w:val="single" w:color="auto" w:sz="4" w:space="0"/>
            </w:tcBorders>
            <w:noWrap w:val="0"/>
            <w:vAlign w:val="top"/>
          </w:tcPr>
          <w:p w14:paraId="516838F3">
            <w:pPr>
              <w:jc w:val="center"/>
              <w:rPr>
                <w:rFonts w:hint="eastAsia" w:ascii="宋体" w:hAnsi="宋体" w:eastAsia="宋体" w:cs="宋体"/>
                <w:b/>
                <w:bCs/>
                <w:szCs w:val="21"/>
              </w:rPr>
            </w:pPr>
            <w:r>
              <w:rPr>
                <w:rFonts w:hint="eastAsia" w:ascii="宋体" w:hAnsi="宋体" w:eastAsia="宋体" w:cs="宋体"/>
                <w:b/>
                <w:bCs/>
                <w:szCs w:val="21"/>
              </w:rPr>
              <w:t>功能及技术指标</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456F6BAD">
            <w:pPr>
              <w:ind w:firstLine="372"/>
              <w:jc w:val="center"/>
              <w:rPr>
                <w:rFonts w:hint="eastAsia" w:ascii="宋体" w:hAnsi="宋体" w:eastAsia="宋体" w:cs="宋体"/>
                <w:b/>
                <w:bCs/>
                <w:szCs w:val="21"/>
              </w:rPr>
            </w:pPr>
            <w:r>
              <w:rPr>
                <w:rFonts w:hint="eastAsia" w:ascii="宋体" w:hAnsi="宋体" w:eastAsia="宋体" w:cs="宋体"/>
                <w:b/>
                <w:bCs/>
                <w:szCs w:val="21"/>
              </w:rPr>
              <w:t>参数要求</w:t>
            </w:r>
          </w:p>
        </w:tc>
      </w:tr>
      <w:tr w14:paraId="4E7B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top w:val="single" w:color="auto" w:sz="4" w:space="0"/>
              <w:left w:val="single" w:color="auto" w:sz="4" w:space="0"/>
              <w:right w:val="single" w:color="auto" w:sz="4" w:space="0"/>
            </w:tcBorders>
            <w:noWrap w:val="0"/>
            <w:vAlign w:val="center"/>
          </w:tcPr>
          <w:p w14:paraId="4FFFE2A7">
            <w:pPr>
              <w:jc w:val="center"/>
              <w:rPr>
                <w:rFonts w:hint="eastAsia" w:ascii="宋体" w:hAnsi="宋体" w:eastAsia="宋体" w:cs="宋体"/>
                <w:szCs w:val="21"/>
              </w:rPr>
            </w:pPr>
            <w:r>
              <w:rPr>
                <w:rFonts w:hint="eastAsia" w:ascii="宋体" w:hAnsi="宋体" w:eastAsia="宋体" w:cs="宋体"/>
                <w:szCs w:val="21"/>
              </w:rPr>
              <w:t>产品型号</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56875505">
            <w:pPr>
              <w:rPr>
                <w:rFonts w:hint="eastAsia" w:ascii="宋体" w:hAnsi="宋体" w:eastAsia="宋体" w:cs="宋体"/>
                <w:szCs w:val="21"/>
              </w:rPr>
            </w:pPr>
            <w:r>
              <w:rPr>
                <w:rFonts w:hint="eastAsia" w:ascii="宋体" w:hAnsi="宋体" w:eastAsia="宋体" w:cs="宋体"/>
                <w:szCs w:val="21"/>
              </w:rPr>
              <w:t>国产整机品牌</w:t>
            </w:r>
          </w:p>
        </w:tc>
      </w:tr>
      <w:tr w14:paraId="488E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top w:val="single" w:color="auto" w:sz="4" w:space="0"/>
              <w:left w:val="single" w:color="auto" w:sz="4" w:space="0"/>
              <w:right w:val="single" w:color="auto" w:sz="4" w:space="0"/>
            </w:tcBorders>
            <w:noWrap w:val="0"/>
            <w:vAlign w:val="center"/>
          </w:tcPr>
          <w:p w14:paraId="6112E273">
            <w:pPr>
              <w:jc w:val="center"/>
              <w:rPr>
                <w:rFonts w:hint="eastAsia" w:ascii="宋体" w:hAnsi="宋体" w:eastAsia="宋体" w:cs="宋体"/>
                <w:szCs w:val="21"/>
              </w:rPr>
            </w:pPr>
            <w:r>
              <w:rPr>
                <w:rFonts w:hint="eastAsia" w:ascii="宋体" w:hAnsi="宋体" w:eastAsia="宋体" w:cs="宋体"/>
                <w:szCs w:val="21"/>
              </w:rPr>
              <w:t>处理器</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29DEC67C">
            <w:pPr>
              <w:rPr>
                <w:rFonts w:hint="eastAsia" w:ascii="宋体" w:hAnsi="宋体" w:eastAsia="宋体" w:cs="宋体"/>
                <w:szCs w:val="21"/>
              </w:rPr>
            </w:pPr>
            <w:r>
              <w:rPr>
                <w:rFonts w:hint="eastAsia" w:ascii="宋体" w:hAnsi="宋体" w:eastAsia="宋体" w:cs="宋体"/>
                <w:szCs w:val="21"/>
              </w:rPr>
              <w:t>不低于14代英特尔i5-14400处理器</w:t>
            </w:r>
          </w:p>
        </w:tc>
      </w:tr>
      <w:tr w14:paraId="21AF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center"/>
          </w:tcPr>
          <w:p w14:paraId="2518F369">
            <w:pPr>
              <w:jc w:val="center"/>
              <w:rPr>
                <w:rFonts w:hint="eastAsia" w:ascii="宋体" w:hAnsi="宋体" w:eastAsia="宋体" w:cs="宋体"/>
                <w:szCs w:val="21"/>
              </w:rPr>
            </w:pPr>
            <w:r>
              <w:rPr>
                <w:rFonts w:hint="eastAsia" w:ascii="宋体" w:hAnsi="宋体" w:eastAsia="宋体" w:cs="宋体"/>
                <w:szCs w:val="21"/>
              </w:rPr>
              <w:t>屏幕</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57D40171">
            <w:pPr>
              <w:rPr>
                <w:rFonts w:hint="eastAsia" w:ascii="宋体" w:hAnsi="宋体" w:eastAsia="宋体" w:cs="宋体"/>
                <w:szCs w:val="21"/>
              </w:rPr>
            </w:pPr>
            <w:r>
              <w:rPr>
                <w:rFonts w:hint="eastAsia" w:ascii="宋体" w:hAnsi="宋体" w:eastAsia="宋体" w:cs="宋体"/>
                <w:szCs w:val="21"/>
              </w:rPr>
              <w:t>不低于27英寸Nano IPS面板，不低于2K分辨率，144Hz刷新率，亮度300尼特</w:t>
            </w:r>
          </w:p>
        </w:tc>
      </w:tr>
      <w:tr w14:paraId="4453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top w:val="single" w:color="auto" w:sz="4" w:space="0"/>
              <w:left w:val="single" w:color="auto" w:sz="4" w:space="0"/>
              <w:right w:val="single" w:color="auto" w:sz="4" w:space="0"/>
            </w:tcBorders>
            <w:noWrap w:val="0"/>
            <w:vAlign w:val="center"/>
          </w:tcPr>
          <w:p w14:paraId="2CE28363">
            <w:pPr>
              <w:jc w:val="center"/>
              <w:rPr>
                <w:rFonts w:hint="eastAsia" w:ascii="宋体" w:hAnsi="宋体" w:eastAsia="宋体" w:cs="宋体"/>
                <w:szCs w:val="21"/>
              </w:rPr>
            </w:pPr>
            <w:r>
              <w:rPr>
                <w:rFonts w:hint="eastAsia" w:ascii="宋体" w:hAnsi="宋体" w:eastAsia="宋体" w:cs="宋体"/>
                <w:szCs w:val="21"/>
              </w:rPr>
              <w:t>内存</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0DAD638E">
            <w:pPr>
              <w:rPr>
                <w:rFonts w:hint="eastAsia" w:ascii="宋体" w:hAnsi="宋体" w:eastAsia="宋体" w:cs="宋体"/>
                <w:szCs w:val="21"/>
              </w:rPr>
            </w:pPr>
            <w:r>
              <w:rPr>
                <w:rFonts w:hint="eastAsia" w:ascii="宋体" w:hAnsi="宋体" w:eastAsia="宋体" w:cs="宋体"/>
                <w:szCs w:val="21"/>
              </w:rPr>
              <w:t>不低于16G DDR5内存，频率5600Mhz，支持自行扩展</w:t>
            </w:r>
          </w:p>
        </w:tc>
      </w:tr>
      <w:tr w14:paraId="4E17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center"/>
          </w:tcPr>
          <w:p w14:paraId="07802670">
            <w:pPr>
              <w:jc w:val="center"/>
              <w:rPr>
                <w:rFonts w:hint="eastAsia" w:ascii="宋体" w:hAnsi="宋体" w:eastAsia="宋体" w:cs="宋体"/>
                <w:szCs w:val="21"/>
              </w:rPr>
            </w:pPr>
            <w:r>
              <w:rPr>
                <w:rFonts w:hint="eastAsia" w:ascii="宋体" w:hAnsi="宋体" w:eastAsia="宋体" w:cs="宋体"/>
                <w:szCs w:val="21"/>
              </w:rPr>
              <w:t>硬盘</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0EEA9624">
            <w:pPr>
              <w:rPr>
                <w:rFonts w:hint="eastAsia" w:ascii="宋体" w:hAnsi="宋体" w:eastAsia="宋体" w:cs="宋体"/>
                <w:szCs w:val="21"/>
              </w:rPr>
            </w:pPr>
            <w:r>
              <w:rPr>
                <w:rFonts w:hint="eastAsia" w:ascii="宋体" w:hAnsi="宋体" w:eastAsia="宋体" w:cs="宋体"/>
                <w:szCs w:val="21"/>
              </w:rPr>
              <w:t>不低于1TB PCIe4.0固态硬盘，磁盘I/O性能不低于三星980 Pro SSD，支持自行扩展</w:t>
            </w:r>
          </w:p>
        </w:tc>
      </w:tr>
      <w:tr w14:paraId="60C2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center"/>
          </w:tcPr>
          <w:p w14:paraId="2ABEA078">
            <w:pPr>
              <w:jc w:val="center"/>
              <w:rPr>
                <w:rFonts w:hint="eastAsia" w:ascii="宋体" w:hAnsi="宋体" w:eastAsia="宋体" w:cs="宋体"/>
                <w:szCs w:val="21"/>
              </w:rPr>
            </w:pPr>
            <w:r>
              <w:rPr>
                <w:rFonts w:hint="eastAsia" w:ascii="宋体" w:hAnsi="宋体" w:eastAsia="宋体" w:cs="宋体"/>
                <w:szCs w:val="21"/>
              </w:rPr>
              <w:t>显卡</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13125F54">
            <w:pPr>
              <w:rPr>
                <w:rFonts w:hint="eastAsia" w:ascii="宋体" w:hAnsi="宋体" w:eastAsia="宋体" w:cs="宋体"/>
                <w:szCs w:val="21"/>
              </w:rPr>
            </w:pPr>
            <w:r>
              <w:rPr>
                <w:rFonts w:hint="eastAsia" w:ascii="宋体" w:hAnsi="宋体" w:eastAsia="宋体" w:cs="宋体"/>
                <w:szCs w:val="21"/>
              </w:rPr>
              <w:t>集成显卡</w:t>
            </w:r>
          </w:p>
        </w:tc>
      </w:tr>
      <w:tr w14:paraId="4A75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center"/>
          </w:tcPr>
          <w:p w14:paraId="523B0FE6">
            <w:pPr>
              <w:jc w:val="center"/>
              <w:rPr>
                <w:rFonts w:hint="eastAsia" w:ascii="宋体" w:hAnsi="宋体" w:eastAsia="宋体" w:cs="宋体"/>
                <w:szCs w:val="21"/>
              </w:rPr>
            </w:pPr>
            <w:r>
              <w:rPr>
                <w:rFonts w:hint="eastAsia" w:ascii="宋体" w:hAnsi="宋体" w:eastAsia="宋体" w:cs="宋体"/>
                <w:szCs w:val="21"/>
              </w:rPr>
              <w:t>网卡</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1DBF6C59">
            <w:pPr>
              <w:rPr>
                <w:rFonts w:hint="eastAsia" w:ascii="宋体" w:hAnsi="宋体" w:eastAsia="宋体" w:cs="宋体"/>
                <w:szCs w:val="21"/>
              </w:rPr>
            </w:pPr>
            <w:r>
              <w:rPr>
                <w:rFonts w:hint="eastAsia" w:ascii="宋体" w:hAnsi="宋体" w:eastAsia="宋体" w:cs="宋体"/>
                <w:szCs w:val="21"/>
              </w:rPr>
              <w:t>不低于内置支持WiFi 6无线网卡 + 蓝牙，1个千兆有线网卡</w:t>
            </w:r>
          </w:p>
        </w:tc>
      </w:tr>
      <w:tr w14:paraId="2644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center"/>
          </w:tcPr>
          <w:p w14:paraId="02A33E7F">
            <w:pPr>
              <w:jc w:val="center"/>
              <w:rPr>
                <w:rFonts w:hint="eastAsia" w:ascii="宋体" w:hAnsi="宋体" w:eastAsia="宋体" w:cs="宋体"/>
                <w:szCs w:val="21"/>
              </w:rPr>
            </w:pPr>
            <w:r>
              <w:rPr>
                <w:rFonts w:hint="eastAsia" w:ascii="宋体" w:hAnsi="宋体" w:eastAsia="宋体" w:cs="宋体"/>
                <w:szCs w:val="21"/>
              </w:rPr>
              <w:t>操作系统</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0F960DDF">
            <w:pPr>
              <w:rPr>
                <w:rFonts w:hint="eastAsia" w:ascii="宋体" w:hAnsi="宋体" w:eastAsia="宋体" w:cs="宋体"/>
                <w:szCs w:val="21"/>
              </w:rPr>
            </w:pPr>
            <w:r>
              <w:rPr>
                <w:rFonts w:hint="eastAsia" w:ascii="宋体" w:hAnsi="宋体" w:eastAsia="宋体" w:cs="宋体"/>
                <w:szCs w:val="21"/>
              </w:rPr>
              <w:t>预装正版windows操作系统</w:t>
            </w:r>
          </w:p>
        </w:tc>
      </w:tr>
      <w:tr w14:paraId="37ED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center"/>
          </w:tcPr>
          <w:p w14:paraId="7EDF4567">
            <w:pPr>
              <w:jc w:val="center"/>
              <w:rPr>
                <w:rFonts w:hint="eastAsia" w:ascii="宋体" w:hAnsi="宋体" w:eastAsia="宋体" w:cs="宋体"/>
                <w:szCs w:val="21"/>
              </w:rPr>
            </w:pPr>
            <w:r>
              <w:rPr>
                <w:rFonts w:hint="eastAsia" w:ascii="宋体" w:hAnsi="宋体" w:eastAsia="宋体" w:cs="宋体"/>
                <w:szCs w:val="21"/>
              </w:rPr>
              <w:t>其他</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39ACBE5B">
            <w:pPr>
              <w:rPr>
                <w:rFonts w:hint="eastAsia" w:ascii="宋体" w:hAnsi="宋体" w:eastAsia="宋体" w:cs="宋体"/>
                <w:szCs w:val="21"/>
              </w:rPr>
            </w:pPr>
            <w:r>
              <w:rPr>
                <w:rFonts w:hint="eastAsia" w:ascii="宋体" w:hAnsi="宋体" w:eastAsia="宋体" w:cs="宋体"/>
                <w:szCs w:val="21"/>
              </w:rPr>
              <w:t>不低于300W电源，3个USB 3.2接口，4个USB 2.0接口</w:t>
            </w:r>
          </w:p>
        </w:tc>
      </w:tr>
      <w:tr w14:paraId="1581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72" w:type="pct"/>
            <w:tcBorders>
              <w:left w:val="single" w:color="auto" w:sz="4" w:space="0"/>
              <w:right w:val="single" w:color="auto" w:sz="4" w:space="0"/>
            </w:tcBorders>
            <w:noWrap w:val="0"/>
            <w:vAlign w:val="center"/>
          </w:tcPr>
          <w:p w14:paraId="6E409EFC">
            <w:pPr>
              <w:jc w:val="center"/>
              <w:rPr>
                <w:rFonts w:hint="eastAsia" w:ascii="宋体" w:hAnsi="宋体" w:eastAsia="宋体" w:cs="宋体"/>
                <w:szCs w:val="21"/>
              </w:rPr>
            </w:pPr>
            <w:r>
              <w:rPr>
                <w:rFonts w:hint="eastAsia" w:ascii="宋体" w:hAnsi="宋体" w:eastAsia="宋体" w:cs="宋体"/>
                <w:szCs w:val="21"/>
              </w:rPr>
              <w:t>售后服务</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7A344D9C">
            <w:pPr>
              <w:rPr>
                <w:rFonts w:hint="eastAsia" w:ascii="宋体" w:hAnsi="宋体" w:eastAsia="宋体" w:cs="宋体"/>
                <w:szCs w:val="21"/>
              </w:rPr>
            </w:pPr>
            <w:r>
              <w:rPr>
                <w:rFonts w:hint="eastAsia" w:ascii="宋体" w:hAnsi="宋体" w:eastAsia="宋体" w:cs="宋体"/>
                <w:szCs w:val="21"/>
              </w:rPr>
              <w:t>3年原厂质保及上门服务</w:t>
            </w:r>
          </w:p>
        </w:tc>
      </w:tr>
    </w:tbl>
    <w:p w14:paraId="2A9CC35C">
      <w:pPr>
        <w:pStyle w:val="4"/>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val="0"/>
          <w:lang w:val="en-US" w:eastAsia="zh-CN"/>
        </w:rPr>
      </w:pPr>
    </w:p>
    <w:sectPr>
      <w:footerReference r:id="rId4" w:type="default"/>
      <w:pgSz w:w="11906" w:h="16838"/>
      <w:pgMar w:top="1100" w:right="1179" w:bottom="1100" w:left="112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EU-F1">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9318">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55840"/>
                          </w:sdtPr>
                          <w:sdtContent>
                            <w:p w14:paraId="1763E9EC">
                              <w:pPr>
                                <w:pStyle w:val="12"/>
                                <w:jc w:val="center"/>
                              </w:pPr>
                              <w:r>
                                <w:fldChar w:fldCharType="begin"/>
                              </w:r>
                              <w:r>
                                <w:instrText xml:space="preserve"> PAGE   \* MERGEFORMAT </w:instrText>
                              </w:r>
                              <w:r>
                                <w:fldChar w:fldCharType="separate"/>
                              </w:r>
                              <w:r>
                                <w:rPr>
                                  <w:lang w:val="zh-CN"/>
                                </w:rPr>
                                <w:t>14</w:t>
                              </w:r>
                              <w:r>
                                <w:rPr>
                                  <w:lang w:val="zh-CN"/>
                                </w:rPr>
                                <w:fldChar w:fldCharType="end"/>
                              </w:r>
                            </w:p>
                          </w:sdtContent>
                        </w:sdt>
                        <w:p w14:paraId="2584D077"/>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sdt>
                    <w:sdtPr>
                      <w:id w:val="147455840"/>
                    </w:sdtPr>
                    <w:sdtContent>
                      <w:p w14:paraId="1763E9EC">
                        <w:pPr>
                          <w:pStyle w:val="12"/>
                          <w:jc w:val="center"/>
                        </w:pPr>
                        <w:r>
                          <w:fldChar w:fldCharType="begin"/>
                        </w:r>
                        <w:r>
                          <w:instrText xml:space="preserve"> PAGE   \* MERGEFORMAT </w:instrText>
                        </w:r>
                        <w:r>
                          <w:fldChar w:fldCharType="separate"/>
                        </w:r>
                        <w:r>
                          <w:rPr>
                            <w:lang w:val="zh-CN"/>
                          </w:rPr>
                          <w:t>14</w:t>
                        </w:r>
                        <w:r>
                          <w:rPr>
                            <w:lang w:val="zh-CN"/>
                          </w:rPr>
                          <w:fldChar w:fldCharType="end"/>
                        </w:r>
                      </w:p>
                    </w:sdtContent>
                  </w:sdt>
                  <w:p w14:paraId="2584D077"/>
                </w:txbxContent>
              </v:textbox>
            </v:shape>
          </w:pict>
        </mc:Fallback>
      </mc:AlternateContent>
    </w:r>
  </w:p>
  <w:p w14:paraId="7A6960D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D5E8B"/>
    <w:multiLevelType w:val="singleLevel"/>
    <w:tmpl w:val="DB9D5E8B"/>
    <w:lvl w:ilvl="0" w:tentative="0">
      <w:start w:val="1"/>
      <w:numFmt w:val="chineseCounting"/>
      <w:suff w:val="nothing"/>
      <w:lvlText w:val="%1、"/>
      <w:lvlJc w:val="left"/>
      <w:rPr>
        <w:rFonts w:hint="eastAsia"/>
        <w:b/>
        <w:bCs/>
      </w:rPr>
    </w:lvl>
  </w:abstractNum>
  <w:abstractNum w:abstractNumId="1">
    <w:nsid w:val="DF2C2A50"/>
    <w:multiLevelType w:val="singleLevel"/>
    <w:tmpl w:val="DF2C2A50"/>
    <w:lvl w:ilvl="0" w:tentative="0">
      <w:start w:val="1"/>
      <w:numFmt w:val="decimal"/>
      <w:suff w:val="nothing"/>
      <w:lvlText w:val="（%1）"/>
      <w:lvlJc w:val="left"/>
    </w:lvl>
  </w:abstractNum>
  <w:abstractNum w:abstractNumId="2">
    <w:nsid w:val="57E01045"/>
    <w:multiLevelType w:val="singleLevel"/>
    <w:tmpl w:val="57E01045"/>
    <w:lvl w:ilvl="0" w:tentative="0">
      <w:start w:val="1"/>
      <w:numFmt w:val="decimal"/>
      <w:suff w:val="nothing"/>
      <w:lvlText w:val="%1、"/>
      <w:lvlJc w:val="left"/>
    </w:lvl>
  </w:abstractNum>
  <w:abstractNum w:abstractNumId="3">
    <w:nsid w:val="5D6062ED"/>
    <w:multiLevelType w:val="multilevel"/>
    <w:tmpl w:val="5D6062ED"/>
    <w:lvl w:ilvl="0" w:tentative="0">
      <w:start w:val="1"/>
      <w:numFmt w:val="decimal"/>
      <w:pStyle w:val="4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687A6D4E"/>
    <w:multiLevelType w:val="singleLevel"/>
    <w:tmpl w:val="687A6D4E"/>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70535EDD"/>
    <w:multiLevelType w:val="multilevel"/>
    <w:tmpl w:val="70535EDD"/>
    <w:lvl w:ilvl="0" w:tentative="0">
      <w:start w:val="1"/>
      <w:numFmt w:val="decimal"/>
      <w:pStyle w:val="45"/>
      <w:lvlText w:val="%1."/>
      <w:lvlJc w:val="left"/>
      <w:pPr>
        <w:ind w:left="360" w:hanging="360"/>
      </w:pPr>
      <w:rPr>
        <w:rFonts w:cs="Times New Roman"/>
      </w:rPr>
    </w:lvl>
    <w:lvl w:ilvl="1" w:tentative="0">
      <w:start w:val="1"/>
      <w:numFmt w:val="decimal"/>
      <w:pStyle w:val="41"/>
      <w:lvlText w:val="%2."/>
      <w:lvlJc w:val="left"/>
      <w:pPr>
        <w:tabs>
          <w:tab w:val="left" w:pos="1440"/>
        </w:tabs>
        <w:ind w:left="1440" w:hanging="360"/>
      </w:pPr>
    </w:lvl>
    <w:lvl w:ilvl="2" w:tentative="0">
      <w:start w:val="1"/>
      <w:numFmt w:val="lowerRoman"/>
      <w:pStyle w:val="46"/>
      <w:lvlText w:val="%3."/>
      <w:lvlJc w:val="right"/>
      <w:pPr>
        <w:ind w:left="1260" w:hanging="420"/>
      </w:pPr>
      <w:rPr>
        <w:rFonts w:cs="Times New Roman"/>
      </w:rPr>
    </w:lvl>
    <w:lvl w:ilvl="3" w:tentative="0">
      <w:start w:val="1"/>
      <w:numFmt w:val="decimal"/>
      <w:pStyle w:val="43"/>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D23E07"/>
    <w:rsid w:val="00E367B4"/>
    <w:rsid w:val="00FA294D"/>
    <w:rsid w:val="00FC22FE"/>
    <w:rsid w:val="012944F0"/>
    <w:rsid w:val="017E696D"/>
    <w:rsid w:val="078F69E9"/>
    <w:rsid w:val="088D73A9"/>
    <w:rsid w:val="08E150F4"/>
    <w:rsid w:val="091F0FEF"/>
    <w:rsid w:val="0BBF20B1"/>
    <w:rsid w:val="0C331EC8"/>
    <w:rsid w:val="0D531267"/>
    <w:rsid w:val="0D7B4129"/>
    <w:rsid w:val="0E5350E3"/>
    <w:rsid w:val="11A9055E"/>
    <w:rsid w:val="121F524D"/>
    <w:rsid w:val="13C95DDF"/>
    <w:rsid w:val="1478433A"/>
    <w:rsid w:val="14BB2301"/>
    <w:rsid w:val="14D0319D"/>
    <w:rsid w:val="16041350"/>
    <w:rsid w:val="165E761C"/>
    <w:rsid w:val="192C4C81"/>
    <w:rsid w:val="1A24794A"/>
    <w:rsid w:val="1B28788F"/>
    <w:rsid w:val="1D8138E1"/>
    <w:rsid w:val="1F9472D4"/>
    <w:rsid w:val="20DD321B"/>
    <w:rsid w:val="22243E0C"/>
    <w:rsid w:val="24AD59F2"/>
    <w:rsid w:val="260C00C4"/>
    <w:rsid w:val="2B9F0C5F"/>
    <w:rsid w:val="2D0B1B45"/>
    <w:rsid w:val="2DB570D5"/>
    <w:rsid w:val="2E3210E4"/>
    <w:rsid w:val="3104623F"/>
    <w:rsid w:val="32097DE3"/>
    <w:rsid w:val="322A2FB9"/>
    <w:rsid w:val="325356E2"/>
    <w:rsid w:val="32DC0FAC"/>
    <w:rsid w:val="34A92764"/>
    <w:rsid w:val="35851A01"/>
    <w:rsid w:val="35E20C8C"/>
    <w:rsid w:val="38133FA2"/>
    <w:rsid w:val="383B1169"/>
    <w:rsid w:val="39276F80"/>
    <w:rsid w:val="3AFA3FAF"/>
    <w:rsid w:val="3B060054"/>
    <w:rsid w:val="3B5C5FA5"/>
    <w:rsid w:val="41B11ADD"/>
    <w:rsid w:val="42880842"/>
    <w:rsid w:val="43B9431B"/>
    <w:rsid w:val="43CC51CD"/>
    <w:rsid w:val="46382D6C"/>
    <w:rsid w:val="49487872"/>
    <w:rsid w:val="499B6B7C"/>
    <w:rsid w:val="4A3D6149"/>
    <w:rsid w:val="4AD351BA"/>
    <w:rsid w:val="4AF41787"/>
    <w:rsid w:val="4BC81014"/>
    <w:rsid w:val="4BF83138"/>
    <w:rsid w:val="4C3346A1"/>
    <w:rsid w:val="4DA90454"/>
    <w:rsid w:val="51AF590D"/>
    <w:rsid w:val="532E1C99"/>
    <w:rsid w:val="541E59ED"/>
    <w:rsid w:val="55D25BB9"/>
    <w:rsid w:val="58964825"/>
    <w:rsid w:val="5B512FA9"/>
    <w:rsid w:val="5BA97AFB"/>
    <w:rsid w:val="5C16423B"/>
    <w:rsid w:val="5C626C78"/>
    <w:rsid w:val="5D27671A"/>
    <w:rsid w:val="5F304902"/>
    <w:rsid w:val="5F421E8D"/>
    <w:rsid w:val="602837E7"/>
    <w:rsid w:val="607664FC"/>
    <w:rsid w:val="60BB5D97"/>
    <w:rsid w:val="60DE73E4"/>
    <w:rsid w:val="61DC10EB"/>
    <w:rsid w:val="620F53D7"/>
    <w:rsid w:val="64AB30F0"/>
    <w:rsid w:val="656478DF"/>
    <w:rsid w:val="662D5327"/>
    <w:rsid w:val="67A23F54"/>
    <w:rsid w:val="69E9259C"/>
    <w:rsid w:val="6B177178"/>
    <w:rsid w:val="6C6967BA"/>
    <w:rsid w:val="6C9A3FDC"/>
    <w:rsid w:val="6D134B60"/>
    <w:rsid w:val="6D5E1A98"/>
    <w:rsid w:val="6E1D0C30"/>
    <w:rsid w:val="6FCC466C"/>
    <w:rsid w:val="721B7E4A"/>
    <w:rsid w:val="72C75245"/>
    <w:rsid w:val="72F76BD8"/>
    <w:rsid w:val="72FA6ED8"/>
    <w:rsid w:val="74A82012"/>
    <w:rsid w:val="759568B3"/>
    <w:rsid w:val="78426E0A"/>
    <w:rsid w:val="78743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link w:val="23"/>
    <w:qFormat/>
    <w:uiPriority w:val="9"/>
    <w:pPr>
      <w:keepNext/>
      <w:keepLines/>
      <w:spacing w:before="340" w:after="330" w:line="578" w:lineRule="auto"/>
      <w:outlineLvl w:val="0"/>
    </w:pPr>
    <w:rPr>
      <w:b/>
      <w:bCs/>
      <w:kern w:val="44"/>
      <w:sz w:val="44"/>
      <w:szCs w:val="44"/>
    </w:rPr>
  </w:style>
  <w:style w:type="paragraph" w:styleId="2">
    <w:name w:val="heading 2"/>
    <w:basedOn w:val="3"/>
    <w:next w:val="1"/>
    <w:qFormat/>
    <w:uiPriority w:val="0"/>
    <w:pPr>
      <w:keepNext/>
      <w:keepLines/>
      <w:topLinePunct/>
      <w:ind w:firstLine="420"/>
      <w:outlineLvl w:val="1"/>
    </w:pPr>
    <w:rPr>
      <w:rFonts w:eastAsia="黑体"/>
      <w:szCs w:val="21"/>
    </w:rPr>
  </w:style>
  <w:style w:type="paragraph" w:styleId="6">
    <w:name w:val="heading 3"/>
    <w:basedOn w:val="1"/>
    <w:next w:val="1"/>
    <w:qFormat/>
    <w:uiPriority w:val="0"/>
    <w:pPr>
      <w:keepNext/>
      <w:keepLines/>
      <w:spacing w:line="960" w:lineRule="auto"/>
      <w:jc w:val="center"/>
      <w:outlineLvl w:val="2"/>
    </w:pPr>
    <w:rPr>
      <w:rFonts w:eastAsia="黑体"/>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Body Text First Indent"/>
    <w:basedOn w:val="5"/>
    <w:next w:val="5"/>
    <w:unhideWhenUsed/>
    <w:qFormat/>
    <w:uiPriority w:val="0"/>
    <w:pPr>
      <w:ind w:firstLine="420" w:firstLineChars="100"/>
    </w:pPr>
  </w:style>
  <w:style w:type="paragraph" w:styleId="5">
    <w:name w:val="Body Text"/>
    <w:basedOn w:val="1"/>
    <w:next w:val="1"/>
    <w:unhideWhenUsed/>
    <w:qFormat/>
    <w:uiPriority w:val="0"/>
    <w:pPr>
      <w:spacing w:after="120"/>
    </w:pPr>
  </w:style>
  <w:style w:type="paragraph" w:styleId="8">
    <w:name w:val="Normal Indent"/>
    <w:basedOn w:val="1"/>
    <w:semiHidden/>
    <w:qFormat/>
    <w:uiPriority w:val="0"/>
    <w:pPr>
      <w:ind w:firstLine="420"/>
    </w:pPr>
  </w:style>
  <w:style w:type="paragraph" w:styleId="9">
    <w:name w:val="Date"/>
    <w:basedOn w:val="1"/>
    <w:next w:val="1"/>
    <w:semiHidden/>
    <w:qFormat/>
    <w:uiPriority w:val="0"/>
  </w:style>
  <w:style w:type="paragraph" w:styleId="10">
    <w:name w:val="Body Text Indent 2"/>
    <w:basedOn w:val="1"/>
    <w:qFormat/>
    <w:uiPriority w:val="0"/>
    <w:pPr>
      <w:spacing w:after="120" w:line="480" w:lineRule="auto"/>
      <w:ind w:left="420"/>
    </w:pPr>
  </w:style>
  <w:style w:type="paragraph" w:styleId="11">
    <w:name w:val="Balloon Text"/>
    <w:basedOn w:val="1"/>
    <w:semiHidden/>
    <w:qFormat/>
    <w:uiPriority w:val="0"/>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qFormat/>
    <w:uiPriority w:val="99"/>
    <w:pPr>
      <w:spacing w:beforeAutospacing="1" w:afterAutospacing="1"/>
      <w:jc w:val="left"/>
    </w:pPr>
    <w:rPr>
      <w:rFonts w:cs="Times New Roman"/>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character" w:styleId="19">
    <w:name w:val="Hyperlink"/>
    <w:qFormat/>
    <w:uiPriority w:val="99"/>
    <w:rPr>
      <w:rFonts w:hint="default" w:ascii="Times New Roman" w:hAnsi="Times New Roman" w:cs="Times New Roman"/>
      <w:color w:val="0000FF"/>
      <w:u w:val="single"/>
    </w:rPr>
  </w:style>
  <w:style w:type="character" w:customStyle="1" w:styleId="20">
    <w:name w:val="页眉 字符"/>
    <w:basedOn w:val="18"/>
    <w:link w:val="13"/>
    <w:qFormat/>
    <w:uiPriority w:val="99"/>
    <w:rPr>
      <w:sz w:val="18"/>
      <w:szCs w:val="18"/>
    </w:rPr>
  </w:style>
  <w:style w:type="character" w:customStyle="1" w:styleId="21">
    <w:name w:val="页脚 字符"/>
    <w:basedOn w:val="18"/>
    <w:link w:val="12"/>
    <w:qFormat/>
    <w:uiPriority w:val="99"/>
    <w:rPr>
      <w:sz w:val="18"/>
      <w:szCs w:val="18"/>
    </w:rPr>
  </w:style>
  <w:style w:type="paragraph" w:customStyle="1" w:styleId="22">
    <w:name w:val="Table Paragraph"/>
    <w:basedOn w:val="1"/>
    <w:qFormat/>
    <w:uiPriority w:val="1"/>
    <w:rPr>
      <w:rFonts w:ascii="宋体" w:hAnsi="宋体" w:eastAsia="宋体" w:cs="宋体"/>
    </w:rPr>
  </w:style>
  <w:style w:type="character" w:customStyle="1" w:styleId="23">
    <w:name w:val="标题 1 字符"/>
    <w:basedOn w:val="18"/>
    <w:link w:val="3"/>
    <w:qFormat/>
    <w:uiPriority w:val="9"/>
    <w:rPr>
      <w:b/>
      <w:bCs/>
      <w:kern w:val="44"/>
      <w:sz w:val="44"/>
      <w:szCs w:val="44"/>
    </w:rPr>
  </w:style>
  <w:style w:type="character" w:customStyle="1" w:styleId="24">
    <w:name w:val="font41"/>
    <w:basedOn w:val="18"/>
    <w:autoRedefine/>
    <w:qFormat/>
    <w:uiPriority w:val="0"/>
    <w:rPr>
      <w:rFonts w:hint="eastAsia" w:ascii="宋体" w:hAnsi="宋体" w:eastAsia="宋体" w:cs="宋体"/>
      <w:color w:val="000000"/>
      <w:sz w:val="20"/>
      <w:szCs w:val="20"/>
      <w:u w:val="none"/>
    </w:rPr>
  </w:style>
  <w:style w:type="paragraph" w:customStyle="1" w:styleId="25">
    <w:name w:val="样式 1"/>
    <w:basedOn w:val="3"/>
    <w:autoRedefine/>
    <w:qFormat/>
    <w:uiPriority w:val="0"/>
    <w:pPr>
      <w:keepNext w:val="0"/>
      <w:keepLines w:val="0"/>
      <w:spacing w:line="240" w:lineRule="auto"/>
      <w:ind w:firstLine="0"/>
    </w:pPr>
    <w:rPr>
      <w:rFonts w:ascii="EU-F1" w:eastAsia="黑体"/>
      <w:kern w:val="21"/>
      <w:sz w:val="21"/>
      <w:szCs w:val="21"/>
    </w:rPr>
  </w:style>
  <w:style w:type="paragraph" w:customStyle="1" w:styleId="26">
    <w:name w:val="样式 2"/>
    <w:basedOn w:val="2"/>
    <w:qFormat/>
    <w:uiPriority w:val="0"/>
    <w:pPr>
      <w:keepNext w:val="0"/>
      <w:keepLines w:val="0"/>
      <w:spacing w:line="312" w:lineRule="exact"/>
      <w:ind w:firstLine="0"/>
    </w:pPr>
    <w:rPr>
      <w:rFonts w:ascii="EU-F1"/>
    </w:rPr>
  </w:style>
  <w:style w:type="paragraph" w:customStyle="1" w:styleId="27">
    <w:name w:val="表头"/>
    <w:basedOn w:val="1"/>
    <w:qFormat/>
    <w:uiPriority w:val="0"/>
    <w:pPr>
      <w:topLinePunct/>
      <w:spacing w:before="160" w:after="60" w:line="312" w:lineRule="exact"/>
      <w:jc w:val="center"/>
    </w:pPr>
    <w:rPr>
      <w:rFonts w:ascii="EU-F1" w:eastAsia="黑体"/>
      <w:szCs w:val="21"/>
    </w:rPr>
  </w:style>
  <w:style w:type="paragraph" w:customStyle="1" w:styleId="28">
    <w:name w:val="jl 正文 Char Char"/>
    <w:basedOn w:val="1"/>
    <w:semiHidden/>
    <w:qFormat/>
    <w:uiPriority w:val="0"/>
    <w:pPr>
      <w:autoSpaceDE w:val="0"/>
      <w:autoSpaceDN w:val="0"/>
      <w:adjustRightInd w:val="0"/>
      <w:ind w:firstLine="200" w:firstLineChars="200"/>
      <w:jc w:val="left"/>
      <w:textAlignment w:val="baseline"/>
    </w:pPr>
    <w:rPr>
      <w:rFonts w:ascii="宋体"/>
      <w:sz w:val="24"/>
    </w:rPr>
  </w:style>
  <w:style w:type="paragraph" w:customStyle="1" w:styleId="29">
    <w:name w:val="朱1"/>
    <w:basedOn w:val="30"/>
    <w:qFormat/>
    <w:uiPriority w:val="0"/>
    <w:pPr>
      <w:keepLines w:val="0"/>
      <w:tabs>
        <w:tab w:val="left" w:pos="567"/>
        <w:tab w:val="left" w:pos="850"/>
      </w:tabs>
      <w:spacing w:line="240" w:lineRule="auto"/>
      <w:ind w:firstLine="0"/>
      <w:jc w:val="both"/>
      <w:textAlignment w:val="baseline"/>
      <w:outlineLvl w:val="0"/>
    </w:pPr>
    <w:rPr>
      <w:rFonts w:ascii="EU-F1" w:cs="Times New Roman"/>
      <w:b w:val="0"/>
      <w:bCs/>
      <w:kern w:val="21"/>
      <w:sz w:val="21"/>
      <w:szCs w:val="21"/>
    </w:rPr>
  </w:style>
  <w:style w:type="paragraph" w:customStyle="1" w:styleId="30">
    <w:name w:val="样式2"/>
    <w:basedOn w:val="2"/>
    <w:semiHidden/>
    <w:qFormat/>
    <w:uiPriority w:val="0"/>
    <w:pPr>
      <w:tabs>
        <w:tab w:val="left" w:pos="567"/>
        <w:tab w:val="left" w:pos="850"/>
      </w:tabs>
      <w:spacing w:line="960" w:lineRule="auto"/>
      <w:jc w:val="left"/>
    </w:pPr>
    <w:rPr>
      <w:rFonts w:cs="宋体"/>
      <w:bCs w:val="0"/>
      <w:kern w:val="44"/>
      <w:sz w:val="36"/>
      <w:szCs w:val="36"/>
    </w:rPr>
  </w:style>
  <w:style w:type="paragraph" w:customStyle="1" w:styleId="31">
    <w:name w:val="表头A"/>
    <w:basedOn w:val="27"/>
    <w:autoRedefine/>
    <w:qFormat/>
    <w:uiPriority w:val="0"/>
    <w:pPr>
      <w:topLinePunct w:val="0"/>
    </w:pPr>
    <w:rPr>
      <w:kern w:val="21"/>
    </w:rPr>
  </w:style>
  <w:style w:type="paragraph" w:customStyle="1" w:styleId="32">
    <w:name w:val="朱2"/>
    <w:basedOn w:val="30"/>
    <w:autoRedefine/>
    <w:qFormat/>
    <w:uiPriority w:val="0"/>
    <w:pPr>
      <w:keepLines w:val="0"/>
      <w:tabs>
        <w:tab w:val="clear" w:pos="567"/>
        <w:tab w:val="clear" w:pos="850"/>
      </w:tabs>
      <w:spacing w:line="312" w:lineRule="exact"/>
      <w:ind w:firstLine="0"/>
      <w:jc w:val="both"/>
      <w:textAlignment w:val="baseline"/>
      <w:outlineLvl w:val="0"/>
    </w:pPr>
    <w:rPr>
      <w:rFonts w:ascii="EU-F1" w:cs="Times New Roman"/>
      <w:b w:val="0"/>
      <w:bCs/>
      <w:kern w:val="21"/>
      <w:sz w:val="21"/>
      <w:szCs w:val="21"/>
    </w:rPr>
  </w:style>
  <w:style w:type="paragraph" w:customStyle="1" w:styleId="33">
    <w:name w:val="自控1"/>
    <w:basedOn w:val="34"/>
    <w:autoRedefine/>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34">
    <w:name w:val="段"/>
    <w:autoRedefine/>
    <w:semiHidden/>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font51"/>
    <w:basedOn w:val="18"/>
    <w:qFormat/>
    <w:uiPriority w:val="0"/>
    <w:rPr>
      <w:rFonts w:hint="eastAsia" w:ascii="仿宋" w:hAnsi="仿宋" w:eastAsia="仿宋" w:cs="仿宋"/>
      <w:color w:val="000000"/>
      <w:sz w:val="20"/>
      <w:szCs w:val="20"/>
      <w:u w:val="none"/>
    </w:rPr>
  </w:style>
  <w:style w:type="paragraph" w:customStyle="1" w:styleId="36">
    <w:name w:val="_Style 4"/>
    <w:basedOn w:val="3"/>
    <w:next w:val="1"/>
    <w:qFormat/>
    <w:uiPriority w:val="0"/>
    <w:pPr>
      <w:outlineLvl w:val="9"/>
    </w:pPr>
  </w:style>
  <w:style w:type="paragraph" w:customStyle="1" w:styleId="37">
    <w:name w:val="样式6"/>
    <w:basedOn w:val="1"/>
    <w:qFormat/>
    <w:uiPriority w:val="0"/>
    <w:pPr>
      <w:topLinePunct/>
      <w:spacing w:before="460" w:after="460" w:line="480" w:lineRule="exact"/>
      <w:jc w:val="center"/>
    </w:pPr>
    <w:rPr>
      <w:rFonts w:eastAsia="黑体"/>
      <w:sz w:val="32"/>
      <w:szCs w:val="20"/>
    </w:rPr>
  </w:style>
  <w:style w:type="paragraph" w:customStyle="1" w:styleId="38">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customStyle="1" w:styleId="3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0">
    <w:name w:val="正文表标题"/>
    <w:next w:val="34"/>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41">
    <w:name w:val="一级条标题"/>
    <w:next w:val="34"/>
    <w:qFormat/>
    <w:uiPriority w:val="0"/>
    <w:pPr>
      <w:numPr>
        <w:ilvl w:val="1"/>
        <w:numId w:val="2"/>
      </w:numPr>
      <w:spacing w:beforeLines="50"/>
      <w:outlineLvl w:val="2"/>
    </w:pPr>
    <w:rPr>
      <w:rFonts w:ascii="黑体" w:hAnsi="Calibri" w:eastAsia="黑体" w:cs="Times New Roman"/>
      <w:kern w:val="2"/>
      <w:sz w:val="21"/>
      <w:szCs w:val="21"/>
      <w:lang w:val="en-US" w:eastAsia="zh-CN" w:bidi="ar-SA"/>
    </w:rPr>
  </w:style>
  <w:style w:type="paragraph" w:customStyle="1" w:styleId="42">
    <w:name w:val="三级无"/>
    <w:basedOn w:val="43"/>
    <w:qFormat/>
    <w:uiPriority w:val="0"/>
    <w:pPr>
      <w:tabs>
        <w:tab w:val="left" w:pos="2880"/>
      </w:tabs>
      <w:ind w:left="2880" w:hanging="360"/>
    </w:pPr>
    <w:rPr>
      <w:rFonts w:ascii="宋体" w:eastAsia="宋体"/>
    </w:rPr>
  </w:style>
  <w:style w:type="paragraph" w:customStyle="1" w:styleId="43">
    <w:name w:val="三级条标题"/>
    <w:basedOn w:val="44"/>
    <w:next w:val="34"/>
    <w:qFormat/>
    <w:uiPriority w:val="0"/>
    <w:pPr>
      <w:numPr>
        <w:ilvl w:val="3"/>
        <w:numId w:val="2"/>
      </w:numPr>
      <w:outlineLvl w:val="4"/>
    </w:pPr>
  </w:style>
  <w:style w:type="paragraph" w:customStyle="1" w:styleId="44">
    <w:name w:val="二级条标题"/>
    <w:basedOn w:val="41"/>
    <w:next w:val="34"/>
    <w:qFormat/>
    <w:uiPriority w:val="0"/>
    <w:pPr>
      <w:numPr>
        <w:ilvl w:val="0"/>
        <w:numId w:val="0"/>
      </w:numPr>
      <w:tabs>
        <w:tab w:val="clear" w:pos="1440"/>
      </w:tabs>
      <w:spacing w:beforeLines="0"/>
      <w:ind w:left="1260" w:hanging="420"/>
      <w:outlineLvl w:val="3"/>
    </w:pPr>
  </w:style>
  <w:style w:type="paragraph" w:customStyle="1" w:styleId="45">
    <w:name w:val="章标题"/>
    <w:next w:val="34"/>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46">
    <w:name w:val="二级无"/>
    <w:basedOn w:val="44"/>
    <w:qFormat/>
    <w:uiPriority w:val="0"/>
    <w:pPr>
      <w:numPr>
        <w:ilvl w:val="2"/>
        <w:numId w:val="3"/>
      </w:numPr>
      <w:tabs>
        <w:tab w:val="left" w:pos="1440"/>
      </w:tabs>
    </w:pPr>
    <w:rPr>
      <w:rFonts w:ascii="宋体"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2668</Words>
  <Characters>2891</Characters>
  <Lines>14</Lines>
  <Paragraphs>4</Paragraphs>
  <TotalTime>1</TotalTime>
  <ScaleCrop>false</ScaleCrop>
  <LinksUpToDate>false</LinksUpToDate>
  <CharactersWithSpaces>3244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唐莉</cp:lastModifiedBy>
  <cp:lastPrinted>2026-01-26T00:43:00Z</cp:lastPrinted>
  <dcterms:modified xsi:type="dcterms:W3CDTF">2026-01-26T06:13:30Z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CAFFDCE21F064172B4BAFEAB2F5C0E5C_13</vt:lpwstr>
  </property>
  <property fmtid="{D5CDD505-2E9C-101B-9397-08002B2CF9AE}" pid="4" name="KSOTemplateDocerSaveRecord">
    <vt:lpwstr>eyJoZGlkIjoiMTNjYmNkNmYyYzQ5Y2I4M2UwMTliM2VjNmFlZjA5N2EiLCJ1c2VySWQiOiI0NDM5NDE1MTMifQ==</vt:lpwstr>
  </property>
</Properties>
</file>