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9736C">
      <w:pPr>
        <w:pStyle w:val="3"/>
        <w:keepNext w:val="0"/>
        <w:keepLines w:val="0"/>
        <w:jc w:val="center"/>
        <w:rPr>
          <w:sz w:val="32"/>
          <w:szCs w:val="32"/>
        </w:rPr>
      </w:pPr>
      <w:r>
        <w:rPr>
          <w:rFonts w:hint="eastAsia"/>
          <w:sz w:val="32"/>
          <w:szCs w:val="32"/>
          <w:lang w:eastAsia="zh-CN"/>
        </w:rPr>
        <w:t>南京机场</w:t>
      </w:r>
      <w:r>
        <w:rPr>
          <w:rFonts w:hint="eastAsia"/>
          <w:sz w:val="32"/>
          <w:szCs w:val="32"/>
          <w:lang w:val="en-US" w:eastAsia="zh-CN"/>
        </w:rPr>
        <w:t>1号航站楼低压成套配套柜委外保养项目招</w:t>
      </w:r>
      <w:r>
        <w:rPr>
          <w:rFonts w:hint="eastAsia"/>
          <w:sz w:val="32"/>
          <w:szCs w:val="32"/>
        </w:rPr>
        <w:t>标文件</w:t>
      </w:r>
    </w:p>
    <w:p w14:paraId="6390B708">
      <w:pPr>
        <w:spacing w:line="360" w:lineRule="auto"/>
        <w:ind w:left="0" w:leftChars="0" w:firstLine="420" w:firstLineChars="200"/>
        <w:jc w:val="left"/>
        <w:rPr>
          <w:rFonts w:ascii="宋体" w:hAnsi="宋体" w:eastAsia="宋体" w:cs="宋体"/>
          <w:szCs w:val="21"/>
        </w:rPr>
      </w:pPr>
      <w:r>
        <w:rPr>
          <w:rFonts w:hint="eastAsia" w:ascii="宋体" w:hAnsi="宋体" w:eastAsia="宋体" w:cs="宋体"/>
          <w:szCs w:val="21"/>
        </w:rPr>
        <w:t>南京禄口国际机场空港科技有限公司采用自主招标方式选择</w:t>
      </w:r>
      <w:r>
        <w:rPr>
          <w:rFonts w:hint="eastAsia" w:ascii="宋体" w:hAnsi="宋体" w:eastAsia="宋体" w:cs="宋体"/>
          <w:szCs w:val="21"/>
          <w:highlight w:val="none"/>
        </w:rPr>
        <w:t>南京机场</w:t>
      </w:r>
      <w:r>
        <w:rPr>
          <w:rFonts w:hint="eastAsia" w:ascii="宋体" w:hAnsi="宋体" w:eastAsia="宋体" w:cs="宋体"/>
          <w:szCs w:val="21"/>
          <w:highlight w:val="none"/>
          <w:lang w:val="en-US" w:eastAsia="zh-CN"/>
        </w:rPr>
        <w:t>1号航站楼低压成套配电柜委外保养项目</w:t>
      </w:r>
      <w:r>
        <w:rPr>
          <w:rFonts w:hint="eastAsia" w:ascii="宋体" w:hAnsi="宋体" w:eastAsia="宋体" w:cs="宋体"/>
          <w:szCs w:val="21"/>
        </w:rPr>
        <w:t>承包商，现邀请有意向且满足基本资质要求的投标人参加，为统一投标文件的编制标准，明确如下事项：</w:t>
      </w:r>
    </w:p>
    <w:p w14:paraId="00BD2059">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1.项目内容：详见</w:t>
      </w:r>
      <w:r>
        <w:rPr>
          <w:rFonts w:hint="eastAsia" w:ascii="宋体" w:hAnsi="宋体" w:eastAsia="宋体" w:cs="宋体"/>
          <w:szCs w:val="21"/>
          <w:lang w:eastAsia="zh-CN"/>
        </w:rPr>
        <w:t>维护工作</w:t>
      </w:r>
      <w:r>
        <w:rPr>
          <w:rFonts w:hint="eastAsia" w:ascii="宋体" w:hAnsi="宋体" w:eastAsia="宋体" w:cs="宋体"/>
          <w:szCs w:val="21"/>
        </w:rPr>
        <w:t>清单。</w:t>
      </w:r>
    </w:p>
    <w:p w14:paraId="38AD20BF">
      <w:pPr>
        <w:spacing w:line="360" w:lineRule="auto"/>
        <w:ind w:left="400"/>
        <w:rPr>
          <w:rFonts w:ascii="宋体" w:hAnsi="宋体" w:eastAsia="宋体" w:cs="宋体"/>
          <w:szCs w:val="21"/>
        </w:rPr>
      </w:pPr>
      <w:r>
        <w:rPr>
          <w:rFonts w:hint="eastAsia" w:ascii="宋体" w:hAnsi="宋体" w:eastAsia="宋体" w:cs="宋体"/>
          <w:szCs w:val="21"/>
        </w:rPr>
        <w:t>2.招标内容：乙方负责</w:t>
      </w:r>
      <w:r>
        <w:rPr>
          <w:rFonts w:hint="eastAsia" w:ascii="宋体" w:hAnsi="宋体" w:eastAsia="宋体" w:cs="宋体"/>
          <w:szCs w:val="21"/>
          <w:lang w:eastAsia="zh-CN"/>
        </w:rPr>
        <w:t>清单附件范围内的低压成套配电柜系统的巡检、抢检修、保养等工作；更换</w:t>
      </w:r>
      <w:bookmarkStart w:id="1" w:name="_GoBack"/>
      <w:bookmarkEnd w:id="1"/>
      <w:r>
        <w:rPr>
          <w:rFonts w:hint="eastAsia" w:ascii="宋体" w:hAnsi="宋体" w:eastAsia="宋体" w:cs="宋体"/>
          <w:szCs w:val="21"/>
          <w:lang w:eastAsia="zh-CN"/>
        </w:rPr>
        <w:t>的备件、备品等</w:t>
      </w:r>
      <w:r>
        <w:rPr>
          <w:rFonts w:hint="eastAsia" w:ascii="宋体" w:hAnsi="宋体" w:eastAsia="宋体" w:cs="宋体"/>
          <w:szCs w:val="21"/>
        </w:rPr>
        <w:t>的品牌、质量必须满足国家现行相关行业标准的规定和甲方对该项目的项目</w:t>
      </w:r>
      <w:r>
        <w:rPr>
          <w:rFonts w:hint="eastAsia" w:ascii="宋体" w:hAnsi="宋体" w:eastAsia="宋体" w:cs="宋体"/>
          <w:szCs w:val="21"/>
          <w:lang w:eastAsia="zh-CN"/>
        </w:rPr>
        <w:t>实际要求。</w:t>
      </w:r>
    </w:p>
    <w:p w14:paraId="484F433C">
      <w:pPr>
        <w:spacing w:line="360" w:lineRule="auto"/>
        <w:ind w:left="400"/>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工程施工现场情况、交通运输情况、自然地理条件、环境保护要求、供电条件、</w:t>
      </w:r>
      <w:r>
        <w:rPr>
          <w:rFonts w:hint="eastAsia" w:ascii="宋体" w:hAnsi="宋体" w:eastAsia="宋体" w:cs="宋体"/>
          <w:szCs w:val="21"/>
        </w:rPr>
        <w:t>施工时间</w:t>
      </w:r>
      <w:r>
        <w:rPr>
          <w:rFonts w:ascii="宋体" w:hAnsi="宋体" w:eastAsia="宋体" w:cs="宋体"/>
          <w:szCs w:val="21"/>
        </w:rPr>
        <w:t>等影响因素由投标人自行前往现场踏勘了解</w:t>
      </w:r>
      <w:r>
        <w:rPr>
          <w:rFonts w:hint="eastAsia" w:ascii="宋体" w:hAnsi="宋体" w:eastAsia="宋体" w:cs="宋体"/>
          <w:szCs w:val="21"/>
        </w:rPr>
        <w:t>。</w:t>
      </w:r>
    </w:p>
    <w:p w14:paraId="79614AF7">
      <w:pPr>
        <w:spacing w:line="360" w:lineRule="auto"/>
        <w:ind w:left="400"/>
        <w:rPr>
          <w:rFonts w:ascii="宋体" w:hAnsi="宋体" w:eastAsia="宋体" w:cs="宋体"/>
          <w:szCs w:val="21"/>
        </w:rPr>
      </w:pPr>
      <w:r>
        <w:rPr>
          <w:rFonts w:hint="eastAsia" w:ascii="宋体" w:hAnsi="宋体" w:eastAsia="宋体" w:cs="宋体"/>
          <w:szCs w:val="21"/>
        </w:rPr>
        <w:t>4.工期：按</w:t>
      </w:r>
      <w:r>
        <w:rPr>
          <w:rFonts w:hint="eastAsia" w:ascii="宋体" w:hAnsi="宋体" w:eastAsia="宋体" w:cs="宋体"/>
          <w:szCs w:val="21"/>
          <w:lang w:eastAsia="zh-CN"/>
        </w:rPr>
        <w:t>禄口机场业主</w:t>
      </w:r>
      <w:r>
        <w:rPr>
          <w:rFonts w:hint="eastAsia" w:ascii="宋体" w:hAnsi="宋体" w:eastAsia="宋体" w:cs="宋体"/>
          <w:szCs w:val="21"/>
        </w:rPr>
        <w:t>要求完成</w:t>
      </w:r>
      <w:r>
        <w:rPr>
          <w:rFonts w:hint="eastAsia" w:ascii="宋体" w:hAnsi="宋体" w:eastAsia="宋体" w:cs="宋体"/>
          <w:szCs w:val="21"/>
          <w:lang w:eastAsia="zh-CN"/>
        </w:rPr>
        <w:t>或</w:t>
      </w:r>
      <w:r>
        <w:rPr>
          <w:rFonts w:hint="eastAsia" w:ascii="宋体" w:hAnsi="宋体" w:eastAsia="宋体" w:cs="宋体"/>
          <w:szCs w:val="21"/>
        </w:rPr>
        <w:t>甲方批准</w:t>
      </w:r>
      <w:r>
        <w:rPr>
          <w:rFonts w:hint="eastAsia" w:ascii="宋体" w:hAnsi="宋体" w:eastAsia="宋体" w:cs="宋体"/>
          <w:szCs w:val="21"/>
          <w:lang w:eastAsia="zh-CN"/>
        </w:rPr>
        <w:t>之</w:t>
      </w:r>
      <w:r>
        <w:rPr>
          <w:rFonts w:hint="eastAsia" w:ascii="宋体" w:hAnsi="宋体" w:eastAsia="宋体" w:cs="宋体"/>
          <w:szCs w:val="21"/>
        </w:rPr>
        <w:t>日起</w:t>
      </w:r>
      <w:r>
        <w:rPr>
          <w:rFonts w:hint="eastAsia" w:ascii="宋体" w:hAnsi="宋体" w:eastAsia="宋体" w:cs="宋体"/>
          <w:szCs w:val="21"/>
          <w:lang w:eastAsia="zh-CN"/>
        </w:rPr>
        <w:t>至</w:t>
      </w:r>
      <w:r>
        <w:rPr>
          <w:rFonts w:hint="eastAsia" w:ascii="宋体" w:hAnsi="宋体" w:eastAsia="宋体" w:cs="宋体"/>
          <w:szCs w:val="21"/>
          <w:lang w:val="en-US" w:eastAsia="zh-CN"/>
        </w:rPr>
        <w:t>2026年11月15日止</w:t>
      </w:r>
      <w:r>
        <w:rPr>
          <w:rFonts w:hint="eastAsia" w:ascii="宋体" w:hAnsi="宋体" w:eastAsia="宋体" w:cs="宋体"/>
          <w:szCs w:val="21"/>
        </w:rPr>
        <w:t>。</w:t>
      </w:r>
    </w:p>
    <w:p w14:paraId="3CCE7748">
      <w:pPr>
        <w:spacing w:line="360" w:lineRule="auto"/>
        <w:ind w:left="400"/>
        <w:rPr>
          <w:rFonts w:ascii="宋体" w:hAnsi="宋体" w:eastAsia="宋体" w:cs="宋体"/>
          <w:szCs w:val="21"/>
        </w:rPr>
      </w:pPr>
      <w:r>
        <w:rPr>
          <w:rFonts w:hint="eastAsia" w:ascii="宋体" w:hAnsi="宋体" w:eastAsia="宋体" w:cs="宋体"/>
          <w:szCs w:val="21"/>
        </w:rPr>
        <w:t>5.最高投标限价：</w:t>
      </w:r>
      <w:r>
        <w:rPr>
          <w:rFonts w:hint="eastAsia" w:ascii="宋体" w:hAnsi="宋体" w:eastAsia="宋体" w:cs="宋体"/>
          <w:color w:val="000000"/>
          <w:kern w:val="0"/>
          <w:szCs w:val="21"/>
          <w:lang w:val="en-US" w:eastAsia="zh-CN"/>
        </w:rPr>
        <w:t>740000.00</w:t>
      </w:r>
      <w:r>
        <w:rPr>
          <w:rFonts w:hint="eastAsia" w:ascii="宋体" w:hAnsi="宋体" w:eastAsia="宋体" w:cs="宋体"/>
          <w:szCs w:val="21"/>
        </w:rPr>
        <w:t>元。（增值税适用税率</w:t>
      </w:r>
      <w:r>
        <w:rPr>
          <w:rFonts w:hint="eastAsia" w:ascii="宋体" w:hAnsi="宋体" w:eastAsia="宋体" w:cs="宋体"/>
          <w:szCs w:val="21"/>
          <w:lang w:val="en-US" w:eastAsia="zh-CN"/>
        </w:rPr>
        <w:t>6</w:t>
      </w:r>
      <w:r>
        <w:rPr>
          <w:rFonts w:hint="eastAsia" w:ascii="宋体" w:hAnsi="宋体" w:eastAsia="宋体" w:cs="宋体"/>
          <w:szCs w:val="21"/>
        </w:rPr>
        <w:t>%）</w:t>
      </w:r>
    </w:p>
    <w:p w14:paraId="4FCE882C">
      <w:pPr>
        <w:spacing w:line="360" w:lineRule="auto"/>
        <w:rPr>
          <w:rFonts w:ascii="宋体" w:hAnsi="宋体" w:eastAsia="宋体" w:cs="宋体"/>
          <w:szCs w:val="21"/>
        </w:rPr>
      </w:pPr>
      <w:r>
        <w:rPr>
          <w:rFonts w:hint="eastAsia" w:ascii="宋体" w:hAnsi="宋体" w:eastAsia="宋体" w:cs="宋体"/>
          <w:b/>
          <w:szCs w:val="21"/>
        </w:rPr>
        <w:t>二、合格投标人资格要求</w:t>
      </w:r>
    </w:p>
    <w:p w14:paraId="2E4C7859">
      <w:pPr>
        <w:spacing w:line="360" w:lineRule="auto"/>
        <w:ind w:left="400"/>
        <w:rPr>
          <w:rFonts w:hint="default" w:ascii="宋体" w:hAnsi="宋体" w:eastAsia="宋体" w:cs="宋体"/>
          <w:szCs w:val="21"/>
          <w:lang w:val="en-US" w:eastAsia="zh-CN"/>
        </w:rPr>
      </w:pPr>
      <w:r>
        <w:rPr>
          <w:rFonts w:hint="default" w:ascii="宋体" w:hAnsi="宋体" w:eastAsia="宋体" w:cs="宋体"/>
          <w:szCs w:val="21"/>
          <w:lang w:val="en-US" w:eastAsia="zh-CN"/>
        </w:rPr>
        <w:t>1、投标人须</w:t>
      </w:r>
      <w:r>
        <w:rPr>
          <w:rFonts w:hint="eastAsia" w:ascii="宋体" w:hAnsi="宋体" w:eastAsia="宋体" w:cs="宋体"/>
          <w:szCs w:val="21"/>
          <w:lang w:val="en-US" w:eastAsia="zh-CN"/>
        </w:rPr>
        <w:t>为</w:t>
      </w:r>
      <w:r>
        <w:rPr>
          <w:rFonts w:hint="default" w:ascii="宋体" w:hAnsi="宋体" w:eastAsia="宋体" w:cs="宋体"/>
          <w:szCs w:val="21"/>
          <w:lang w:val="en-US" w:eastAsia="zh-CN"/>
        </w:rPr>
        <w:t>中国境内</w:t>
      </w:r>
      <w:r>
        <w:rPr>
          <w:rFonts w:hint="eastAsia" w:ascii="宋体" w:hAnsi="宋体" w:eastAsia="宋体" w:cs="宋体"/>
          <w:szCs w:val="21"/>
          <w:lang w:val="en-US" w:eastAsia="zh-CN"/>
        </w:rPr>
        <w:t>依法</w:t>
      </w:r>
      <w:r>
        <w:rPr>
          <w:rFonts w:hint="default" w:ascii="宋体" w:hAnsi="宋体" w:eastAsia="宋体" w:cs="宋体"/>
          <w:szCs w:val="21"/>
          <w:lang w:val="en-US" w:eastAsia="zh-CN"/>
        </w:rPr>
        <w:t>注册</w:t>
      </w:r>
      <w:r>
        <w:rPr>
          <w:rFonts w:hint="eastAsia" w:ascii="宋体" w:hAnsi="宋体" w:eastAsia="宋体" w:cs="宋体"/>
          <w:szCs w:val="21"/>
          <w:lang w:val="en-US" w:eastAsia="zh-CN"/>
        </w:rPr>
        <w:t>的</w:t>
      </w:r>
      <w:r>
        <w:rPr>
          <w:rFonts w:hint="default" w:ascii="宋体" w:hAnsi="宋体" w:eastAsia="宋体" w:cs="宋体"/>
          <w:szCs w:val="21"/>
          <w:lang w:val="en-US" w:eastAsia="zh-CN"/>
        </w:rPr>
        <w:t>法人</w:t>
      </w:r>
      <w:r>
        <w:rPr>
          <w:rFonts w:hint="eastAsia" w:ascii="宋体" w:hAnsi="宋体" w:eastAsia="宋体" w:cs="宋体"/>
          <w:szCs w:val="21"/>
          <w:lang w:val="en-US" w:eastAsia="zh-CN"/>
        </w:rPr>
        <w:t>或其他依法成立的组织</w:t>
      </w:r>
      <w:r>
        <w:rPr>
          <w:rFonts w:hint="default" w:ascii="宋体" w:hAnsi="宋体" w:eastAsia="宋体" w:cs="宋体"/>
          <w:szCs w:val="21"/>
          <w:lang w:val="en-US" w:eastAsia="zh-CN"/>
        </w:rPr>
        <w:t>，注册资本</w:t>
      </w:r>
      <w:r>
        <w:rPr>
          <w:rFonts w:hint="eastAsia" w:ascii="宋体" w:hAnsi="宋体" w:eastAsia="宋体" w:cs="宋体"/>
          <w:szCs w:val="21"/>
          <w:lang w:val="en-US" w:eastAsia="zh-CN"/>
        </w:rPr>
        <w:t>100</w:t>
      </w:r>
      <w:r>
        <w:rPr>
          <w:rFonts w:hint="default" w:ascii="宋体" w:hAnsi="宋体" w:eastAsia="宋体" w:cs="宋体"/>
          <w:szCs w:val="21"/>
          <w:lang w:val="en-US" w:eastAsia="zh-CN"/>
        </w:rPr>
        <w:t>万元及以上</w:t>
      </w:r>
      <w:r>
        <w:rPr>
          <w:rFonts w:hint="eastAsia" w:ascii="宋体" w:hAnsi="宋体" w:eastAsia="宋体" w:cs="宋体"/>
          <w:szCs w:val="21"/>
          <w:lang w:val="en-US" w:eastAsia="zh-CN"/>
        </w:rPr>
        <w:t>且具有有效的安全生产许可证</w:t>
      </w:r>
      <w:r>
        <w:rPr>
          <w:rFonts w:hint="default" w:ascii="宋体" w:hAnsi="宋体" w:eastAsia="宋体" w:cs="宋体"/>
          <w:szCs w:val="21"/>
          <w:lang w:val="en-US" w:eastAsia="zh-CN"/>
        </w:rPr>
        <w:t>。（营业执照</w:t>
      </w:r>
      <w:r>
        <w:rPr>
          <w:rFonts w:hint="eastAsia" w:ascii="宋体" w:hAnsi="宋体" w:eastAsia="宋体" w:cs="宋体"/>
          <w:szCs w:val="21"/>
          <w:lang w:val="en-US" w:eastAsia="zh-CN"/>
        </w:rPr>
        <w:t>复印件</w:t>
      </w:r>
      <w:r>
        <w:rPr>
          <w:rFonts w:hint="default" w:ascii="宋体" w:hAnsi="宋体" w:eastAsia="宋体" w:cs="宋体"/>
          <w:szCs w:val="21"/>
          <w:lang w:val="en-US" w:eastAsia="zh-CN"/>
        </w:rPr>
        <w:t>加盖公章</w:t>
      </w:r>
      <w:r>
        <w:rPr>
          <w:rFonts w:hint="eastAsia" w:ascii="宋体" w:hAnsi="宋体" w:eastAsia="宋体" w:cs="宋体"/>
          <w:szCs w:val="21"/>
          <w:lang w:val="en-US" w:eastAsia="zh-CN"/>
        </w:rPr>
        <w:t>+安全生产许可证</w:t>
      </w:r>
      <w:r>
        <w:rPr>
          <w:rFonts w:hint="default" w:ascii="宋体" w:hAnsi="宋体" w:eastAsia="宋体" w:cs="宋体"/>
          <w:szCs w:val="21"/>
          <w:lang w:val="en-US" w:eastAsia="zh-CN"/>
        </w:rPr>
        <w:t>复印件加盖公章）</w:t>
      </w:r>
    </w:p>
    <w:p w14:paraId="71B266BE">
      <w:pPr>
        <w:spacing w:line="360" w:lineRule="auto"/>
        <w:ind w:left="400"/>
        <w:rPr>
          <w:rFonts w:hint="default" w:ascii="宋体" w:hAnsi="宋体" w:eastAsia="宋体" w:cs="宋体"/>
          <w:szCs w:val="21"/>
          <w:lang w:val="en-US" w:eastAsia="zh-CN"/>
        </w:rPr>
      </w:pPr>
      <w:r>
        <w:rPr>
          <w:rFonts w:hint="default" w:ascii="宋体" w:hAnsi="宋体" w:eastAsia="宋体" w:cs="宋体"/>
          <w:szCs w:val="21"/>
          <w:lang w:val="en-US" w:eastAsia="zh-CN"/>
        </w:rPr>
        <w:t>2、投标人信誉良好，在“国家企业信用信息公示系统”网站没有被列入严重违法失信企业名单（黑名单）（证明文件：“国家企业信用信息公示系统”网站（http://www.gsxt.gov.cn/index.html）需提供7日内查询结果截图，“黑名单”栏显示为0条记录，加盖投标人公章。若结果截图显示“查询不到该企业”，视同未被列入严重违法失信企业名单）；</w:t>
      </w:r>
    </w:p>
    <w:p w14:paraId="4E1C7650">
      <w:pPr>
        <w:spacing w:line="360" w:lineRule="auto"/>
        <w:ind w:left="400"/>
        <w:rPr>
          <w:rFonts w:hint="eastAsia" w:ascii="宋体" w:hAnsi="宋体" w:eastAsia="宋体" w:cs="宋体"/>
          <w:szCs w:val="21"/>
          <w:lang w:val="en-US" w:eastAsia="zh-CN"/>
        </w:rPr>
      </w:pPr>
      <w:r>
        <w:rPr>
          <w:rFonts w:hint="eastAsia" w:ascii="宋体" w:hAnsi="宋体" w:eastAsia="宋体" w:cs="宋体"/>
          <w:szCs w:val="21"/>
          <w:lang w:val="en-US" w:eastAsia="zh-CN"/>
        </w:rPr>
        <w:t>3、投标人须具有承装（修、试）电力设施许可证，其中许可类别和等级：承装类不低于三级、承修类不低于三级、承试类不低于三级。</w:t>
      </w:r>
    </w:p>
    <w:p w14:paraId="2A6866F1">
      <w:pPr>
        <w:spacing w:line="360" w:lineRule="auto"/>
        <w:ind w:left="400"/>
        <w:rPr>
          <w:rFonts w:hint="eastAsia" w:ascii="宋体" w:hAnsi="宋体" w:eastAsia="宋体" w:cs="宋体"/>
          <w:szCs w:val="21"/>
          <w:lang w:val="en-US" w:eastAsia="zh-CN"/>
        </w:rPr>
      </w:pPr>
      <w:r>
        <w:rPr>
          <w:rFonts w:hint="eastAsia" w:ascii="宋体" w:hAnsi="宋体" w:eastAsia="宋体" w:cs="宋体"/>
          <w:szCs w:val="21"/>
          <w:lang w:val="en-US" w:eastAsia="zh-CN"/>
        </w:rPr>
        <w:t>4、投标人需提供从2022年01月以来不少于一个单项合同额60万元及以上的电力维护或安装实施业绩。（合同复印件+竣工验收证明复印件加盖公章）</w:t>
      </w:r>
    </w:p>
    <w:p w14:paraId="0F8FD7F4">
      <w:pPr>
        <w:spacing w:line="360" w:lineRule="auto"/>
        <w:ind w:left="400"/>
        <w:rPr>
          <w:rFonts w:hint="default" w:ascii="宋体" w:hAnsi="宋体" w:eastAsia="宋体" w:cs="宋体"/>
          <w:szCs w:val="21"/>
          <w:lang w:val="en-US" w:eastAsia="zh-CN"/>
        </w:rPr>
      </w:pPr>
      <w:r>
        <w:rPr>
          <w:rFonts w:hint="eastAsia" w:ascii="宋体" w:hAnsi="宋体" w:eastAsia="宋体" w:cs="宋体"/>
          <w:szCs w:val="21"/>
          <w:lang w:val="en-US" w:eastAsia="zh-CN"/>
        </w:rPr>
        <w:t>5、投标人承诺至少3名实际维护人员须具有有效的低压电工证并且为施耐德或GE原厂人员。</w:t>
      </w:r>
    </w:p>
    <w:p w14:paraId="195C48C6">
      <w:pPr>
        <w:spacing w:line="360" w:lineRule="auto"/>
        <w:ind w:left="400"/>
        <w:rPr>
          <w:rFonts w:hint="default" w:ascii="宋体" w:hAnsi="宋体" w:eastAsia="宋体" w:cs="宋体"/>
          <w:szCs w:val="21"/>
          <w:lang w:val="en-US" w:eastAsia="zh-CN"/>
        </w:rPr>
      </w:pPr>
      <w:r>
        <w:rPr>
          <w:rFonts w:hint="eastAsia" w:ascii="宋体" w:hAnsi="宋体" w:eastAsia="宋体" w:cs="宋体"/>
          <w:szCs w:val="21"/>
          <w:lang w:val="en-US" w:eastAsia="zh-CN"/>
        </w:rPr>
        <w:t>6</w:t>
      </w:r>
      <w:r>
        <w:rPr>
          <w:rFonts w:hint="default" w:ascii="宋体" w:hAnsi="宋体" w:eastAsia="宋体" w:cs="宋体"/>
          <w:szCs w:val="21"/>
          <w:lang w:val="en-US" w:eastAsia="zh-CN"/>
        </w:rPr>
        <w:t>、本次招标不接受联合体投标。</w:t>
      </w:r>
    </w:p>
    <w:p w14:paraId="0D98EA43">
      <w:pPr>
        <w:spacing w:line="360" w:lineRule="auto"/>
        <w:rPr>
          <w:rFonts w:ascii="宋体" w:hAnsi="宋体" w:eastAsia="宋体" w:cs="宋体"/>
          <w:b/>
          <w:szCs w:val="21"/>
        </w:rPr>
      </w:pPr>
      <w:r>
        <w:rPr>
          <w:rFonts w:hint="eastAsia" w:ascii="宋体" w:hAnsi="宋体" w:eastAsia="宋体" w:cs="宋体"/>
          <w:b/>
          <w:szCs w:val="21"/>
        </w:rPr>
        <w:t>三、投标报价说明</w:t>
      </w:r>
    </w:p>
    <w:p w14:paraId="52D56381">
      <w:pPr>
        <w:numPr>
          <w:ilvl w:val="0"/>
          <w:numId w:val="1"/>
        </w:numPr>
        <w:spacing w:line="360" w:lineRule="auto"/>
        <w:rPr>
          <w:rFonts w:ascii="宋体" w:hAnsi="宋体" w:eastAsia="宋体" w:cs="宋体"/>
          <w:szCs w:val="21"/>
        </w:rPr>
      </w:pPr>
      <w:r>
        <w:rPr>
          <w:rFonts w:ascii="宋体" w:hAnsi="宋体" w:eastAsia="宋体" w:cs="宋体"/>
          <w:szCs w:val="21"/>
        </w:rPr>
        <w:t>投标文件应严格按照招标人招标文件、图纸和工程量清单、踏勘情况等编制。</w:t>
      </w:r>
    </w:p>
    <w:p w14:paraId="4F42ABF0">
      <w:pPr>
        <w:numPr>
          <w:ilvl w:val="0"/>
          <w:numId w:val="1"/>
        </w:numPr>
        <w:spacing w:line="360" w:lineRule="auto"/>
        <w:rPr>
          <w:rFonts w:ascii="宋体" w:hAnsi="宋体" w:eastAsia="宋体" w:cs="宋体"/>
          <w:szCs w:val="21"/>
        </w:rPr>
      </w:pPr>
      <w:r>
        <w:rPr>
          <w:rFonts w:ascii="宋体" w:hAnsi="宋体" w:eastAsia="宋体" w:cs="宋体"/>
          <w:szCs w:val="21"/>
        </w:rPr>
        <w:t>投标人应充分理解在机场活动区域施工的特殊性，严格遵守机场公司关于人员物料进出、动火、噪音、施工时间、施工围挡</w:t>
      </w:r>
      <w:r>
        <w:rPr>
          <w:rFonts w:hint="eastAsia" w:ascii="宋体" w:hAnsi="宋体" w:eastAsia="宋体" w:cs="宋体"/>
          <w:szCs w:val="21"/>
        </w:rPr>
        <w:t>、不停航施工、禁区通行证办理</w:t>
      </w:r>
      <w:r>
        <w:rPr>
          <w:rFonts w:ascii="宋体" w:hAnsi="宋体" w:eastAsia="宋体" w:cs="宋体"/>
          <w:szCs w:val="21"/>
        </w:rPr>
        <w:t>等各方面的规定，并在报价中予以充分考虑，如未报价，视同优惠。</w:t>
      </w:r>
    </w:p>
    <w:p w14:paraId="29ED54C4">
      <w:pPr>
        <w:numPr>
          <w:ilvl w:val="0"/>
          <w:numId w:val="1"/>
        </w:numPr>
        <w:spacing w:line="360" w:lineRule="auto"/>
        <w:rPr>
          <w:rFonts w:ascii="宋体" w:hAnsi="宋体" w:eastAsia="宋体" w:cs="宋体"/>
          <w:szCs w:val="21"/>
        </w:rPr>
      </w:pPr>
      <w:bookmarkStart w:id="0" w:name="2"/>
      <w:bookmarkEnd w:id="0"/>
      <w:r>
        <w:rPr>
          <w:rFonts w:ascii="宋体" w:hAnsi="宋体" w:eastAsia="宋体" w:cs="宋体"/>
          <w:szCs w:val="21"/>
        </w:rPr>
        <w:t>本项目的最终报价，为完成该项目全部费用之总和，一旦投标人中标并和招标人签订了本项目合同后，即使投标人发现在报价时费用有计算错误，也不得另行增加费用。</w:t>
      </w:r>
    </w:p>
    <w:p w14:paraId="0A74101D">
      <w:pPr>
        <w:numPr>
          <w:ilvl w:val="0"/>
          <w:numId w:val="1"/>
        </w:numPr>
        <w:spacing w:line="360" w:lineRule="auto"/>
        <w:rPr>
          <w:rFonts w:ascii="宋体" w:hAnsi="宋体" w:eastAsia="宋体" w:cs="宋体"/>
          <w:szCs w:val="21"/>
        </w:rPr>
      </w:pPr>
      <w:r>
        <w:rPr>
          <w:rFonts w:ascii="宋体" w:hAnsi="宋体" w:eastAsia="宋体" w:cs="宋体"/>
          <w:szCs w:val="21"/>
        </w:rPr>
        <w:t>在招标人确认投标人投标文件的基础上，投标人实际完成的工程量如有所减少，在投标人原报价单价不变的基础上，招标人可对所减少的工作量作相应的费用调减。投标文件中的漏项，投标人必须按要求实施，但费用不增加。</w:t>
      </w:r>
    </w:p>
    <w:p w14:paraId="69EE92C3">
      <w:pPr>
        <w:numPr>
          <w:ilvl w:val="0"/>
          <w:numId w:val="2"/>
        </w:numPr>
        <w:spacing w:line="360" w:lineRule="auto"/>
        <w:rPr>
          <w:rFonts w:ascii="Times New Roman" w:hAnsi="Times New Roman" w:eastAsiaTheme="minorEastAsia"/>
          <w:szCs w:val="21"/>
        </w:rPr>
      </w:pPr>
      <w:r>
        <w:rPr>
          <w:rFonts w:hint="eastAsia" w:ascii="宋体" w:hAnsi="宋体" w:eastAsia="宋体" w:cs="宋体"/>
          <w:b/>
          <w:szCs w:val="21"/>
        </w:rPr>
        <w:t>评标方法</w:t>
      </w:r>
    </w:p>
    <w:p w14:paraId="44048FA6">
      <w:pPr>
        <w:numPr>
          <w:ilvl w:val="0"/>
          <w:numId w:val="3"/>
        </w:numPr>
        <w:spacing w:line="360" w:lineRule="auto"/>
        <w:ind w:firstLine="420" w:firstLineChars="200"/>
      </w:pPr>
      <w:r>
        <w:rPr>
          <w:rFonts w:hint="eastAsia" w:ascii="宋体" w:hAnsi="宋体" w:eastAsia="宋体" w:cs="宋体"/>
          <w:szCs w:val="21"/>
        </w:rPr>
        <w:t>评审办法：经评审的最低投标</w:t>
      </w:r>
      <w:r>
        <w:rPr>
          <w:rFonts w:hint="eastAsia" w:ascii="Times New Roman" w:hAnsi="Times New Roman" w:eastAsiaTheme="minorEastAsia"/>
          <w:szCs w:val="21"/>
        </w:rPr>
        <w:t>价法</w:t>
      </w:r>
      <w:r>
        <w:rPr>
          <w:rFonts w:ascii="Times New Roman" w:hAnsi="Times New Roman" w:eastAsiaTheme="minorEastAsia"/>
          <w:szCs w:val="21"/>
        </w:rPr>
        <w:t>。</w:t>
      </w:r>
    </w:p>
    <w:p w14:paraId="793E5F88">
      <w:pPr>
        <w:numPr>
          <w:ilvl w:val="0"/>
          <w:numId w:val="3"/>
        </w:numPr>
        <w:spacing w:line="360" w:lineRule="auto"/>
        <w:ind w:left="0" w:leftChars="0" w:firstLine="420" w:firstLineChars="200"/>
        <w:rPr>
          <w:rFonts w:ascii="宋体" w:hAnsi="宋体" w:eastAsia="宋体" w:cs="宋体"/>
          <w:szCs w:val="21"/>
        </w:rPr>
      </w:pPr>
      <w:r>
        <w:rPr>
          <w:rFonts w:hint="eastAsia" w:ascii="宋体" w:hAnsi="宋体" w:eastAsia="宋体" w:cs="宋体"/>
          <w:szCs w:val="21"/>
        </w:rPr>
        <w:t>投标文件有下述情形之一的，视为未能对招标文件作出实质性响应，作为无效投标文件处理：</w:t>
      </w:r>
    </w:p>
    <w:p w14:paraId="48BBFF74">
      <w:pPr>
        <w:spacing w:line="360" w:lineRule="auto"/>
        <w:ind w:left="40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1）不满足合格投标人资格要求及合格投标人资格证明文件的。</w:t>
      </w:r>
    </w:p>
    <w:p w14:paraId="281E8637">
      <w:pPr>
        <w:spacing w:line="360" w:lineRule="auto"/>
        <w:ind w:left="40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2）投标文件中的报价函未加盖投标人的公章的。</w:t>
      </w:r>
    </w:p>
    <w:p w14:paraId="782EFA5A">
      <w:pPr>
        <w:spacing w:line="360" w:lineRule="auto"/>
        <w:ind w:left="40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3）未按招标文件规定的格式填写，内容不全或关键内容字迹模糊、无法辨认的。</w:t>
      </w:r>
    </w:p>
    <w:p w14:paraId="183D42FC">
      <w:pPr>
        <w:spacing w:line="360" w:lineRule="auto"/>
        <w:ind w:left="40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4）投标人递交多份内容不同的投标文件，或对同一项目报有两个或多个报价的。</w:t>
      </w:r>
    </w:p>
    <w:p w14:paraId="785D3791">
      <w:pPr>
        <w:spacing w:line="360" w:lineRule="auto"/>
        <w:ind w:left="40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5）改变招标文件提供的设备/物资清单中的计量单位、数量的。</w:t>
      </w:r>
    </w:p>
    <w:p w14:paraId="34703477">
      <w:pPr>
        <w:spacing w:line="360" w:lineRule="auto"/>
        <w:ind w:left="40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6）投标文件中提供虚假材料的（将被列入不诚信单位名单）</w:t>
      </w:r>
    </w:p>
    <w:p w14:paraId="7A31F2CC">
      <w:pPr>
        <w:spacing w:line="360" w:lineRule="auto"/>
        <w:ind w:left="400"/>
        <w:rPr>
          <w:rFonts w:ascii="宋体" w:hAnsi="宋体" w:eastAsia="宋体" w:cs="宋体"/>
          <w:szCs w:val="21"/>
        </w:rPr>
      </w:pPr>
      <w:r>
        <w:rPr>
          <w:rFonts w:hint="eastAsia" w:ascii="宋体" w:hAnsi="宋体" w:eastAsia="宋体" w:cs="宋体"/>
          <w:szCs w:val="21"/>
        </w:rPr>
        <w:t>（7）投标文件中提供的技术或服务条款不能实质性满足招标文件要求或不能提供实质性满足证明的。</w:t>
      </w:r>
    </w:p>
    <w:p w14:paraId="190BBFE8">
      <w:pPr>
        <w:spacing w:line="360" w:lineRule="auto"/>
        <w:ind w:left="400"/>
        <w:rPr>
          <w:rFonts w:ascii="宋体" w:hAnsi="宋体" w:eastAsia="宋体" w:cs="宋体"/>
          <w:szCs w:val="21"/>
        </w:rPr>
      </w:pPr>
      <w:r>
        <w:rPr>
          <w:rFonts w:hint="eastAsia" w:ascii="宋体" w:hAnsi="宋体" w:eastAsia="宋体" w:cs="宋体"/>
          <w:szCs w:val="21"/>
        </w:rPr>
        <w:t>（8）未完全响应招标文件规定的其他实质性要求的。</w:t>
      </w:r>
    </w:p>
    <w:p w14:paraId="34D8BA9A">
      <w:pPr>
        <w:spacing w:line="360" w:lineRule="auto"/>
        <w:ind w:left="40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9）不同投标人的投标文件出现了评审委员会认为不应当雷同的情况。</w:t>
      </w:r>
    </w:p>
    <w:p w14:paraId="51F27C96">
      <w:pPr>
        <w:spacing w:line="360" w:lineRule="auto"/>
        <w:ind w:left="40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10）经评审委员会认定投标人的报价低于成本价的。</w:t>
      </w:r>
    </w:p>
    <w:p w14:paraId="1AADB9D5">
      <w:pPr>
        <w:spacing w:line="360" w:lineRule="auto"/>
        <w:ind w:left="40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11）超过项目招标限价的（如有）。</w:t>
      </w:r>
    </w:p>
    <w:p w14:paraId="0DB4C373">
      <w:pPr>
        <w:spacing w:line="360" w:lineRule="auto"/>
        <w:ind w:left="40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12）投标人为招标人内部员工参股、投资的有控制权的单位。</w:t>
      </w:r>
    </w:p>
    <w:p w14:paraId="6CC0C22F">
      <w:pPr>
        <w:spacing w:line="360" w:lineRule="auto"/>
        <w:ind w:left="40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13）</w:t>
      </w:r>
      <w:r>
        <w:rPr>
          <w:rFonts w:hint="eastAsia" w:ascii="宋体" w:hAnsi="宋体" w:eastAsia="宋体" w:cs="宋体"/>
          <w:szCs w:val="21"/>
        </w:rPr>
        <w:t>投标人电子投标</w:t>
      </w:r>
      <w:r>
        <w:rPr>
          <w:rFonts w:ascii="宋体" w:hAnsi="宋体" w:eastAsia="宋体" w:cs="宋体"/>
          <w:szCs w:val="21"/>
        </w:rPr>
        <w:t>ip或mac地址相同的。</w:t>
      </w:r>
    </w:p>
    <w:p w14:paraId="3C463649">
      <w:pPr>
        <w:spacing w:line="360" w:lineRule="auto"/>
        <w:rPr>
          <w:rFonts w:ascii="宋体" w:hAnsi="宋体" w:eastAsia="宋体" w:cs="宋体"/>
          <w:b/>
          <w:szCs w:val="21"/>
        </w:rPr>
      </w:pPr>
      <w:r>
        <w:rPr>
          <w:rFonts w:hint="eastAsia" w:ascii="宋体" w:hAnsi="宋体" w:eastAsia="宋体" w:cs="宋体"/>
          <w:b/>
          <w:szCs w:val="21"/>
        </w:rPr>
        <w:t>五、中标及合同授予</w:t>
      </w:r>
    </w:p>
    <w:p w14:paraId="45ECA7EB">
      <w:pPr>
        <w:numPr>
          <w:ilvl w:val="0"/>
          <w:numId w:val="4"/>
        </w:numPr>
        <w:spacing w:line="360" w:lineRule="auto"/>
        <w:rPr>
          <w:rFonts w:ascii="宋体" w:hAnsi="宋体" w:eastAsia="宋体" w:cs="宋体"/>
          <w:szCs w:val="21"/>
        </w:rPr>
      </w:pPr>
      <w:r>
        <w:rPr>
          <w:rFonts w:hint="eastAsia" w:ascii="宋体" w:hAnsi="宋体" w:eastAsia="宋体" w:cs="宋体"/>
          <w:szCs w:val="21"/>
        </w:rPr>
        <w:t>确定中标人后，招标人以书面方式通知中标人，并签订具体的采购合同，未接到中标通知的单位视为不中标，招标人没有义务解释不中标原因。</w:t>
      </w:r>
    </w:p>
    <w:p w14:paraId="7CF810B0">
      <w:pPr>
        <w:numPr>
          <w:ilvl w:val="0"/>
          <w:numId w:val="4"/>
        </w:numPr>
        <w:spacing w:line="360" w:lineRule="auto"/>
        <w:rPr>
          <w:rFonts w:ascii="宋体" w:hAnsi="宋体" w:eastAsia="宋体" w:cs="宋体"/>
          <w:szCs w:val="21"/>
        </w:rPr>
      </w:pPr>
      <w:r>
        <w:rPr>
          <w:rFonts w:hint="eastAsia" w:ascii="宋体" w:hAnsi="宋体" w:eastAsia="宋体" w:cs="宋体"/>
          <w:szCs w:val="21"/>
        </w:rPr>
        <w:t xml:space="preserve">中标单位如在项目实施时, 违反了国家法律法规或严重违反招标方公司相关规定，以及产品、服务质量差，不符合招标方要求，招标人可终止合同，取消该单位中标人资格，并没收全部履约保证金（如有）。招标方可通知第二候选单位中标。 </w:t>
      </w:r>
    </w:p>
    <w:p w14:paraId="7CE500E7">
      <w:pPr>
        <w:numPr>
          <w:ilvl w:val="0"/>
          <w:numId w:val="4"/>
        </w:numPr>
        <w:spacing w:line="360" w:lineRule="auto"/>
        <w:rPr>
          <w:rFonts w:ascii="宋体" w:hAnsi="宋体" w:eastAsia="宋体" w:cs="宋体"/>
          <w:szCs w:val="21"/>
        </w:rPr>
      </w:pPr>
      <w:r>
        <w:rPr>
          <w:rFonts w:hint="eastAsia" w:ascii="宋体" w:hAnsi="宋体" w:eastAsia="宋体" w:cs="宋体"/>
          <w:szCs w:val="21"/>
        </w:rPr>
        <w:t>招标人一旦发现投标人的投标文件中资质证明等材料文件造假，有权取消该投标人的中标资格并没收投标保证金及合同履约保证金（如有），且该投标人将被列入不诚信单位名单。</w:t>
      </w:r>
    </w:p>
    <w:p w14:paraId="39377DD3">
      <w:pPr>
        <w:numPr>
          <w:ilvl w:val="0"/>
          <w:numId w:val="4"/>
        </w:numPr>
        <w:spacing w:line="360" w:lineRule="auto"/>
        <w:rPr>
          <w:rFonts w:ascii="宋体" w:hAnsi="宋体" w:eastAsia="宋体" w:cs="宋体"/>
          <w:szCs w:val="21"/>
        </w:rPr>
      </w:pPr>
      <w:r>
        <w:rPr>
          <w:rFonts w:hint="eastAsia" w:ascii="宋体" w:hAnsi="宋体" w:eastAsia="宋体" w:cs="宋体"/>
          <w:szCs w:val="21"/>
        </w:rPr>
        <w:t>非招标人原因中标人拒签合同或中标人严重违约的，该中标人将被列入不诚信单位名单。</w:t>
      </w:r>
    </w:p>
    <w:p w14:paraId="1F4F3863">
      <w:pPr>
        <w:numPr>
          <w:ilvl w:val="0"/>
          <w:numId w:val="4"/>
        </w:numPr>
        <w:spacing w:line="360" w:lineRule="auto"/>
        <w:rPr>
          <w:rFonts w:ascii="宋体" w:hAnsi="宋体" w:eastAsia="宋体" w:cs="宋体"/>
          <w:szCs w:val="21"/>
        </w:rPr>
      </w:pPr>
      <w:r>
        <w:rPr>
          <w:rFonts w:hint="eastAsia" w:ascii="宋体" w:hAnsi="宋体" w:eastAsia="宋体" w:cs="宋体"/>
          <w:szCs w:val="21"/>
        </w:rPr>
        <w:t>被列入不诚信单位名单的单位，招标人有权拒绝该单位之后其它项目的投标。</w:t>
      </w:r>
    </w:p>
    <w:p w14:paraId="74A66A5C">
      <w:pPr>
        <w:spacing w:line="360" w:lineRule="auto"/>
        <w:ind w:firstLine="420" w:firstLineChars="200"/>
        <w:rPr>
          <w:rFonts w:cs="宋体" w:asciiTheme="minorEastAsia" w:hAnsiTheme="minorEastAsia" w:eastAsiaTheme="minorEastAsia"/>
          <w:szCs w:val="21"/>
        </w:rPr>
      </w:pPr>
      <w:r>
        <w:rPr>
          <w:rFonts w:hint="eastAsia" w:ascii="宋体" w:hAnsi="宋体" w:eastAsia="宋体" w:cs="宋体"/>
          <w:szCs w:val="21"/>
        </w:rPr>
        <w:t>6.中标单位如在项目实施时，隐瞒其为内部员工参股、投资企业的事实，招标人可终止合同，取消该单位中标人资格，</w:t>
      </w:r>
      <w:r>
        <w:rPr>
          <w:rFonts w:hint="eastAsia" w:cs="宋体" w:asciiTheme="minorEastAsia" w:hAnsiTheme="minorEastAsia" w:eastAsiaTheme="minorEastAsia"/>
          <w:szCs w:val="21"/>
        </w:rPr>
        <w:t>并赔偿招标人由此造成的损失。</w:t>
      </w:r>
    </w:p>
    <w:p w14:paraId="6AFF0A4C">
      <w:pPr>
        <w:spacing w:line="360" w:lineRule="auto"/>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7．中标单位与该项目其他投标单位：负责人为同一人的，或存在控股、管理关系的，一经查实，招标人将取消中标单位的中标资格，将该中标单位及关联投标单位列入不诚信单位名单，同时有权拒绝上述单位其它之后项目的投标。</w:t>
      </w:r>
    </w:p>
    <w:p w14:paraId="26FAB960">
      <w:pPr>
        <w:spacing w:line="360" w:lineRule="auto"/>
        <w:rPr>
          <w:rFonts w:ascii="宋体" w:hAnsi="宋体" w:eastAsia="宋体" w:cs="宋体"/>
          <w:b/>
          <w:szCs w:val="21"/>
        </w:rPr>
      </w:pPr>
      <w:r>
        <w:rPr>
          <w:rFonts w:hint="eastAsia" w:ascii="宋体" w:hAnsi="宋体" w:eastAsia="宋体" w:cs="宋体"/>
          <w:b/>
          <w:szCs w:val="21"/>
        </w:rPr>
        <w:t>六、合同条款格式</w:t>
      </w:r>
    </w:p>
    <w:p w14:paraId="63EC7A49">
      <w:pPr>
        <w:spacing w:line="360" w:lineRule="auto"/>
        <w:ind w:firstLine="420" w:firstLineChars="200"/>
        <w:rPr>
          <w:rFonts w:ascii="宋体" w:hAnsi="宋体" w:eastAsia="宋体" w:cs="宋体"/>
          <w:szCs w:val="21"/>
        </w:rPr>
      </w:pPr>
      <w:r>
        <w:rPr>
          <w:rFonts w:hint="eastAsia" w:ascii="宋体" w:hAnsi="宋体" w:eastAsia="宋体" w:cs="宋体"/>
          <w:szCs w:val="21"/>
        </w:rPr>
        <w:t>详见合同文本条件</w:t>
      </w:r>
    </w:p>
    <w:p w14:paraId="50E5B1CD">
      <w:pPr>
        <w:pStyle w:val="27"/>
        <w:numPr>
          <w:ilvl w:val="0"/>
          <w:numId w:val="5"/>
        </w:numPr>
        <w:spacing w:line="360" w:lineRule="auto"/>
        <w:rPr>
          <w:rFonts w:ascii="宋体" w:hAnsi="宋体" w:eastAsia="宋体" w:cs="宋体"/>
          <w:b/>
          <w:szCs w:val="21"/>
        </w:rPr>
      </w:pPr>
      <w:r>
        <w:rPr>
          <w:rFonts w:hint="eastAsia" w:ascii="宋体" w:hAnsi="宋体" w:eastAsia="宋体" w:cs="宋体"/>
          <w:b/>
          <w:szCs w:val="21"/>
        </w:rPr>
        <w:t>现场勘测</w:t>
      </w:r>
    </w:p>
    <w:p w14:paraId="15071A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 xml:space="preserve">. </w:t>
      </w:r>
      <w:r>
        <w:rPr>
          <w:rFonts w:hint="eastAsia" w:ascii="宋体" w:hAnsi="宋体" w:eastAsia="宋体" w:cs="宋体"/>
          <w:szCs w:val="21"/>
        </w:rPr>
        <w:t>现场勘测时间：投标人如需现场勘测，须在投标截止日前联系，预约勘测时间。联系时间：202</w:t>
      </w:r>
      <w:r>
        <w:rPr>
          <w:rFonts w:hint="eastAsia" w:ascii="宋体" w:hAnsi="宋体" w:eastAsia="宋体" w:cs="宋体"/>
          <w:szCs w:val="21"/>
          <w:lang w:val="en-US" w:eastAsia="zh-CN"/>
        </w:rPr>
        <w:t>6</w:t>
      </w:r>
      <w:r>
        <w:rPr>
          <w:rFonts w:hint="eastAsia" w:ascii="宋体" w:hAnsi="宋体" w:eastAsia="宋体" w:cs="宋体"/>
          <w:szCs w:val="21"/>
        </w:rPr>
        <w:t>年</w:t>
      </w:r>
      <w:r>
        <w:rPr>
          <w:rFonts w:hint="eastAsia" w:ascii="宋体" w:hAnsi="宋体" w:eastAsia="宋体" w:cs="宋体"/>
          <w:szCs w:val="21"/>
          <w:lang w:val="en-US" w:eastAsia="zh-CN"/>
        </w:rPr>
        <w:t>05</w:t>
      </w:r>
      <w:r>
        <w:rPr>
          <w:rFonts w:hint="eastAsia" w:ascii="宋体" w:hAnsi="宋体" w:eastAsia="宋体" w:cs="宋体"/>
          <w:szCs w:val="21"/>
        </w:rPr>
        <w:t>月</w:t>
      </w:r>
      <w:r>
        <w:rPr>
          <w:rFonts w:hint="eastAsia" w:ascii="宋体" w:hAnsi="宋体" w:eastAsia="宋体" w:cs="宋体"/>
          <w:szCs w:val="21"/>
          <w:lang w:val="en-US" w:eastAsia="zh-CN"/>
        </w:rPr>
        <w:t>20</w:t>
      </w:r>
      <w:r>
        <w:rPr>
          <w:rFonts w:hint="eastAsia" w:ascii="宋体" w:hAnsi="宋体" w:eastAsia="宋体" w:cs="宋体"/>
          <w:szCs w:val="21"/>
        </w:rPr>
        <w:t>日，时间：9:00-11:00。现场踏勘由招标人统一组织，过期不再另行组织。</w:t>
      </w:r>
    </w:p>
    <w:p w14:paraId="5E61AE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ascii="宋体" w:hAnsi="宋体" w:eastAsia="宋体" w:cs="宋体"/>
          <w:szCs w:val="21"/>
        </w:rPr>
        <w:t>2．如投标人未按时现场勘测，则视为已充分了解项目需求。</w:t>
      </w:r>
    </w:p>
    <w:p w14:paraId="019B7B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ascii="宋体" w:hAnsi="宋体" w:eastAsia="宋体" w:cs="宋体"/>
          <w:szCs w:val="21"/>
        </w:rPr>
        <w:t>3．现场勘测联系人：</w:t>
      </w:r>
      <w:r>
        <w:rPr>
          <w:rFonts w:hint="eastAsia" w:ascii="宋体" w:hAnsi="宋体" w:eastAsia="宋体" w:cs="宋体"/>
          <w:szCs w:val="21"/>
        </w:rPr>
        <w:t>周</w:t>
      </w:r>
      <w:r>
        <w:rPr>
          <w:rFonts w:hint="eastAsia" w:ascii="宋体" w:hAnsi="宋体" w:eastAsia="宋体" w:cs="宋体"/>
          <w:szCs w:val="21"/>
          <w:lang w:eastAsia="zh-CN"/>
        </w:rPr>
        <w:t>工</w:t>
      </w:r>
      <w:r>
        <w:rPr>
          <w:rFonts w:ascii="宋体" w:hAnsi="宋体" w:eastAsia="宋体" w:cs="宋体"/>
          <w:szCs w:val="21"/>
        </w:rPr>
        <w:t>；联系电话：025-</w:t>
      </w:r>
      <w:r>
        <w:rPr>
          <w:rFonts w:hint="eastAsia" w:ascii="宋体" w:hAnsi="宋体" w:eastAsia="宋体" w:cs="宋体"/>
          <w:szCs w:val="21"/>
        </w:rPr>
        <w:t>6982</w:t>
      </w:r>
      <w:r>
        <w:rPr>
          <w:rFonts w:hint="eastAsia" w:ascii="宋体" w:hAnsi="宋体" w:eastAsia="宋体" w:cs="宋体"/>
          <w:szCs w:val="21"/>
          <w:lang w:val="en-US" w:eastAsia="zh-CN"/>
        </w:rPr>
        <w:t>1255</w:t>
      </w:r>
      <w:r>
        <w:rPr>
          <w:rFonts w:ascii="宋体" w:hAnsi="宋体" w:eastAsia="宋体" w:cs="宋体"/>
          <w:szCs w:val="21"/>
        </w:rPr>
        <w:t>。</w:t>
      </w:r>
    </w:p>
    <w:p w14:paraId="1FBEAB79">
      <w:pPr>
        <w:spacing w:line="360" w:lineRule="auto"/>
        <w:rPr>
          <w:rFonts w:ascii="宋体" w:hAnsi="宋体" w:eastAsia="宋体" w:cs="宋体"/>
          <w:b/>
          <w:szCs w:val="21"/>
        </w:rPr>
      </w:pPr>
      <w:r>
        <w:rPr>
          <w:rFonts w:hint="eastAsia" w:ascii="宋体" w:hAnsi="宋体" w:eastAsia="宋体" w:cs="宋体"/>
          <w:b/>
          <w:szCs w:val="21"/>
        </w:rPr>
        <w:t>八、投标文件的递交</w:t>
      </w:r>
    </w:p>
    <w:p w14:paraId="19DD3524">
      <w:pPr>
        <w:spacing w:line="360" w:lineRule="auto"/>
        <w:ind w:firstLine="420" w:firstLineChars="200"/>
        <w:rPr>
          <w:rFonts w:ascii="宋体" w:hAnsi="宋体" w:eastAsia="宋体" w:cs="宋体"/>
          <w:szCs w:val="21"/>
        </w:rPr>
      </w:pPr>
      <w:r>
        <w:rPr>
          <w:rFonts w:hint="eastAsia" w:ascii="宋体" w:hAnsi="宋体" w:eastAsia="宋体" w:cs="宋体"/>
          <w:szCs w:val="21"/>
        </w:rPr>
        <w:t>1.投标文件组成：详见附件三</w:t>
      </w:r>
    </w:p>
    <w:p w14:paraId="2E319423">
      <w:pPr>
        <w:spacing w:line="360" w:lineRule="auto"/>
        <w:ind w:firstLine="420" w:firstLineChars="200"/>
        <w:rPr>
          <w:rFonts w:ascii="宋体" w:hAnsi="宋体" w:eastAsia="宋体" w:cs="宋体"/>
          <w:szCs w:val="21"/>
        </w:rPr>
      </w:pPr>
      <w:r>
        <w:rPr>
          <w:rFonts w:hint="eastAsia" w:ascii="宋体" w:hAnsi="宋体" w:eastAsia="宋体" w:cs="宋体"/>
          <w:szCs w:val="21"/>
        </w:rPr>
        <w:t>2.纸质投标文件一式</w:t>
      </w:r>
      <w:r>
        <w:rPr>
          <w:rFonts w:ascii="宋体" w:hAnsi="宋体" w:eastAsia="宋体" w:cs="宋体"/>
          <w:szCs w:val="21"/>
        </w:rPr>
        <w:t>两</w:t>
      </w:r>
      <w:r>
        <w:rPr>
          <w:rFonts w:hint="eastAsia" w:ascii="宋体" w:hAnsi="宋体" w:eastAsia="宋体" w:cs="宋体"/>
          <w:szCs w:val="21"/>
        </w:rPr>
        <w:t>份（正本一份、副本</w:t>
      </w:r>
      <w:r>
        <w:rPr>
          <w:rFonts w:ascii="宋体" w:hAnsi="宋体" w:eastAsia="宋体" w:cs="宋体"/>
          <w:szCs w:val="21"/>
        </w:rPr>
        <w:t>一</w:t>
      </w:r>
      <w:r>
        <w:rPr>
          <w:rFonts w:hint="eastAsia" w:ascii="宋体" w:hAnsi="宋体" w:eastAsia="宋体" w:cs="宋体"/>
          <w:szCs w:val="21"/>
        </w:rPr>
        <w:t>份），并明确标明“正本”和“副本”，正、副本如有不同之处，以正本为准。密封后加盖公章，否则无效；</w:t>
      </w:r>
    </w:p>
    <w:p w14:paraId="4533FFD8">
      <w:pPr>
        <w:spacing w:line="360" w:lineRule="auto"/>
        <w:ind w:firstLine="420" w:firstLineChars="200"/>
        <w:rPr>
          <w:rFonts w:ascii="宋体" w:hAnsi="宋体" w:eastAsia="宋体" w:cs="宋体"/>
          <w:szCs w:val="21"/>
        </w:rPr>
      </w:pPr>
      <w:r>
        <w:rPr>
          <w:rFonts w:hint="eastAsia" w:ascii="宋体" w:hAnsi="宋体" w:eastAsia="宋体" w:cs="宋体"/>
          <w:szCs w:val="21"/>
        </w:rPr>
        <w:t>3.投标人在收到招标文件后，若需答疑，应以书面形式或电子平台申报形式在投标文件的截止时间3天前向招标人提出。</w:t>
      </w:r>
    </w:p>
    <w:p w14:paraId="479ABC0F">
      <w:pPr>
        <w:spacing w:line="360" w:lineRule="auto"/>
        <w:ind w:firstLine="420" w:firstLineChars="200"/>
        <w:rPr>
          <w:rFonts w:ascii="宋体" w:hAnsi="宋体" w:eastAsia="宋体" w:cs="宋体"/>
          <w:szCs w:val="21"/>
        </w:rPr>
      </w:pPr>
      <w:r>
        <w:rPr>
          <w:rFonts w:hint="eastAsia" w:ascii="宋体" w:hAnsi="宋体" w:eastAsia="宋体" w:cs="宋体"/>
          <w:szCs w:val="21"/>
        </w:rPr>
        <w:t>4.递交投标文件的截止时间为 202</w:t>
      </w:r>
      <w:r>
        <w:rPr>
          <w:rFonts w:hint="eastAsia" w:ascii="宋体" w:hAnsi="宋体" w:eastAsia="宋体" w:cs="宋体"/>
          <w:szCs w:val="21"/>
          <w:lang w:val="en-US" w:eastAsia="zh-CN"/>
        </w:rPr>
        <w:t>6</w:t>
      </w:r>
      <w:r>
        <w:rPr>
          <w:rFonts w:hint="eastAsia" w:ascii="宋体" w:hAnsi="宋体" w:eastAsia="宋体" w:cs="宋体"/>
          <w:szCs w:val="21"/>
        </w:rPr>
        <w:t xml:space="preserve"> 年</w:t>
      </w:r>
      <w:r>
        <w:rPr>
          <w:rFonts w:hint="eastAsia" w:ascii="宋体" w:hAnsi="宋体" w:eastAsia="宋体" w:cs="宋体"/>
          <w:szCs w:val="21"/>
          <w:lang w:val="en-US" w:eastAsia="zh-CN"/>
        </w:rPr>
        <w:t>05</w:t>
      </w:r>
      <w:r>
        <w:rPr>
          <w:rFonts w:hint="eastAsia" w:ascii="宋体" w:hAnsi="宋体" w:eastAsia="宋体" w:cs="宋体"/>
          <w:szCs w:val="21"/>
        </w:rPr>
        <w:t>月</w:t>
      </w:r>
      <w:r>
        <w:rPr>
          <w:rFonts w:hint="eastAsia" w:ascii="宋体" w:hAnsi="宋体" w:eastAsia="宋体" w:cs="宋体"/>
          <w:szCs w:val="21"/>
          <w:lang w:val="en-US" w:eastAsia="zh-CN"/>
        </w:rPr>
        <w:t>29</w:t>
      </w:r>
      <w:r>
        <w:rPr>
          <w:rFonts w:hint="eastAsia" w:ascii="宋体" w:hAnsi="宋体" w:eastAsia="宋体" w:cs="宋体"/>
          <w:szCs w:val="21"/>
        </w:rPr>
        <w:t>日15:00 ，超过截止时间的投标文件</w:t>
      </w:r>
      <w:r>
        <w:rPr>
          <w:rFonts w:hint="eastAsia" w:ascii="宋体" w:hAnsi="宋体" w:eastAsia="宋体" w:cs="宋体"/>
          <w:szCs w:val="21"/>
          <w:lang w:eastAsia="zh-CN"/>
        </w:rPr>
        <w:t>将</w:t>
      </w:r>
      <w:r>
        <w:rPr>
          <w:rFonts w:hint="eastAsia" w:ascii="宋体" w:hAnsi="宋体" w:eastAsia="宋体" w:cs="宋体"/>
          <w:szCs w:val="21"/>
        </w:rPr>
        <w:t>被拒绝。</w:t>
      </w:r>
    </w:p>
    <w:p w14:paraId="703F424B">
      <w:pPr>
        <w:spacing w:line="360" w:lineRule="auto"/>
        <w:ind w:firstLine="420" w:firstLineChars="200"/>
        <w:rPr>
          <w:rFonts w:ascii="宋体" w:hAnsi="宋体" w:eastAsia="宋体" w:cs="宋体"/>
          <w:szCs w:val="21"/>
        </w:rPr>
      </w:pPr>
      <w:r>
        <w:rPr>
          <w:rFonts w:hint="eastAsia" w:ascii="宋体" w:hAnsi="宋体" w:eastAsia="宋体" w:cs="宋体"/>
          <w:szCs w:val="21"/>
        </w:rPr>
        <w:t>5.纸质投标文件须在封面注明所投项目名称，密封后由投标人快递（顺丰或EMS）寄至：南京禄口国际机场空港科技有限公司（南京市江宁区天元西路199号</w:t>
      </w:r>
      <w:r>
        <w:rPr>
          <w:rFonts w:hint="eastAsia" w:ascii="宋体" w:hAnsi="宋体" w:eastAsia="宋体" w:cs="宋体"/>
          <w:szCs w:val="21"/>
          <w:lang w:eastAsia="zh-CN"/>
        </w:rPr>
        <w:t>东部机场集团</w:t>
      </w:r>
      <w:r>
        <w:rPr>
          <w:rFonts w:hint="eastAsia" w:ascii="宋体" w:hAnsi="宋体" w:eastAsia="宋体" w:cs="宋体"/>
          <w:szCs w:val="21"/>
          <w:lang w:val="en-US" w:eastAsia="zh-CN"/>
        </w:rPr>
        <w:t>10F</w:t>
      </w:r>
      <w:r>
        <w:rPr>
          <w:rFonts w:ascii="宋体" w:hAnsi="宋体" w:eastAsia="宋体" w:cs="宋体"/>
          <w:szCs w:val="21"/>
        </w:rPr>
        <w:t>或</w:t>
      </w:r>
      <w:r>
        <w:rPr>
          <w:rFonts w:hint="eastAsia" w:ascii="宋体" w:hAnsi="宋体" w:eastAsia="宋体" w:cs="宋体"/>
          <w:szCs w:val="21"/>
        </w:rPr>
        <w:t>投标人现场投递</w:t>
      </w:r>
      <w:r>
        <w:rPr>
          <w:rFonts w:ascii="宋体" w:hAnsi="宋体" w:eastAsia="宋体" w:cs="宋体"/>
          <w:szCs w:val="21"/>
        </w:rPr>
        <w:t>。</w:t>
      </w:r>
    </w:p>
    <w:p w14:paraId="34AA56F4">
      <w:pPr>
        <w:spacing w:line="360" w:lineRule="auto"/>
        <w:ind w:firstLine="420" w:firstLineChars="200"/>
        <w:rPr>
          <w:rFonts w:ascii="宋体" w:hAnsi="宋体" w:eastAsia="宋体" w:cs="宋体"/>
          <w:szCs w:val="21"/>
        </w:rPr>
      </w:pPr>
      <w:r>
        <w:rPr>
          <w:rFonts w:hint="eastAsia" w:ascii="宋体" w:hAnsi="宋体" w:eastAsia="宋体" w:cs="宋体"/>
          <w:szCs w:val="21"/>
        </w:rPr>
        <w:t>6.联系人：</w:t>
      </w:r>
      <w:r>
        <w:rPr>
          <w:rFonts w:ascii="宋体" w:hAnsi="宋体" w:eastAsia="宋体" w:cs="宋体"/>
          <w:szCs w:val="21"/>
        </w:rPr>
        <w:t>周工</w:t>
      </w:r>
      <w:r>
        <w:rPr>
          <w:rFonts w:hint="eastAsia" w:ascii="宋体" w:hAnsi="宋体" w:eastAsia="宋体" w:cs="宋体"/>
          <w:szCs w:val="21"/>
        </w:rPr>
        <w:t>，联系电话：025-6982</w:t>
      </w:r>
      <w:r>
        <w:rPr>
          <w:rFonts w:hint="eastAsia" w:ascii="宋体" w:hAnsi="宋体" w:eastAsia="宋体" w:cs="宋体"/>
          <w:szCs w:val="21"/>
          <w:lang w:val="en-US" w:eastAsia="zh-CN"/>
        </w:rPr>
        <w:t>1255</w:t>
      </w:r>
      <w:r>
        <w:rPr>
          <w:rFonts w:hint="eastAsia" w:ascii="宋体" w:hAnsi="宋体" w:eastAsia="宋体" w:cs="宋体"/>
          <w:szCs w:val="21"/>
        </w:rPr>
        <w:t>。</w:t>
      </w:r>
    </w:p>
    <w:p w14:paraId="754F251A">
      <w:pPr>
        <w:spacing w:line="360" w:lineRule="auto"/>
        <w:ind w:right="-238"/>
        <w:jc w:val="right"/>
        <w:rPr>
          <w:rFonts w:hint="eastAsia" w:ascii="宋体" w:hAnsi="宋体" w:eastAsia="宋体" w:cs="宋体"/>
          <w:szCs w:val="21"/>
        </w:rPr>
      </w:pPr>
      <w:r>
        <w:rPr>
          <w:rFonts w:ascii="宋体" w:hAnsi="宋体" w:eastAsia="宋体" w:cs="宋体"/>
          <w:szCs w:val="21"/>
        </w:rPr>
        <w:t>南京禄口国际机场空港科技</w:t>
      </w:r>
      <w:r>
        <w:rPr>
          <w:rFonts w:hint="eastAsia" w:ascii="宋体" w:hAnsi="宋体" w:eastAsia="宋体" w:cs="宋体"/>
          <w:szCs w:val="21"/>
        </w:rPr>
        <w:t>有限公司</w:t>
      </w:r>
      <w:r>
        <w:rPr>
          <w:rFonts w:ascii="宋体" w:hAnsi="宋体" w:eastAsia="宋体" w:cs="宋体"/>
          <w:szCs w:val="21"/>
        </w:rPr>
        <w:t>工程</w:t>
      </w:r>
      <w:r>
        <w:rPr>
          <w:rFonts w:hint="eastAsia" w:ascii="宋体" w:hAnsi="宋体" w:eastAsia="宋体" w:cs="宋体"/>
          <w:szCs w:val="21"/>
        </w:rPr>
        <w:t>部</w:t>
      </w:r>
    </w:p>
    <w:p w14:paraId="3D0E4539">
      <w:pPr>
        <w:pStyle w:val="2"/>
        <w:sectPr>
          <w:footerReference r:id="rId3" w:type="default"/>
          <w:pgSz w:w="11906" w:h="16838"/>
          <w:pgMar w:top="1246" w:right="1800" w:bottom="1090" w:left="1800" w:header="851" w:footer="992" w:gutter="0"/>
          <w:cols w:space="720" w:num="1"/>
          <w:docGrid w:type="lines" w:linePitch="312" w:charSpace="0"/>
        </w:sectPr>
      </w:pPr>
    </w:p>
    <w:p w14:paraId="07CB5CAB">
      <w:pPr>
        <w:spacing w:line="360" w:lineRule="auto"/>
        <w:jc w:val="both"/>
        <w:rPr>
          <w:rFonts w:hint="eastAsia" w:ascii="宋体" w:hAnsi="宋体" w:cs="宋体"/>
          <w:b/>
          <w:bCs/>
          <w:sz w:val="32"/>
          <w:szCs w:val="32"/>
          <w:highlight w:val="none"/>
        </w:rPr>
      </w:pPr>
    </w:p>
    <w:p w14:paraId="4D0C6743">
      <w:pPr>
        <w:spacing w:line="360" w:lineRule="auto"/>
        <w:rPr>
          <w:rFonts w:hint="eastAsia" w:ascii="宋体" w:hAnsi="宋体" w:cs="宋体"/>
          <w:szCs w:val="21"/>
          <w:highlight w:val="none"/>
        </w:rPr>
      </w:pPr>
      <w:r>
        <w:rPr>
          <w:rFonts w:hint="eastAsia" w:ascii="宋体" w:hAnsi="宋体" w:cs="宋体"/>
          <w:szCs w:val="21"/>
          <w:highlight w:val="none"/>
          <w:lang w:eastAsia="zh-CN"/>
        </w:rPr>
        <w:t>甲</w:t>
      </w:r>
      <w:r>
        <w:rPr>
          <w:rFonts w:hint="eastAsia" w:ascii="宋体" w:hAnsi="宋体" w:cs="宋体"/>
          <w:szCs w:val="21"/>
          <w:highlight w:val="none"/>
        </w:rPr>
        <w:t>方：</w:t>
      </w:r>
      <w:r>
        <w:rPr>
          <w:rFonts w:hint="eastAsia" w:ascii="宋体" w:hAnsi="宋体" w:cs="宋体"/>
          <w:szCs w:val="21"/>
          <w:highlight w:val="none"/>
          <w:u w:val="single"/>
        </w:rPr>
        <w:t>南京禄口国际机场空港科技有限公司</w:t>
      </w:r>
    </w:p>
    <w:p w14:paraId="1FFA2949">
      <w:pPr>
        <w:spacing w:line="360" w:lineRule="auto"/>
        <w:rPr>
          <w:rFonts w:hint="eastAsia" w:ascii="宋体" w:hAnsi="宋体" w:cs="宋体"/>
          <w:szCs w:val="21"/>
          <w:highlight w:val="none"/>
        </w:rPr>
      </w:pPr>
      <w:r>
        <w:rPr>
          <w:rFonts w:hint="eastAsia" w:ascii="宋体" w:hAnsi="宋体" w:cs="宋体"/>
          <w:szCs w:val="21"/>
          <w:highlight w:val="none"/>
        </w:rPr>
        <w:t>乙方：</w:t>
      </w:r>
    </w:p>
    <w:p w14:paraId="52C06D25">
      <w:pPr>
        <w:spacing w:line="360" w:lineRule="auto"/>
        <w:ind w:firstLine="420" w:firstLineChars="200"/>
        <w:rPr>
          <w:rFonts w:hint="eastAsia" w:ascii="宋体" w:hAnsi="宋体" w:cs="宋体"/>
          <w:b/>
          <w:szCs w:val="21"/>
          <w:highlight w:val="none"/>
        </w:rPr>
      </w:pPr>
      <w:r>
        <w:rPr>
          <w:rFonts w:hint="eastAsia" w:ascii="宋体" w:hAnsi="宋体" w:eastAsia="宋体" w:cs="宋体"/>
          <w:b w:val="0"/>
          <w:bCs/>
          <w:color w:val="auto"/>
          <w:kern w:val="0"/>
          <w:sz w:val="21"/>
          <w:szCs w:val="21"/>
          <w:highlight w:val="none"/>
          <w:lang w:bidi="hi-IN"/>
        </w:rPr>
        <w:t>根据《中华人民共和国</w:t>
      </w:r>
      <w:r>
        <w:rPr>
          <w:rFonts w:hint="eastAsia" w:ascii="宋体" w:hAnsi="宋体" w:eastAsia="宋体" w:cs="宋体"/>
          <w:b w:val="0"/>
          <w:bCs/>
          <w:color w:val="auto"/>
          <w:kern w:val="0"/>
          <w:sz w:val="21"/>
          <w:szCs w:val="21"/>
          <w:highlight w:val="none"/>
          <w:lang w:val="en-US" w:eastAsia="zh-CN" w:bidi="hi-IN"/>
        </w:rPr>
        <w:t>民法典</w:t>
      </w:r>
      <w:r>
        <w:rPr>
          <w:rFonts w:hint="eastAsia" w:ascii="宋体" w:hAnsi="宋体" w:eastAsia="宋体" w:cs="宋体"/>
          <w:b w:val="0"/>
          <w:bCs/>
          <w:color w:val="auto"/>
          <w:kern w:val="0"/>
          <w:sz w:val="21"/>
          <w:szCs w:val="21"/>
          <w:highlight w:val="none"/>
          <w:lang w:bidi="hi-IN"/>
        </w:rPr>
        <w:t>》及甲方</w:t>
      </w:r>
      <w:r>
        <w:rPr>
          <w:rFonts w:hint="eastAsia" w:ascii="宋体" w:hAnsi="宋体" w:eastAsia="宋体" w:cs="宋体"/>
          <w:b w:val="0"/>
          <w:bCs/>
          <w:color w:val="auto"/>
          <w:kern w:val="0"/>
          <w:sz w:val="21"/>
          <w:szCs w:val="21"/>
          <w:highlight w:val="none"/>
          <w:lang w:eastAsia="zh-CN" w:bidi="hi-IN"/>
        </w:rPr>
        <w:t>招标文件</w:t>
      </w:r>
      <w:r>
        <w:rPr>
          <w:rFonts w:hint="eastAsia" w:ascii="宋体" w:hAnsi="宋体" w:eastAsia="宋体" w:cs="宋体"/>
          <w:b w:val="0"/>
          <w:bCs/>
          <w:color w:val="auto"/>
          <w:kern w:val="0"/>
          <w:sz w:val="21"/>
          <w:szCs w:val="21"/>
          <w:highlight w:val="none"/>
          <w:lang w:bidi="hi-IN"/>
        </w:rPr>
        <w:t>要求，经甲乙双方协商一致，特签订本合同，具体内容如下：</w:t>
      </w:r>
    </w:p>
    <w:p w14:paraId="39924DAA">
      <w:pPr>
        <w:spacing w:line="360" w:lineRule="auto"/>
        <w:rPr>
          <w:rFonts w:hint="eastAsia" w:ascii="宋体" w:hAnsi="宋体" w:cs="宋体"/>
          <w:b/>
          <w:szCs w:val="21"/>
          <w:highlight w:val="none"/>
        </w:rPr>
      </w:pPr>
      <w:r>
        <w:rPr>
          <w:rFonts w:hint="eastAsia" w:ascii="宋体" w:hAnsi="宋体" w:cs="宋体"/>
          <w:b/>
          <w:szCs w:val="21"/>
          <w:highlight w:val="none"/>
        </w:rPr>
        <w:t>一、项目名称</w:t>
      </w:r>
    </w:p>
    <w:p w14:paraId="5857BBB0">
      <w:pPr>
        <w:spacing w:line="360" w:lineRule="auto"/>
        <w:ind w:firstLine="420" w:firstLineChars="200"/>
        <w:rPr>
          <w:rFonts w:hint="eastAsia" w:ascii="宋体" w:hAnsi="宋体" w:cs="宋体"/>
          <w:szCs w:val="21"/>
          <w:highlight w:val="none"/>
        </w:rPr>
      </w:pPr>
      <w:r>
        <w:rPr>
          <w:rFonts w:hint="eastAsia" w:ascii="宋体" w:hAnsi="宋体" w:eastAsia="宋体" w:cs="宋体"/>
          <w:szCs w:val="21"/>
          <w:highlight w:val="none"/>
        </w:rPr>
        <w:t>南京机场</w:t>
      </w:r>
      <w:r>
        <w:rPr>
          <w:rFonts w:hint="eastAsia" w:ascii="宋体" w:hAnsi="宋体" w:eastAsia="宋体" w:cs="宋体"/>
          <w:szCs w:val="21"/>
          <w:highlight w:val="none"/>
          <w:lang w:val="en-US" w:eastAsia="zh-CN"/>
        </w:rPr>
        <w:t>1号航站楼低压成套配电柜委外保养项目</w:t>
      </w:r>
      <w:r>
        <w:rPr>
          <w:rFonts w:hint="eastAsia" w:ascii="宋体" w:hAnsi="宋体" w:cs="宋体"/>
          <w:szCs w:val="21"/>
          <w:highlight w:val="none"/>
        </w:rPr>
        <w:t>。</w:t>
      </w:r>
    </w:p>
    <w:p w14:paraId="0AEC71A7">
      <w:pPr>
        <w:spacing w:line="360" w:lineRule="auto"/>
        <w:rPr>
          <w:rFonts w:hint="eastAsia" w:ascii="宋体" w:hAnsi="宋体" w:cs="宋体"/>
          <w:b/>
          <w:szCs w:val="21"/>
          <w:highlight w:val="none"/>
        </w:rPr>
      </w:pPr>
      <w:r>
        <w:rPr>
          <w:rFonts w:hint="eastAsia" w:ascii="宋体" w:hAnsi="宋体" w:cs="宋体"/>
          <w:szCs w:val="21"/>
          <w:highlight w:val="none"/>
        </w:rPr>
        <w:t>二、</w:t>
      </w:r>
      <w:r>
        <w:rPr>
          <w:rFonts w:hint="eastAsia" w:ascii="宋体" w:hAnsi="宋体" w:cs="宋体"/>
          <w:b/>
          <w:szCs w:val="21"/>
          <w:highlight w:val="none"/>
        </w:rPr>
        <w:t>项目金额及维保期限</w:t>
      </w:r>
    </w:p>
    <w:p w14:paraId="6200E205">
      <w:pPr>
        <w:spacing w:line="360" w:lineRule="auto"/>
        <w:ind w:firstLine="420" w:firstLineChars="200"/>
        <w:rPr>
          <w:rFonts w:hint="default" w:ascii="宋体" w:hAnsi="宋体" w:eastAsia="宋体" w:cs="宋体"/>
          <w:b w:val="0"/>
          <w:bCs/>
          <w:color w:val="auto"/>
          <w:kern w:val="0"/>
          <w:sz w:val="21"/>
          <w:szCs w:val="21"/>
          <w:highlight w:val="none"/>
          <w:lang w:val="en-US" w:eastAsia="zh-CN" w:bidi="hi-IN"/>
        </w:rPr>
      </w:pPr>
      <w:r>
        <w:rPr>
          <w:rFonts w:hint="eastAsia" w:ascii="宋体" w:hAnsi="宋体" w:eastAsia="宋体" w:cs="宋体"/>
          <w:b w:val="0"/>
          <w:bCs/>
          <w:color w:val="auto"/>
          <w:kern w:val="0"/>
          <w:sz w:val="21"/>
          <w:szCs w:val="21"/>
          <w:highlight w:val="none"/>
          <w:lang w:bidi="hi-IN"/>
        </w:rPr>
        <w:t>本</w:t>
      </w:r>
      <w:r>
        <w:rPr>
          <w:rFonts w:hint="eastAsia" w:ascii="宋体" w:hAnsi="宋体" w:eastAsia="宋体" w:cs="宋体"/>
          <w:b w:val="0"/>
          <w:bCs/>
          <w:color w:val="auto"/>
          <w:kern w:val="0"/>
          <w:sz w:val="21"/>
          <w:szCs w:val="21"/>
          <w:highlight w:val="none"/>
          <w:lang w:eastAsia="zh-CN" w:bidi="hi-IN"/>
        </w:rPr>
        <w:t>项目</w:t>
      </w:r>
      <w:r>
        <w:rPr>
          <w:rFonts w:hint="eastAsia" w:ascii="宋体" w:hAnsi="宋体" w:eastAsia="宋体" w:cs="宋体"/>
          <w:b w:val="0"/>
          <w:bCs/>
          <w:color w:val="auto"/>
          <w:kern w:val="0"/>
          <w:sz w:val="21"/>
          <w:szCs w:val="21"/>
          <w:highlight w:val="none"/>
          <w:lang w:bidi="hi-IN"/>
        </w:rPr>
        <w:t>合同总价为大写人民币</w:t>
      </w:r>
      <w:r>
        <w:rPr>
          <w:rFonts w:hint="eastAsia" w:ascii="宋体" w:hAnsi="宋体" w:eastAsia="宋体" w:cs="宋体"/>
          <w:b w:val="0"/>
          <w:bCs/>
          <w:color w:val="auto"/>
          <w:kern w:val="0"/>
          <w:sz w:val="21"/>
          <w:szCs w:val="21"/>
          <w:highlight w:val="none"/>
          <w:lang w:val="en-US" w:eastAsia="zh-CN" w:bidi="hi-IN"/>
        </w:rPr>
        <w:t xml:space="preserve"> </w:t>
      </w:r>
      <w:r>
        <w:rPr>
          <w:rFonts w:hint="eastAsia" w:ascii="宋体" w:hAnsi="宋体" w:eastAsia="宋体" w:cs="宋体"/>
          <w:b w:val="0"/>
          <w:bCs/>
          <w:color w:val="auto"/>
          <w:kern w:val="0"/>
          <w:sz w:val="21"/>
          <w:szCs w:val="21"/>
          <w:highlight w:val="none"/>
          <w:u w:val="single"/>
          <w:lang w:val="en-US" w:eastAsia="zh-CN" w:bidi="hi-IN"/>
        </w:rPr>
        <w:t xml:space="preserve">         </w:t>
      </w:r>
      <w:r>
        <w:rPr>
          <w:rFonts w:hint="eastAsia" w:ascii="宋体" w:hAnsi="宋体" w:eastAsia="宋体" w:cs="宋体"/>
          <w:b w:val="0"/>
          <w:bCs/>
          <w:color w:val="auto"/>
          <w:kern w:val="0"/>
          <w:sz w:val="21"/>
          <w:szCs w:val="21"/>
          <w:highlight w:val="none"/>
          <w:lang w:eastAsia="zh-CN" w:bidi="hi-IN"/>
        </w:rPr>
        <w:t>元。</w:t>
      </w:r>
      <w:r>
        <w:rPr>
          <w:rFonts w:hint="eastAsia" w:ascii="宋体" w:hAnsi="宋体" w:eastAsia="宋体" w:cs="宋体"/>
          <w:b w:val="0"/>
          <w:bCs/>
          <w:color w:val="auto"/>
          <w:kern w:val="0"/>
          <w:sz w:val="21"/>
          <w:szCs w:val="21"/>
          <w:highlight w:val="none"/>
          <w:lang w:bidi="hi-IN"/>
        </w:rPr>
        <w:t>小写</w:t>
      </w:r>
      <w:r>
        <w:rPr>
          <w:rFonts w:hint="eastAsia" w:ascii="宋体" w:hAnsi="宋体" w:eastAsia="宋体" w:cs="宋体"/>
          <w:b w:val="0"/>
          <w:bCs/>
          <w:color w:val="auto"/>
          <w:kern w:val="0"/>
          <w:sz w:val="21"/>
          <w:szCs w:val="21"/>
          <w:highlight w:val="none"/>
          <w:lang w:val="en-US" w:eastAsia="zh-CN" w:bidi="hi-IN"/>
        </w:rPr>
        <w:t>:¥</w:t>
      </w:r>
      <w:r>
        <w:rPr>
          <w:rFonts w:hint="eastAsia" w:ascii="宋体" w:hAnsi="宋体" w:eastAsia="宋体" w:cs="宋体"/>
          <w:b w:val="0"/>
          <w:bCs/>
          <w:color w:val="auto"/>
          <w:kern w:val="0"/>
          <w:sz w:val="21"/>
          <w:szCs w:val="21"/>
          <w:highlight w:val="none"/>
          <w:u w:val="single"/>
          <w:lang w:val="en-US" w:eastAsia="zh-CN" w:bidi="hi-IN"/>
        </w:rPr>
        <w:t xml:space="preserve">        </w:t>
      </w:r>
      <w:r>
        <w:rPr>
          <w:rFonts w:hint="eastAsia" w:ascii="宋体" w:hAnsi="宋体" w:eastAsia="宋体" w:cs="宋体"/>
          <w:b w:val="0"/>
          <w:bCs/>
          <w:color w:val="auto"/>
          <w:kern w:val="0"/>
          <w:sz w:val="21"/>
          <w:szCs w:val="21"/>
          <w:highlight w:val="none"/>
          <w:lang w:val="en-US" w:eastAsia="zh-CN" w:bidi="hi-IN"/>
        </w:rPr>
        <w:t xml:space="preserve"> 元。</w:t>
      </w:r>
    </w:p>
    <w:p w14:paraId="08C2FF1E">
      <w:pPr>
        <w:spacing w:line="360" w:lineRule="auto"/>
        <w:ind w:firstLine="420" w:firstLineChars="200"/>
        <w:rPr>
          <w:rFonts w:hint="eastAsia" w:ascii="宋体" w:hAnsi="宋体" w:eastAsia="宋体" w:cs="宋体"/>
          <w:b w:val="0"/>
          <w:bCs/>
          <w:color w:val="auto"/>
          <w:kern w:val="0"/>
          <w:sz w:val="21"/>
          <w:szCs w:val="21"/>
          <w:highlight w:val="none"/>
          <w:lang w:bidi="hi-IN"/>
        </w:rPr>
      </w:pPr>
      <w:r>
        <w:rPr>
          <w:rFonts w:hint="eastAsia" w:ascii="宋体" w:hAnsi="宋体" w:eastAsia="宋体" w:cs="宋体"/>
          <w:b w:val="0"/>
          <w:bCs/>
          <w:color w:val="auto"/>
          <w:kern w:val="0"/>
          <w:sz w:val="21"/>
          <w:szCs w:val="21"/>
          <w:highlight w:val="none"/>
          <w:lang w:bidi="hi-IN"/>
        </w:rPr>
        <w:t>上述合同价款已包含增值税，增值税税率为6%,即增值税税额为</w:t>
      </w:r>
      <w:r>
        <w:rPr>
          <w:rFonts w:hint="eastAsia" w:ascii="宋体" w:hAnsi="宋体" w:eastAsia="宋体" w:cs="宋体"/>
          <w:b w:val="0"/>
          <w:bCs/>
          <w:color w:val="auto"/>
          <w:kern w:val="0"/>
          <w:sz w:val="21"/>
          <w:szCs w:val="21"/>
          <w:highlight w:val="none"/>
          <w:lang w:val="en-US" w:eastAsia="zh-CN" w:bidi="hi-IN"/>
        </w:rPr>
        <w:t xml:space="preserve">     </w:t>
      </w:r>
      <w:r>
        <w:rPr>
          <w:rFonts w:hint="eastAsia" w:ascii="宋体" w:hAnsi="宋体" w:eastAsia="宋体" w:cs="宋体"/>
          <w:b w:val="0"/>
          <w:bCs/>
          <w:color w:val="auto"/>
          <w:kern w:val="0"/>
          <w:sz w:val="21"/>
          <w:szCs w:val="21"/>
          <w:highlight w:val="none"/>
          <w:lang w:bidi="hi-IN"/>
        </w:rPr>
        <w:t>元，不含税合同价款为</w:t>
      </w:r>
      <w:r>
        <w:rPr>
          <w:rFonts w:hint="eastAsia" w:ascii="宋体" w:hAnsi="宋体" w:eastAsia="宋体" w:cs="宋体"/>
          <w:b w:val="0"/>
          <w:bCs/>
          <w:color w:val="auto"/>
          <w:kern w:val="0"/>
          <w:sz w:val="21"/>
          <w:szCs w:val="21"/>
          <w:highlight w:val="none"/>
          <w:lang w:val="en-US" w:eastAsia="zh-CN" w:bidi="hi-IN"/>
        </w:rPr>
        <w:t xml:space="preserve">     </w:t>
      </w:r>
      <w:r>
        <w:rPr>
          <w:rFonts w:hint="eastAsia" w:ascii="宋体" w:hAnsi="宋体" w:eastAsia="宋体" w:cs="宋体"/>
          <w:b w:val="0"/>
          <w:bCs/>
          <w:color w:val="auto"/>
          <w:kern w:val="0"/>
          <w:sz w:val="21"/>
          <w:szCs w:val="21"/>
          <w:highlight w:val="none"/>
          <w:lang w:bidi="hi-IN"/>
        </w:rPr>
        <w:t>元。如果国家调整增值税税率，则自新增值税税率执行之日起且本合同项下未开票部分按照新的增值税税率开具发票，不含税合同价款保持不变</w:t>
      </w:r>
      <w:r>
        <w:rPr>
          <w:rFonts w:hint="eastAsia" w:ascii="宋体" w:hAnsi="宋体" w:eastAsia="宋体" w:cs="宋体"/>
          <w:b w:val="0"/>
          <w:bCs/>
          <w:color w:val="auto"/>
          <w:kern w:val="0"/>
          <w:sz w:val="21"/>
          <w:szCs w:val="21"/>
          <w:highlight w:val="none"/>
          <w:lang w:eastAsia="zh-CN" w:bidi="hi-IN"/>
        </w:rPr>
        <w:t>，</w:t>
      </w:r>
      <w:r>
        <w:rPr>
          <w:rFonts w:hint="eastAsia" w:ascii="宋体" w:hAnsi="宋体" w:eastAsia="宋体" w:cs="宋体"/>
          <w:b w:val="0"/>
          <w:bCs/>
          <w:color w:val="auto"/>
          <w:kern w:val="0"/>
          <w:sz w:val="21"/>
          <w:szCs w:val="21"/>
          <w:highlight w:val="none"/>
          <w:lang w:val="en-US" w:eastAsia="zh-CN" w:bidi="hi-IN"/>
        </w:rPr>
        <w:t>本合同采用固定单价形式，按业主要求维保次数结算，未完成的部分扣除罚金后分摊到每次结算</w:t>
      </w:r>
      <w:r>
        <w:rPr>
          <w:rFonts w:hint="eastAsia" w:ascii="宋体" w:hAnsi="宋体" w:eastAsia="宋体" w:cs="宋体"/>
          <w:b w:val="0"/>
          <w:bCs/>
          <w:color w:val="auto"/>
          <w:kern w:val="0"/>
          <w:sz w:val="21"/>
          <w:szCs w:val="21"/>
          <w:highlight w:val="none"/>
          <w:lang w:bidi="hi-IN"/>
        </w:rPr>
        <w:t>。</w:t>
      </w:r>
    </w:p>
    <w:p w14:paraId="18ECAE06">
      <w:pPr>
        <w:spacing w:line="360" w:lineRule="auto"/>
        <w:ind w:firstLine="420" w:firstLineChars="200"/>
        <w:rPr>
          <w:rFonts w:hint="eastAsia" w:ascii="宋体" w:hAnsi="宋体" w:eastAsia="宋体" w:cs="宋体"/>
          <w:b w:val="0"/>
          <w:bCs/>
          <w:color w:val="auto"/>
          <w:kern w:val="0"/>
          <w:sz w:val="21"/>
          <w:szCs w:val="21"/>
          <w:highlight w:val="none"/>
          <w:lang w:bidi="hi-IN"/>
        </w:rPr>
      </w:pPr>
      <w:r>
        <w:rPr>
          <w:rFonts w:hint="eastAsia" w:ascii="宋体" w:hAnsi="宋体" w:eastAsia="宋体" w:cs="宋体"/>
          <w:b w:val="0"/>
          <w:bCs/>
          <w:color w:val="auto"/>
          <w:kern w:val="0"/>
          <w:sz w:val="21"/>
          <w:szCs w:val="21"/>
          <w:highlight w:val="none"/>
          <w:lang w:bidi="hi-IN"/>
        </w:rPr>
        <w:t>本项目保养工期为：按</w:t>
      </w:r>
      <w:r>
        <w:rPr>
          <w:rFonts w:hint="eastAsia" w:ascii="宋体" w:hAnsi="宋体" w:eastAsia="宋体" w:cs="宋体"/>
          <w:b w:val="0"/>
          <w:bCs/>
          <w:color w:val="auto"/>
          <w:kern w:val="0"/>
          <w:sz w:val="21"/>
          <w:szCs w:val="21"/>
          <w:highlight w:val="none"/>
          <w:lang w:eastAsia="zh-CN" w:bidi="hi-IN"/>
        </w:rPr>
        <w:t>禄口机场业主</w:t>
      </w:r>
      <w:r>
        <w:rPr>
          <w:rFonts w:hint="eastAsia" w:ascii="宋体" w:hAnsi="宋体" w:eastAsia="宋体" w:cs="宋体"/>
          <w:b w:val="0"/>
          <w:bCs/>
          <w:color w:val="auto"/>
          <w:kern w:val="0"/>
          <w:sz w:val="21"/>
          <w:szCs w:val="21"/>
          <w:highlight w:val="none"/>
          <w:lang w:bidi="hi-IN"/>
        </w:rPr>
        <w:t>要求完成</w:t>
      </w:r>
      <w:r>
        <w:rPr>
          <w:rFonts w:hint="eastAsia" w:ascii="宋体" w:hAnsi="宋体" w:eastAsia="宋体" w:cs="宋体"/>
          <w:b w:val="0"/>
          <w:bCs/>
          <w:color w:val="auto"/>
          <w:kern w:val="0"/>
          <w:sz w:val="21"/>
          <w:szCs w:val="21"/>
          <w:highlight w:val="none"/>
          <w:lang w:eastAsia="zh-CN" w:bidi="hi-IN"/>
        </w:rPr>
        <w:t>或</w:t>
      </w:r>
      <w:r>
        <w:rPr>
          <w:rFonts w:hint="eastAsia" w:ascii="宋体" w:hAnsi="宋体" w:eastAsia="宋体" w:cs="宋体"/>
          <w:b w:val="0"/>
          <w:bCs/>
          <w:color w:val="auto"/>
          <w:kern w:val="0"/>
          <w:sz w:val="21"/>
          <w:szCs w:val="21"/>
          <w:highlight w:val="none"/>
          <w:lang w:bidi="hi-IN"/>
        </w:rPr>
        <w:t>甲方批准</w:t>
      </w:r>
      <w:r>
        <w:rPr>
          <w:rFonts w:hint="eastAsia" w:ascii="宋体" w:hAnsi="宋体" w:eastAsia="宋体" w:cs="宋体"/>
          <w:b w:val="0"/>
          <w:bCs/>
          <w:color w:val="auto"/>
          <w:kern w:val="0"/>
          <w:sz w:val="21"/>
          <w:szCs w:val="21"/>
          <w:highlight w:val="none"/>
          <w:lang w:eastAsia="zh-CN" w:bidi="hi-IN"/>
        </w:rPr>
        <w:t>之</w:t>
      </w:r>
      <w:r>
        <w:rPr>
          <w:rFonts w:hint="eastAsia" w:ascii="宋体" w:hAnsi="宋体" w:eastAsia="宋体" w:cs="宋体"/>
          <w:b w:val="0"/>
          <w:bCs/>
          <w:color w:val="auto"/>
          <w:kern w:val="0"/>
          <w:sz w:val="21"/>
          <w:szCs w:val="21"/>
          <w:highlight w:val="none"/>
          <w:lang w:bidi="hi-IN"/>
        </w:rPr>
        <w:t>日起</w:t>
      </w:r>
      <w:r>
        <w:rPr>
          <w:rFonts w:hint="eastAsia" w:ascii="宋体" w:hAnsi="宋体" w:eastAsia="宋体" w:cs="宋体"/>
          <w:b w:val="0"/>
          <w:bCs/>
          <w:color w:val="auto"/>
          <w:kern w:val="0"/>
          <w:sz w:val="21"/>
          <w:szCs w:val="21"/>
          <w:highlight w:val="none"/>
          <w:lang w:eastAsia="zh-CN" w:bidi="hi-IN"/>
        </w:rPr>
        <w:t>至</w:t>
      </w:r>
      <w:r>
        <w:rPr>
          <w:rFonts w:hint="eastAsia" w:ascii="宋体" w:hAnsi="宋体" w:eastAsia="宋体" w:cs="宋体"/>
          <w:b w:val="0"/>
          <w:bCs/>
          <w:color w:val="auto"/>
          <w:kern w:val="0"/>
          <w:sz w:val="21"/>
          <w:szCs w:val="21"/>
          <w:highlight w:val="none"/>
          <w:lang w:val="en-US" w:eastAsia="zh-CN" w:bidi="hi-IN"/>
        </w:rPr>
        <w:t>2026年11月15日止</w:t>
      </w:r>
      <w:r>
        <w:rPr>
          <w:rFonts w:hint="eastAsia" w:ascii="宋体" w:hAnsi="宋体" w:eastAsia="宋体" w:cs="宋体"/>
          <w:b w:val="0"/>
          <w:bCs/>
          <w:color w:val="auto"/>
          <w:kern w:val="0"/>
          <w:sz w:val="21"/>
          <w:szCs w:val="21"/>
          <w:highlight w:val="none"/>
          <w:lang w:bidi="hi-IN"/>
        </w:rPr>
        <w:t>。</w:t>
      </w:r>
    </w:p>
    <w:p w14:paraId="2FF2AA57">
      <w:pPr>
        <w:spacing w:line="360" w:lineRule="auto"/>
        <w:rPr>
          <w:rFonts w:hint="eastAsia" w:ascii="宋体" w:hAnsi="宋体" w:cs="宋体"/>
          <w:szCs w:val="21"/>
          <w:highlight w:val="none"/>
        </w:rPr>
      </w:pPr>
      <w:r>
        <w:rPr>
          <w:rFonts w:hint="eastAsia" w:ascii="宋体" w:hAnsi="宋体" w:cs="宋体"/>
          <w:b/>
          <w:szCs w:val="21"/>
          <w:highlight w:val="none"/>
        </w:rPr>
        <w:t>三、项目实施地点：</w:t>
      </w:r>
      <w:r>
        <w:rPr>
          <w:rFonts w:hint="eastAsia" w:ascii="宋体" w:hAnsi="宋体" w:eastAsia="宋体" w:cs="宋体"/>
          <w:b w:val="0"/>
          <w:bCs/>
          <w:color w:val="auto"/>
          <w:kern w:val="0"/>
          <w:sz w:val="21"/>
          <w:szCs w:val="21"/>
          <w:highlight w:val="none"/>
          <w:lang w:eastAsia="zh-CN" w:bidi="hi-IN"/>
        </w:rPr>
        <w:t>该项目实施地点为南京禄口国际机场内。</w:t>
      </w:r>
    </w:p>
    <w:p w14:paraId="580B33B7">
      <w:pPr>
        <w:spacing w:line="360" w:lineRule="auto"/>
        <w:rPr>
          <w:rFonts w:hint="eastAsia" w:ascii="宋体" w:hAnsi="宋体" w:cs="宋体"/>
          <w:b/>
          <w:szCs w:val="21"/>
          <w:highlight w:val="none"/>
        </w:rPr>
      </w:pPr>
      <w:r>
        <w:rPr>
          <w:rFonts w:hint="eastAsia" w:ascii="宋体" w:hAnsi="宋体" w:cs="宋体"/>
          <w:b/>
          <w:szCs w:val="21"/>
          <w:highlight w:val="none"/>
        </w:rPr>
        <w:t>四、项目内容及要求</w:t>
      </w:r>
    </w:p>
    <w:p w14:paraId="5BCD6E18">
      <w:pPr>
        <w:spacing w:line="360" w:lineRule="auto"/>
        <w:ind w:firstLine="420" w:firstLineChars="200"/>
        <w:rPr>
          <w:rFonts w:hint="eastAsia" w:ascii="宋体" w:hAnsi="宋体" w:eastAsia="宋体" w:cs="宋体"/>
          <w:bCs/>
          <w:szCs w:val="21"/>
          <w:highlight w:val="none"/>
          <w:lang w:eastAsia="zh-CN"/>
        </w:rPr>
      </w:pPr>
      <w:r>
        <w:rPr>
          <w:rFonts w:hint="eastAsia" w:ascii="宋体" w:hAnsi="宋体" w:eastAsia="宋体" w:cs="宋体"/>
          <w:bCs/>
          <w:szCs w:val="21"/>
          <w:highlight w:val="none"/>
          <w:lang w:eastAsia="zh-CN"/>
        </w:rPr>
        <w:t>详见附件二。</w:t>
      </w:r>
    </w:p>
    <w:p w14:paraId="09F73DEF">
      <w:pPr>
        <w:spacing w:line="360" w:lineRule="auto"/>
        <w:rPr>
          <w:rFonts w:hint="eastAsia" w:ascii="宋体" w:hAnsi="宋体" w:cs="宋体"/>
          <w:b/>
          <w:szCs w:val="21"/>
          <w:highlight w:val="none"/>
        </w:rPr>
      </w:pPr>
      <w:r>
        <w:rPr>
          <w:rFonts w:hint="eastAsia" w:ascii="宋体" w:hAnsi="宋体" w:cs="宋体"/>
          <w:b/>
          <w:szCs w:val="21"/>
          <w:highlight w:val="none"/>
          <w:lang w:eastAsia="zh-CN"/>
        </w:rPr>
        <w:t>五</w:t>
      </w:r>
      <w:r>
        <w:rPr>
          <w:rFonts w:hint="eastAsia" w:ascii="宋体" w:hAnsi="宋体" w:cs="宋体"/>
          <w:b/>
          <w:szCs w:val="21"/>
          <w:highlight w:val="none"/>
        </w:rPr>
        <w:t>、乙方责任</w:t>
      </w:r>
    </w:p>
    <w:p w14:paraId="0E09122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1.乙方在项目实施过程中，应严格遵守各项安全规定，服从甲方现场管理，因乙方原因造成的任何损失由乙方赔偿。</w:t>
      </w:r>
    </w:p>
    <w:p w14:paraId="037EC6A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2.乙方在项目实施过程中应做好维保人员及设备的安全防护工作。如发生工伤或人身伤害等安全事故</w:t>
      </w:r>
      <w:r>
        <w:rPr>
          <w:rFonts w:hint="eastAsia" w:ascii="宋体" w:hAnsi="宋体" w:eastAsia="宋体" w:cs="宋体"/>
          <w:szCs w:val="21"/>
          <w:highlight w:val="none"/>
          <w:lang w:eastAsia="zh-CN"/>
        </w:rPr>
        <w:t>（不仅限于侵害第三人的人身健康和财产损失）</w:t>
      </w:r>
      <w:r>
        <w:rPr>
          <w:rFonts w:hint="eastAsia" w:ascii="宋体" w:hAnsi="宋体" w:eastAsia="宋体" w:cs="宋体"/>
          <w:szCs w:val="21"/>
          <w:highlight w:val="none"/>
        </w:rPr>
        <w:t>，乙方</w:t>
      </w:r>
      <w:r>
        <w:rPr>
          <w:rFonts w:hint="eastAsia" w:ascii="宋体" w:hAnsi="宋体" w:eastAsia="宋体" w:cs="宋体"/>
          <w:szCs w:val="21"/>
          <w:highlight w:val="none"/>
          <w:lang w:eastAsia="zh-CN"/>
        </w:rPr>
        <w:t>应负全部法律</w:t>
      </w:r>
      <w:r>
        <w:rPr>
          <w:rFonts w:hint="eastAsia" w:ascii="宋体" w:hAnsi="宋体" w:eastAsia="宋体" w:cs="宋体"/>
          <w:szCs w:val="21"/>
          <w:highlight w:val="none"/>
        </w:rPr>
        <w:t>责任</w:t>
      </w:r>
      <w:r>
        <w:rPr>
          <w:rFonts w:hint="eastAsia" w:ascii="宋体" w:hAnsi="宋体" w:eastAsia="宋体" w:cs="宋体"/>
          <w:szCs w:val="21"/>
          <w:highlight w:val="none"/>
          <w:lang w:eastAsia="zh-CN"/>
        </w:rPr>
        <w:t>并赔偿甲方实际损失</w:t>
      </w:r>
      <w:r>
        <w:rPr>
          <w:rFonts w:hint="eastAsia" w:ascii="宋体" w:hAnsi="宋体" w:eastAsia="宋体" w:cs="宋体"/>
          <w:szCs w:val="21"/>
          <w:highlight w:val="none"/>
        </w:rPr>
        <w:t>。</w:t>
      </w:r>
    </w:p>
    <w:p w14:paraId="38697B4F">
      <w:pPr>
        <w:pStyle w:val="2"/>
        <w:ind w:firstLine="420" w:firstLineChars="200"/>
        <w:rPr>
          <w:rFonts w:hint="eastAsia"/>
        </w:rPr>
      </w:pPr>
      <w:r>
        <w:rPr>
          <w:rFonts w:hint="eastAsia" w:ascii="宋体" w:hAnsi="宋体" w:eastAsia="宋体" w:cs="宋体"/>
          <w:szCs w:val="21"/>
          <w:lang w:val="en-US" w:eastAsia="zh-CN"/>
        </w:rPr>
        <w:t>3.乙方应保证至少3名实际维护人员须具有有效的低压电工证并且为施耐德或GE原厂人员且每一次维护保养工作至少有两人参加。</w:t>
      </w:r>
    </w:p>
    <w:p w14:paraId="29649CA8">
      <w:pPr>
        <w:spacing w:line="360" w:lineRule="auto"/>
        <w:rPr>
          <w:rFonts w:hint="eastAsia" w:ascii="宋体" w:hAnsi="宋体" w:cs="宋体"/>
          <w:b/>
          <w:bCs/>
          <w:szCs w:val="21"/>
          <w:highlight w:val="none"/>
          <w:u w:val="single"/>
        </w:rPr>
      </w:pPr>
      <w:r>
        <w:rPr>
          <w:rFonts w:hint="eastAsia" w:ascii="宋体" w:hAnsi="宋体" w:cs="宋体"/>
          <w:b/>
          <w:szCs w:val="21"/>
          <w:highlight w:val="none"/>
          <w:lang w:eastAsia="zh-CN"/>
        </w:rPr>
        <w:t>六</w:t>
      </w:r>
      <w:r>
        <w:rPr>
          <w:rFonts w:hint="eastAsia" w:ascii="宋体" w:hAnsi="宋体" w:cs="宋体"/>
          <w:b/>
          <w:szCs w:val="21"/>
          <w:highlight w:val="none"/>
        </w:rPr>
        <w:t>、甲方责任</w:t>
      </w:r>
    </w:p>
    <w:p w14:paraId="3D4E249C">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1.甲方应安排专人对乙方的维保过程进行监督，做好阶段性考核</w:t>
      </w:r>
    </w:p>
    <w:p w14:paraId="1C924DB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2.甲方在维保过程中应给乙方提供合理的协助，提供良好的维保环境。</w:t>
      </w:r>
    </w:p>
    <w:p w14:paraId="2059D5A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3.甲方在维保过程中应积极主动地配合乙方做好维保现场的安全管理工作。</w:t>
      </w:r>
    </w:p>
    <w:p w14:paraId="51AD240E">
      <w:pPr>
        <w:spacing w:line="360" w:lineRule="auto"/>
        <w:rPr>
          <w:rFonts w:hint="eastAsia" w:ascii="宋体" w:hAnsi="宋体" w:cs="宋体"/>
          <w:b/>
          <w:szCs w:val="21"/>
          <w:highlight w:val="none"/>
          <w:lang w:eastAsia="zh-CN"/>
        </w:rPr>
      </w:pPr>
      <w:r>
        <w:rPr>
          <w:rFonts w:hint="eastAsia" w:ascii="宋体" w:hAnsi="宋体" w:cs="宋体"/>
          <w:b/>
          <w:szCs w:val="21"/>
          <w:highlight w:val="none"/>
          <w:lang w:eastAsia="zh-CN"/>
        </w:rPr>
        <w:t>七、项目验收及付款方式</w:t>
      </w:r>
    </w:p>
    <w:p w14:paraId="6B35B423">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合同签订后，经甲方确认无误，乙方开具合同总价款30%的增值税专票，甲方向乙方支付合同总价款的30%。维修保养工作完成，甲方验收合格后，乙方向甲方提供70%合同总价款的增值税专票，甲方支付65%合同总价款。余款作为质保金（无息），质保期为项目验收合格后一年，质保到期后乙方提供收据，甲方支付合同总价款的5%。</w:t>
      </w:r>
    </w:p>
    <w:p w14:paraId="1033354E">
      <w:pPr>
        <w:spacing w:line="360" w:lineRule="auto"/>
        <w:rPr>
          <w:rFonts w:hint="eastAsia" w:ascii="宋体" w:hAnsi="宋体" w:eastAsia="宋体" w:cs="宋体"/>
          <w:b/>
          <w:szCs w:val="21"/>
          <w:highlight w:val="none"/>
        </w:rPr>
      </w:pPr>
      <w:r>
        <w:rPr>
          <w:rFonts w:hint="eastAsia" w:ascii="宋体" w:hAnsi="宋体" w:eastAsia="宋体" w:cs="宋体"/>
          <w:b/>
          <w:szCs w:val="21"/>
          <w:highlight w:val="none"/>
          <w:lang w:eastAsia="zh-CN"/>
        </w:rPr>
        <w:t>八、</w:t>
      </w:r>
      <w:r>
        <w:rPr>
          <w:rFonts w:hint="eastAsia" w:ascii="宋体" w:hAnsi="宋体" w:eastAsia="宋体" w:cs="宋体"/>
          <w:b/>
          <w:szCs w:val="21"/>
          <w:highlight w:val="none"/>
        </w:rPr>
        <w:t>考核办法</w:t>
      </w:r>
    </w:p>
    <w:p w14:paraId="144D0EC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在维修</w:t>
      </w:r>
      <w:r>
        <w:rPr>
          <w:rFonts w:hint="eastAsia" w:ascii="宋体" w:hAnsi="宋体" w:eastAsia="宋体" w:cs="宋体"/>
          <w:szCs w:val="21"/>
          <w:highlight w:val="none"/>
          <w:lang w:val="en-US" w:eastAsia="zh-CN"/>
        </w:rPr>
        <w:t>保养</w:t>
      </w:r>
      <w:r>
        <w:rPr>
          <w:rFonts w:hint="eastAsia" w:ascii="宋体" w:hAnsi="宋体" w:eastAsia="宋体" w:cs="宋体"/>
          <w:szCs w:val="21"/>
          <w:highlight w:val="none"/>
        </w:rPr>
        <w:t>服务的服务期内，甲方可以根据以下标准对乙方的服务进行考核，相关考核处理费用在合同费用中扣除。本合同内</w:t>
      </w:r>
      <w:r>
        <w:rPr>
          <w:rFonts w:hint="eastAsia" w:ascii="宋体" w:hAnsi="宋体" w:eastAsia="宋体" w:cs="宋体"/>
          <w:szCs w:val="21"/>
          <w:highlight w:val="none"/>
          <w:lang w:eastAsia="zh-CN"/>
        </w:rPr>
        <w:t>考核标准</w:t>
      </w:r>
      <w:r>
        <w:rPr>
          <w:rFonts w:hint="eastAsia" w:ascii="宋体" w:hAnsi="宋体" w:eastAsia="宋体" w:cs="宋体"/>
          <w:szCs w:val="21"/>
          <w:highlight w:val="none"/>
        </w:rPr>
        <w:t>如有约定不一致的情况，按较高</w:t>
      </w:r>
      <w:r>
        <w:rPr>
          <w:rFonts w:hint="eastAsia" w:ascii="宋体" w:hAnsi="宋体" w:eastAsia="宋体" w:cs="宋体"/>
          <w:szCs w:val="21"/>
          <w:highlight w:val="none"/>
          <w:lang w:eastAsia="zh-CN"/>
        </w:rPr>
        <w:t>处罚金额</w:t>
      </w:r>
      <w:r>
        <w:rPr>
          <w:rFonts w:hint="eastAsia" w:ascii="宋体" w:hAnsi="宋体" w:eastAsia="宋体" w:cs="宋体"/>
          <w:szCs w:val="21"/>
          <w:highlight w:val="none"/>
        </w:rPr>
        <w:t>处理。</w:t>
      </w:r>
    </w:p>
    <w:p w14:paraId="3A8DE493">
      <w:pPr>
        <w:spacing w:line="360" w:lineRule="auto"/>
        <w:ind w:firstLine="420" w:firstLineChars="200"/>
        <w:rPr>
          <w:rFonts w:hint="eastAsia" w:ascii="宋体" w:hAnsi="宋体"/>
          <w:b/>
          <w:color w:val="auto"/>
          <w:szCs w:val="21"/>
          <w:highlight w:val="none"/>
        </w:rPr>
      </w:pPr>
      <w:r>
        <w:rPr>
          <w:rFonts w:hint="eastAsia" w:ascii="宋体" w:hAnsi="宋体"/>
          <w:b/>
          <w:color w:val="auto"/>
          <w:szCs w:val="21"/>
          <w:highlight w:val="none"/>
        </w:rPr>
        <w:t>经济考核</w:t>
      </w:r>
    </w:p>
    <w:p w14:paraId="4B180475">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（1）乙方须确保负责设备维护和维修的人员是具有足够现场经验的专业工程师</w:t>
      </w:r>
      <w:r>
        <w:rPr>
          <w:rFonts w:hint="eastAsia" w:ascii="宋体" w:hAnsi="宋体" w:eastAsia="宋体" w:cs="宋体"/>
          <w:szCs w:val="21"/>
          <w:highlight w:val="none"/>
          <w:lang w:eastAsia="zh-CN"/>
        </w:rPr>
        <w:t>（持低压电工证操作）</w:t>
      </w:r>
      <w:r>
        <w:rPr>
          <w:rFonts w:hint="eastAsia" w:ascii="宋体" w:hAnsi="宋体" w:eastAsia="宋体" w:cs="宋体"/>
          <w:szCs w:val="21"/>
          <w:highlight w:val="none"/>
        </w:rPr>
        <w:t>，不得以本场作为新进员工的培训场所，一经发现每次予以人民币1000元的处罚。</w:t>
      </w:r>
    </w:p>
    <w:p w14:paraId="25A93EA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（2）若因乙方工作人员原因造成系统故障导致航班运行受影响，造成的相关投诉、赔偿、公司处罚的，每次予以合同总金额的1</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rPr>
        <w:t>%的处罚。</w:t>
      </w:r>
    </w:p>
    <w:p w14:paraId="37D5B38E">
      <w:pPr>
        <w:spacing w:line="360" w:lineRule="auto"/>
        <w:ind w:firstLine="420" w:firstLineChars="200"/>
        <w:rPr>
          <w:rFonts w:hint="eastAsia" w:ascii="宋体" w:hAnsi="宋体"/>
          <w:color w:val="auto"/>
          <w:szCs w:val="21"/>
          <w:highlight w:val="none"/>
        </w:rPr>
      </w:pPr>
      <w:r>
        <w:rPr>
          <w:rFonts w:hint="eastAsia" w:ascii="宋体" w:hAnsi="宋体" w:eastAsia="宋体" w:cs="宋体"/>
          <w:szCs w:val="21"/>
          <w:highlight w:val="none"/>
        </w:rPr>
        <w:t>（3）若因乙方工作人员原因造成的空防安全事件，造成的民航局处罚、公司处罚的，每次予以合同总金额的1</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%的处罚。</w:t>
      </w:r>
    </w:p>
    <w:p w14:paraId="399FE50F">
      <w:pPr>
        <w:spacing w:line="360" w:lineRule="auto"/>
        <w:rPr>
          <w:rFonts w:hint="eastAsia" w:ascii="宋体" w:hAnsi="宋体" w:cs="宋体"/>
          <w:b/>
          <w:szCs w:val="21"/>
          <w:highlight w:val="none"/>
        </w:rPr>
      </w:pPr>
      <w:r>
        <w:rPr>
          <w:rFonts w:hint="eastAsia" w:ascii="宋体" w:hAnsi="宋体" w:cs="宋体"/>
          <w:b/>
          <w:szCs w:val="21"/>
          <w:highlight w:val="none"/>
        </w:rPr>
        <w:t>九、质保</w:t>
      </w:r>
    </w:p>
    <w:p w14:paraId="615CA59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乙方对维修保养期内提供给甲方的材料质保</w:t>
      </w:r>
      <w:r>
        <w:rPr>
          <w:rFonts w:hint="eastAsia" w:ascii="宋体" w:hAnsi="宋体" w:eastAsia="宋体" w:cs="宋体"/>
          <w:szCs w:val="21"/>
          <w:highlight w:val="none"/>
          <w:lang w:val="en-US" w:eastAsia="zh-CN"/>
        </w:rPr>
        <w:t>1年</w:t>
      </w:r>
      <w:r>
        <w:rPr>
          <w:rFonts w:hint="eastAsia" w:ascii="宋体" w:hAnsi="宋体" w:eastAsia="宋体" w:cs="宋体"/>
          <w:szCs w:val="21"/>
          <w:highlight w:val="none"/>
        </w:rPr>
        <w:t>，质保期内如乙方提供的任何备件或材料有质量问题，须在接到通知后24小时内赶到现场免费更换或维修。</w:t>
      </w:r>
    </w:p>
    <w:p w14:paraId="2A7F3E13">
      <w:pPr>
        <w:spacing w:line="360" w:lineRule="auto"/>
        <w:rPr>
          <w:rFonts w:hint="eastAsia" w:ascii="宋体" w:hAnsi="宋体" w:cs="宋体"/>
          <w:b/>
          <w:szCs w:val="21"/>
          <w:highlight w:val="none"/>
        </w:rPr>
      </w:pPr>
      <w:r>
        <w:rPr>
          <w:rFonts w:hint="eastAsia" w:ascii="宋体" w:hAnsi="宋体" w:cs="宋体"/>
          <w:b/>
          <w:szCs w:val="21"/>
          <w:highlight w:val="none"/>
          <w:lang w:eastAsia="zh-CN"/>
        </w:rPr>
        <w:t>十</w:t>
      </w:r>
      <w:r>
        <w:rPr>
          <w:rFonts w:hint="eastAsia" w:ascii="宋体" w:hAnsi="宋体" w:cs="宋体"/>
          <w:b/>
          <w:szCs w:val="21"/>
          <w:highlight w:val="none"/>
        </w:rPr>
        <w:t>、不可抗力</w:t>
      </w:r>
    </w:p>
    <w:p w14:paraId="14497BE0">
      <w:pPr>
        <w:spacing w:line="360" w:lineRule="auto"/>
        <w:ind w:firstLine="420" w:firstLineChars="200"/>
        <w:rPr>
          <w:rFonts w:hint="eastAsia" w:ascii="宋体" w:hAnsi="宋体" w:eastAsia="宋体" w:cs="宋体"/>
          <w:b w:val="0"/>
          <w:bCs/>
          <w:color w:val="auto"/>
          <w:kern w:val="0"/>
          <w:sz w:val="21"/>
          <w:szCs w:val="21"/>
          <w:highlight w:val="none"/>
          <w:lang w:bidi="hi-IN"/>
        </w:rPr>
      </w:pPr>
      <w:r>
        <w:rPr>
          <w:rFonts w:hint="eastAsia" w:ascii="宋体" w:hAnsi="宋体" w:eastAsia="宋体" w:cs="宋体"/>
          <w:b w:val="0"/>
          <w:bCs/>
          <w:color w:val="auto"/>
          <w:kern w:val="0"/>
          <w:sz w:val="21"/>
          <w:szCs w:val="21"/>
          <w:highlight w:val="none"/>
          <w:lang w:bidi="hi-IN"/>
        </w:rPr>
        <w:t>当事人一方遭受不可抗拒的自然灾害时，可免除其违约责任。但需在不可抗力事件发生后14天内将当地公证机关出具的事件证明文件用特快专递方式提供给对方。之后由双方另行商定合同履行的后续事宜。</w:t>
      </w:r>
    </w:p>
    <w:p w14:paraId="53B45F97">
      <w:pPr>
        <w:spacing w:line="360" w:lineRule="auto"/>
        <w:rPr>
          <w:rFonts w:hint="eastAsia" w:ascii="宋体" w:hAnsi="宋体" w:cs="宋体"/>
          <w:b/>
          <w:szCs w:val="21"/>
          <w:highlight w:val="none"/>
          <w:lang w:eastAsia="zh-CN"/>
        </w:rPr>
      </w:pPr>
      <w:r>
        <w:rPr>
          <w:rFonts w:hint="eastAsia" w:ascii="宋体" w:hAnsi="宋体" w:cs="宋体"/>
          <w:b/>
          <w:szCs w:val="21"/>
          <w:highlight w:val="none"/>
          <w:lang w:eastAsia="zh-CN"/>
        </w:rPr>
        <w:t>十一、合同纠纷解决方式</w:t>
      </w:r>
    </w:p>
    <w:p w14:paraId="40C73305">
      <w:pPr>
        <w:spacing w:line="360" w:lineRule="auto"/>
        <w:ind w:firstLine="420" w:firstLineChars="200"/>
        <w:rPr>
          <w:rFonts w:hint="eastAsia" w:ascii="宋体" w:hAnsi="宋体" w:eastAsia="宋体" w:cs="宋体"/>
          <w:b w:val="0"/>
          <w:bCs/>
          <w:color w:val="auto"/>
          <w:kern w:val="0"/>
          <w:sz w:val="21"/>
          <w:szCs w:val="21"/>
          <w:highlight w:val="none"/>
          <w:lang w:bidi="hi-IN"/>
        </w:rPr>
      </w:pPr>
      <w:r>
        <w:rPr>
          <w:rFonts w:hint="eastAsia" w:ascii="宋体" w:hAnsi="宋体" w:eastAsia="宋体" w:cs="宋体"/>
          <w:b w:val="0"/>
          <w:bCs/>
          <w:color w:val="auto"/>
          <w:kern w:val="0"/>
          <w:sz w:val="21"/>
          <w:szCs w:val="21"/>
          <w:highlight w:val="none"/>
          <w:lang w:bidi="hi-IN"/>
        </w:rPr>
        <w:t>如发生合同纠纷，双方应友好协商解决。协商不能解决的，通过法律程序解决，向甲方所在地法院提起诉讼。</w:t>
      </w:r>
    </w:p>
    <w:p w14:paraId="5199C8B0">
      <w:pPr>
        <w:spacing w:line="360" w:lineRule="auto"/>
        <w:rPr>
          <w:rFonts w:hint="eastAsia" w:ascii="宋体" w:hAnsi="宋体" w:cs="宋体"/>
          <w:b/>
          <w:szCs w:val="21"/>
          <w:highlight w:val="none"/>
        </w:rPr>
      </w:pPr>
      <w:r>
        <w:rPr>
          <w:rFonts w:hint="eastAsia" w:ascii="宋体" w:hAnsi="宋体" w:cs="宋体"/>
          <w:b/>
          <w:szCs w:val="21"/>
          <w:highlight w:val="none"/>
        </w:rPr>
        <w:t>十</w:t>
      </w:r>
      <w:r>
        <w:rPr>
          <w:rFonts w:hint="eastAsia" w:ascii="宋体" w:hAnsi="宋体" w:cs="宋体"/>
          <w:b/>
          <w:szCs w:val="21"/>
          <w:highlight w:val="none"/>
          <w:lang w:eastAsia="zh-CN"/>
        </w:rPr>
        <w:t>二</w:t>
      </w:r>
      <w:r>
        <w:rPr>
          <w:rFonts w:hint="eastAsia" w:ascii="宋体" w:hAnsi="宋体" w:cs="宋体"/>
          <w:b/>
          <w:szCs w:val="21"/>
          <w:highlight w:val="none"/>
        </w:rPr>
        <w:t>、其它内容</w:t>
      </w:r>
    </w:p>
    <w:p w14:paraId="1BDE2011">
      <w:pPr>
        <w:spacing w:line="360" w:lineRule="auto"/>
        <w:ind w:firstLine="420" w:firstLineChars="200"/>
        <w:rPr>
          <w:rFonts w:hint="eastAsia" w:ascii="宋体" w:hAnsi="宋体" w:eastAsia="宋体" w:cs="宋体"/>
          <w:b w:val="0"/>
          <w:bCs/>
          <w:color w:val="auto"/>
          <w:kern w:val="0"/>
          <w:sz w:val="21"/>
          <w:szCs w:val="21"/>
          <w:highlight w:val="none"/>
          <w:lang w:bidi="hi-IN"/>
        </w:rPr>
      </w:pPr>
      <w:r>
        <w:rPr>
          <w:rFonts w:hint="eastAsia" w:ascii="宋体" w:hAnsi="宋体" w:eastAsia="宋体" w:cs="宋体"/>
          <w:b w:val="0"/>
          <w:bCs/>
          <w:color w:val="auto"/>
          <w:kern w:val="0"/>
          <w:sz w:val="21"/>
          <w:szCs w:val="21"/>
          <w:highlight w:val="none"/>
          <w:lang w:bidi="hi-IN"/>
        </w:rPr>
        <w:t>1.本合同一式</w:t>
      </w:r>
      <w:r>
        <w:rPr>
          <w:rFonts w:hint="eastAsia" w:ascii="宋体" w:hAnsi="宋体" w:eastAsia="宋体" w:cs="宋体"/>
          <w:b w:val="0"/>
          <w:bCs/>
          <w:color w:val="auto"/>
          <w:kern w:val="0"/>
          <w:sz w:val="21"/>
          <w:szCs w:val="21"/>
          <w:highlight w:val="none"/>
          <w:lang w:eastAsia="zh-CN" w:bidi="hi-IN"/>
        </w:rPr>
        <w:t>肆</w:t>
      </w:r>
      <w:r>
        <w:rPr>
          <w:rFonts w:hint="eastAsia" w:ascii="宋体" w:hAnsi="宋体" w:eastAsia="宋体" w:cs="宋体"/>
          <w:b w:val="0"/>
          <w:bCs/>
          <w:color w:val="auto"/>
          <w:kern w:val="0"/>
          <w:sz w:val="21"/>
          <w:szCs w:val="21"/>
          <w:highlight w:val="none"/>
          <w:lang w:bidi="hi-IN"/>
        </w:rPr>
        <w:t>份，甲方持</w:t>
      </w:r>
      <w:r>
        <w:rPr>
          <w:rFonts w:hint="eastAsia" w:ascii="宋体" w:hAnsi="宋体" w:eastAsia="宋体" w:cs="宋体"/>
          <w:b w:val="0"/>
          <w:bCs/>
          <w:color w:val="auto"/>
          <w:kern w:val="0"/>
          <w:sz w:val="21"/>
          <w:szCs w:val="21"/>
          <w:highlight w:val="none"/>
          <w:lang w:eastAsia="zh-CN" w:bidi="hi-IN"/>
        </w:rPr>
        <w:t>贰</w:t>
      </w:r>
      <w:r>
        <w:rPr>
          <w:rFonts w:hint="eastAsia" w:ascii="宋体" w:hAnsi="宋体" w:eastAsia="宋体" w:cs="宋体"/>
          <w:b w:val="0"/>
          <w:bCs/>
          <w:color w:val="auto"/>
          <w:kern w:val="0"/>
          <w:sz w:val="21"/>
          <w:szCs w:val="21"/>
          <w:highlight w:val="none"/>
          <w:lang w:bidi="hi-IN"/>
        </w:rPr>
        <w:t>份，乙方持</w:t>
      </w:r>
      <w:r>
        <w:rPr>
          <w:rFonts w:hint="eastAsia" w:ascii="宋体" w:hAnsi="宋体" w:eastAsia="宋体" w:cs="宋体"/>
          <w:b w:val="0"/>
          <w:bCs/>
          <w:color w:val="auto"/>
          <w:kern w:val="0"/>
          <w:sz w:val="21"/>
          <w:szCs w:val="21"/>
          <w:highlight w:val="none"/>
          <w:lang w:eastAsia="zh-CN" w:bidi="hi-IN"/>
        </w:rPr>
        <w:t>贰</w:t>
      </w:r>
      <w:r>
        <w:rPr>
          <w:rFonts w:hint="eastAsia" w:ascii="宋体" w:hAnsi="宋体" w:eastAsia="宋体" w:cs="宋体"/>
          <w:b w:val="0"/>
          <w:bCs/>
          <w:color w:val="auto"/>
          <w:kern w:val="0"/>
          <w:sz w:val="21"/>
          <w:szCs w:val="21"/>
          <w:highlight w:val="none"/>
          <w:lang w:bidi="hi-IN"/>
        </w:rPr>
        <w:t>份，具有同等效力。经双方代表签字并加盖合同章后生效。</w:t>
      </w:r>
    </w:p>
    <w:p w14:paraId="4A9B6FF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w:t>
      </w:r>
      <w:r>
        <w:rPr>
          <w:rFonts w:hint="eastAsia" w:ascii="宋体" w:hAnsi="宋体" w:eastAsia="宋体" w:cs="宋体"/>
          <w:b w:val="0"/>
          <w:bCs/>
          <w:color w:val="auto"/>
          <w:kern w:val="0"/>
          <w:sz w:val="21"/>
          <w:szCs w:val="21"/>
          <w:highlight w:val="none"/>
          <w:lang w:bidi="hi-IN"/>
        </w:rPr>
        <w:t>本合同附件</w:t>
      </w:r>
      <w:r>
        <w:rPr>
          <w:rFonts w:hint="eastAsia" w:ascii="宋体" w:hAnsi="宋体" w:eastAsia="宋体" w:cs="宋体"/>
          <w:b w:val="0"/>
          <w:bCs/>
          <w:color w:val="auto"/>
          <w:kern w:val="0"/>
          <w:sz w:val="21"/>
          <w:szCs w:val="21"/>
          <w:highlight w:val="none"/>
          <w:lang w:eastAsia="zh-CN" w:bidi="hi-IN"/>
        </w:rPr>
        <w:t>（含安全协议、航空安保协议）</w:t>
      </w:r>
      <w:r>
        <w:rPr>
          <w:rFonts w:hint="eastAsia" w:ascii="宋体" w:hAnsi="宋体" w:eastAsia="宋体" w:cs="宋体"/>
          <w:b w:val="0"/>
          <w:bCs/>
          <w:color w:val="auto"/>
          <w:kern w:val="0"/>
          <w:sz w:val="21"/>
          <w:szCs w:val="21"/>
          <w:highlight w:val="none"/>
          <w:lang w:bidi="hi-IN"/>
        </w:rPr>
        <w:t>，本项目招标文件、乙方投标文件等均为本合同不可分割之部分，与本合同具有同等法律效力。若甲方招标文件及乙方投标文件条款与本合同或合同附件产生歧义，以甲方的招标文件为准。</w:t>
      </w:r>
    </w:p>
    <w:p w14:paraId="1CD98B4A">
      <w:pPr>
        <w:spacing w:beforeLines="0" w:afterLines="0" w:line="360" w:lineRule="auto"/>
        <w:ind w:firstLine="420" w:firstLineChars="200"/>
        <w:rPr>
          <w:rFonts w:hint="eastAsia" w:ascii="宋体" w:hAnsi="宋体" w:eastAsia="宋体"/>
          <w:color w:val="auto"/>
          <w:sz w:val="21"/>
          <w:szCs w:val="24"/>
          <w:highlight w:val="none"/>
        </w:rPr>
      </w:pPr>
      <w:r>
        <w:rPr>
          <w:rFonts w:hint="eastAsia" w:ascii="宋体" w:hAnsi="宋体" w:eastAsia="宋体"/>
          <w:color w:val="auto"/>
          <w:sz w:val="21"/>
          <w:szCs w:val="24"/>
          <w:highlight w:val="none"/>
        </w:rPr>
        <w:t>3.若因乙方原因不履行本合同规定的工作，经甲方连续两次书面催告后10个工作日内仍未履行，甲方有权书面通知乙方终止合同。</w:t>
      </w:r>
    </w:p>
    <w:p w14:paraId="1A5C4EE8">
      <w:pPr>
        <w:spacing w:line="360" w:lineRule="auto"/>
        <w:ind w:firstLine="420" w:firstLineChars="200"/>
        <w:rPr>
          <w:rFonts w:hint="eastAsia" w:ascii="宋体" w:hAnsi="宋体" w:eastAsia="宋体" w:cs="宋体"/>
          <w:b w:val="0"/>
          <w:bCs/>
          <w:color w:val="auto"/>
          <w:kern w:val="0"/>
          <w:sz w:val="21"/>
          <w:szCs w:val="21"/>
          <w:highlight w:val="none"/>
          <w:lang w:bidi="hi-IN"/>
        </w:rPr>
      </w:pPr>
      <w:r>
        <w:rPr>
          <w:rFonts w:hint="eastAsia" w:ascii="宋体" w:hAnsi="宋体" w:cs="宋体"/>
          <w:b w:val="0"/>
          <w:bCs/>
          <w:color w:val="auto"/>
          <w:kern w:val="0"/>
          <w:sz w:val="21"/>
          <w:szCs w:val="21"/>
          <w:highlight w:val="none"/>
          <w:lang w:val="en-US" w:eastAsia="zh-CN" w:bidi="hi-IN"/>
        </w:rPr>
        <w:t>4</w:t>
      </w:r>
      <w:r>
        <w:rPr>
          <w:rFonts w:hint="eastAsia" w:ascii="宋体" w:hAnsi="宋体" w:eastAsia="宋体" w:cs="宋体"/>
          <w:b w:val="0"/>
          <w:bCs/>
          <w:color w:val="auto"/>
          <w:kern w:val="0"/>
          <w:sz w:val="21"/>
          <w:szCs w:val="21"/>
          <w:highlight w:val="none"/>
          <w:lang w:val="en-US" w:eastAsia="zh-CN" w:bidi="hi-IN"/>
        </w:rPr>
        <w:t>.</w:t>
      </w:r>
      <w:r>
        <w:rPr>
          <w:rFonts w:hint="eastAsia" w:ascii="宋体" w:hAnsi="宋体" w:eastAsia="宋体" w:cs="宋体"/>
          <w:b w:val="0"/>
          <w:bCs/>
          <w:color w:val="auto"/>
          <w:kern w:val="0"/>
          <w:sz w:val="21"/>
          <w:szCs w:val="21"/>
          <w:highlight w:val="none"/>
          <w:lang w:bidi="hi-IN"/>
        </w:rPr>
        <w:t>本合同载明的地址适用于合同履行及其后可能的诉讼程序，寄送至该地址的书面通知、函件及诉讼文书等，受送达方必须签收，并在签收后3个自然日内将回执寄送给送达方。如受送达方未签收，则留置之日或者邮件退回之日即为送达之日。联系地址变更的，应当书面通知对方，并由对方出具收到该书面通知的回执，变更自回执载明的收到之日起生效，否则变更无效。本合同未载明通讯地址的，以住所地为联系地址。</w:t>
      </w:r>
    </w:p>
    <w:p w14:paraId="33899DF2">
      <w:pPr>
        <w:spacing w:line="360" w:lineRule="auto"/>
        <w:ind w:firstLine="422" w:firstLineChars="200"/>
        <w:rPr>
          <w:rFonts w:hint="default" w:ascii="宋体" w:hAnsi="宋体" w:eastAsia="宋体" w:cs="宋体"/>
          <w:b/>
          <w:bCs w:val="0"/>
          <w:color w:val="auto"/>
          <w:kern w:val="0"/>
          <w:sz w:val="21"/>
          <w:szCs w:val="21"/>
          <w:highlight w:val="none"/>
          <w:lang w:val="en-US" w:eastAsia="zh-CN" w:bidi="hi-IN"/>
        </w:rPr>
      </w:pPr>
      <w:r>
        <w:rPr>
          <w:rFonts w:hint="eastAsia" w:ascii="宋体" w:hAnsi="宋体" w:eastAsia="宋体" w:cs="宋体"/>
          <w:b/>
          <w:bCs w:val="0"/>
          <w:color w:val="auto"/>
          <w:kern w:val="0"/>
          <w:sz w:val="21"/>
          <w:szCs w:val="21"/>
          <w:highlight w:val="none"/>
          <w:lang w:bidi="hi-IN"/>
        </w:rPr>
        <w:t>（以下无正文</w:t>
      </w:r>
      <w:r>
        <w:rPr>
          <w:rFonts w:hint="eastAsia" w:ascii="宋体" w:hAnsi="宋体" w:eastAsia="宋体" w:cs="宋体"/>
          <w:b/>
          <w:bCs w:val="0"/>
          <w:color w:val="auto"/>
          <w:kern w:val="0"/>
          <w:sz w:val="21"/>
          <w:szCs w:val="21"/>
          <w:highlight w:val="none"/>
          <w:lang w:eastAsia="zh-CN" w:bidi="hi-IN"/>
        </w:rPr>
        <w:t>）</w:t>
      </w:r>
    </w:p>
    <w:p w14:paraId="636F4E40">
      <w:pPr>
        <w:spacing w:line="360" w:lineRule="auto"/>
        <w:ind w:firstLine="420" w:firstLineChars="200"/>
        <w:rPr>
          <w:rFonts w:hint="eastAsia" w:ascii="宋体" w:hAnsi="宋体" w:eastAsia="宋体" w:cs="宋体"/>
          <w:color w:val="auto"/>
          <w:szCs w:val="21"/>
          <w:highlight w:val="none"/>
          <w:lang w:val="en-US" w:eastAsia="zh-CN"/>
        </w:rPr>
      </w:pPr>
    </w:p>
    <w:p w14:paraId="553D508C">
      <w:pPr>
        <w:keepNext w:val="0"/>
        <w:keepLines w:val="0"/>
        <w:pageBreakBefore w:val="0"/>
        <w:widowControl w:val="0"/>
        <w:kinsoku/>
        <w:wordWrap/>
        <w:overflowPunct/>
        <w:topLinePunct w:val="0"/>
        <w:autoSpaceDE/>
        <w:autoSpaceDN/>
        <w:bidi w:val="0"/>
        <w:spacing w:line="360" w:lineRule="auto"/>
        <w:ind w:left="210" w:hanging="210" w:hanging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甲方：南京禄口</w:t>
      </w:r>
      <w:r>
        <w:rPr>
          <w:rFonts w:hint="eastAsia" w:ascii="宋体" w:hAnsi="宋体" w:eastAsia="宋体" w:cs="宋体"/>
          <w:color w:val="auto"/>
          <w:sz w:val="21"/>
          <w:szCs w:val="21"/>
          <w:highlight w:val="none"/>
          <w:lang w:eastAsia="zh-CN"/>
        </w:rPr>
        <w:t>国际机场空港科技</w:t>
      </w:r>
      <w:r>
        <w:rPr>
          <w:rFonts w:hint="eastAsia" w:ascii="宋体" w:hAnsi="宋体" w:eastAsia="宋体" w:cs="宋体"/>
          <w:color w:val="auto"/>
          <w:sz w:val="21"/>
          <w:szCs w:val="21"/>
          <w:highlight w:val="none"/>
        </w:rPr>
        <w:t>有限公司</w:t>
      </w:r>
      <w:r>
        <w:rPr>
          <w:rFonts w:hint="eastAsia" w:ascii="宋体" w:hAnsi="宋体" w:eastAsia="宋体" w:cs="宋体"/>
          <w:color w:val="auto"/>
          <w:sz w:val="21"/>
          <w:szCs w:val="21"/>
          <w:highlight w:val="none"/>
          <w:lang w:val="en-US" w:eastAsia="zh-CN"/>
        </w:rPr>
        <w:t xml:space="preserve">                  乙方：（盖章）                                                     </w:t>
      </w:r>
    </w:p>
    <w:p w14:paraId="12145976">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p>
    <w:p w14:paraId="3362247A">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授权委托人（签字）：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授权委托人（签字）：</w:t>
      </w:r>
    </w:p>
    <w:p w14:paraId="52C34E1F">
      <w:pPr>
        <w:pageBreakBefore w:val="0"/>
        <w:widowControl/>
        <w:kinsoku/>
        <w:overflowPunct/>
        <w:topLinePunct w:val="0"/>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地址：南京禄口街道翔鹰二路九号2号楼二楼</w:t>
      </w: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b w:val="0"/>
          <w:bCs w:val="0"/>
          <w:color w:val="auto"/>
          <w:sz w:val="21"/>
          <w:szCs w:val="21"/>
          <w:highlight w:val="none"/>
          <w:lang w:val="en-US" w:eastAsia="zh-CN"/>
        </w:rPr>
        <w:t>地址：</w:t>
      </w:r>
    </w:p>
    <w:p w14:paraId="7A88FD36">
      <w:pPr>
        <w:spacing w:line="360" w:lineRule="auto"/>
        <w:ind w:firstLine="1680" w:firstLineChars="8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年   月   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260C6C47">
      <w:pPr>
        <w:pStyle w:val="2"/>
        <w:rPr>
          <w:highlight w:val="none"/>
        </w:rPr>
      </w:pPr>
    </w:p>
    <w:p w14:paraId="036DC1D9">
      <w:pPr>
        <w:spacing w:line="360" w:lineRule="auto"/>
        <w:rPr>
          <w:rFonts w:hint="eastAsia" w:ascii="宋体" w:hAnsi="Courier New" w:eastAsia="宋体" w:cs="Times New Roman"/>
          <w:b/>
          <w:bCs/>
          <w:kern w:val="2"/>
          <w:sz w:val="21"/>
          <w:szCs w:val="21"/>
          <w:highlight w:val="none"/>
          <w:lang w:val="en-US" w:eastAsia="zh-CN" w:bidi="ar-SA"/>
        </w:rPr>
      </w:pPr>
      <w:r>
        <w:rPr>
          <w:highlight w:val="none"/>
        </w:rPr>
        <w:br w:type="page"/>
      </w:r>
      <w:r>
        <w:rPr>
          <w:rFonts w:hint="eastAsia" w:ascii="宋体" w:hAnsi="Courier New" w:eastAsia="宋体" w:cs="Times New Roman"/>
          <w:b/>
          <w:bCs/>
          <w:kern w:val="2"/>
          <w:sz w:val="21"/>
          <w:szCs w:val="21"/>
          <w:highlight w:val="none"/>
          <w:lang w:val="en-US" w:eastAsia="zh-CN" w:bidi="ar-SA"/>
        </w:rPr>
        <w:t xml:space="preserve">合同附件2 </w:t>
      </w:r>
    </w:p>
    <w:p w14:paraId="64A1A34D">
      <w:pPr>
        <w:spacing w:line="360" w:lineRule="auto"/>
        <w:rPr>
          <w:highlight w:val="none"/>
        </w:rPr>
      </w:pPr>
      <w:r>
        <w:rPr>
          <w:rFonts w:hint="eastAsia" w:ascii="宋体" w:hAnsi="Courier New" w:eastAsia="宋体" w:cs="Times New Roman"/>
          <w:b/>
          <w:bCs/>
          <w:kern w:val="2"/>
          <w:sz w:val="21"/>
          <w:szCs w:val="21"/>
          <w:highlight w:val="none"/>
          <w:lang w:val="en-US" w:eastAsia="zh-CN" w:bidi="ar-SA"/>
        </w:rPr>
        <w:t>项目技术要求</w:t>
      </w:r>
    </w:p>
    <w:p w14:paraId="1C05B3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方正仿宋_GBK" w:cs="宋体"/>
          <w:b/>
          <w:bCs/>
          <w:szCs w:val="21"/>
          <w:highlight w:val="none"/>
        </w:rPr>
      </w:pPr>
      <w:r>
        <w:rPr>
          <w:rFonts w:hint="eastAsia" w:ascii="Times New Roman" w:hAnsi="Times New Roman" w:eastAsia="方正仿宋_GBK" w:cs="宋体"/>
          <w:b/>
          <w:bCs/>
          <w:szCs w:val="21"/>
          <w:highlight w:val="none"/>
          <w:lang w:eastAsia="zh-CN"/>
        </w:rPr>
        <w:t>一、</w:t>
      </w:r>
      <w:r>
        <w:rPr>
          <w:rFonts w:hint="eastAsia" w:ascii="Times New Roman" w:hAnsi="Times New Roman" w:eastAsia="方正仿宋_GBK" w:cs="宋体"/>
          <w:b/>
          <w:bCs/>
          <w:szCs w:val="21"/>
          <w:highlight w:val="none"/>
        </w:rPr>
        <w:t>设备概况</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5"/>
        <w:gridCol w:w="4068"/>
        <w:gridCol w:w="3089"/>
      </w:tblGrid>
      <w:tr w14:paraId="6DF2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5000" w:type="pct"/>
            <w:gridSpan w:val="3"/>
            <w:noWrap w:val="0"/>
            <w:vAlign w:val="center"/>
          </w:tcPr>
          <w:p w14:paraId="2EC2E087">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rPr>
              <w:t>变电所成套配电柜明细表</w:t>
            </w:r>
          </w:p>
        </w:tc>
      </w:tr>
      <w:tr w14:paraId="0514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408" w:type="pct"/>
            <w:noWrap w:val="0"/>
            <w:vAlign w:val="center"/>
          </w:tcPr>
          <w:p w14:paraId="49CCC655">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rPr>
              <w:t>变电所区域编号</w:t>
            </w:r>
          </w:p>
        </w:tc>
        <w:tc>
          <w:tcPr>
            <w:tcW w:w="2042" w:type="pct"/>
            <w:noWrap w:val="0"/>
            <w:vAlign w:val="center"/>
          </w:tcPr>
          <w:p w14:paraId="031A36A1">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rPr>
              <w:t>低压柜编号</w:t>
            </w:r>
          </w:p>
        </w:tc>
        <w:tc>
          <w:tcPr>
            <w:tcW w:w="1549" w:type="pct"/>
            <w:noWrap w:val="0"/>
            <w:vAlign w:val="center"/>
          </w:tcPr>
          <w:p w14:paraId="5ED07C85">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rPr>
              <w:t>数量（列）</w:t>
            </w:r>
          </w:p>
        </w:tc>
      </w:tr>
      <w:tr w14:paraId="5618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408" w:type="pct"/>
            <w:vMerge w:val="restart"/>
            <w:noWrap w:val="0"/>
            <w:vAlign w:val="center"/>
          </w:tcPr>
          <w:p w14:paraId="33D01274">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lang w:val="en-US" w:eastAsia="zh-CN"/>
              </w:rPr>
              <w:t>1#航站楼</w:t>
            </w:r>
            <w:r>
              <w:rPr>
                <w:rFonts w:hint="eastAsia" w:ascii="Times New Roman" w:hAnsi="Times New Roman" w:eastAsia="方正仿宋_GBK" w:cs="宋体"/>
                <w:sz w:val="21"/>
                <w:szCs w:val="21"/>
                <w:highlight w:val="none"/>
              </w:rPr>
              <w:t>1#变电所</w:t>
            </w:r>
          </w:p>
        </w:tc>
        <w:tc>
          <w:tcPr>
            <w:tcW w:w="2042" w:type="pct"/>
            <w:noWrap w:val="0"/>
            <w:vAlign w:val="center"/>
          </w:tcPr>
          <w:p w14:paraId="67DF3040">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lang w:val="en-US" w:eastAsia="zh-CN"/>
              </w:rPr>
              <w:t>11AT1、</w:t>
            </w:r>
            <w:r>
              <w:rPr>
                <w:rFonts w:hint="eastAsia" w:ascii="Times New Roman" w:hAnsi="Times New Roman" w:eastAsia="方正仿宋_GBK" w:cs="宋体"/>
                <w:sz w:val="21"/>
                <w:szCs w:val="21"/>
                <w:highlight w:val="none"/>
              </w:rPr>
              <w:t>1</w:t>
            </w:r>
            <w:r>
              <w:rPr>
                <w:rFonts w:hint="eastAsia" w:ascii="Times New Roman" w:hAnsi="Times New Roman" w:eastAsia="方正仿宋_GBK" w:cs="宋体"/>
                <w:sz w:val="21"/>
                <w:szCs w:val="21"/>
                <w:highlight w:val="none"/>
                <w:lang w:val="en-US" w:eastAsia="zh-CN"/>
              </w:rPr>
              <w:t>1AT</w:t>
            </w:r>
            <w:r>
              <w:rPr>
                <w:rFonts w:hint="eastAsia" w:ascii="Times New Roman" w:hAnsi="Times New Roman" w:eastAsia="方正仿宋_GBK" w:cs="宋体"/>
                <w:sz w:val="21"/>
                <w:szCs w:val="21"/>
                <w:highlight w:val="none"/>
              </w:rPr>
              <w:t>4-1</w:t>
            </w:r>
            <w:r>
              <w:rPr>
                <w:rFonts w:hint="eastAsia" w:ascii="Times New Roman" w:hAnsi="Times New Roman" w:eastAsia="方正仿宋_GBK" w:cs="宋体"/>
                <w:sz w:val="21"/>
                <w:szCs w:val="21"/>
                <w:highlight w:val="none"/>
                <w:lang w:val="en-US" w:eastAsia="zh-CN"/>
              </w:rPr>
              <w:t>1AT7</w:t>
            </w:r>
            <w:r>
              <w:rPr>
                <w:rFonts w:hint="eastAsia" w:ascii="Times New Roman" w:hAnsi="Times New Roman" w:eastAsia="方正仿宋_GBK" w:cs="宋体"/>
                <w:sz w:val="21"/>
                <w:szCs w:val="21"/>
                <w:highlight w:val="none"/>
              </w:rPr>
              <w:t>（Ⅰ段）</w:t>
            </w:r>
          </w:p>
        </w:tc>
        <w:tc>
          <w:tcPr>
            <w:tcW w:w="1549" w:type="pct"/>
            <w:noWrap w:val="0"/>
            <w:vAlign w:val="center"/>
          </w:tcPr>
          <w:p w14:paraId="75B538CE">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5</w:t>
            </w:r>
          </w:p>
        </w:tc>
      </w:tr>
      <w:tr w14:paraId="604E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408" w:type="pct"/>
            <w:vMerge w:val="continue"/>
            <w:noWrap w:val="0"/>
            <w:vAlign w:val="center"/>
          </w:tcPr>
          <w:p w14:paraId="01B35037">
            <w:pPr>
              <w:jc w:val="center"/>
              <w:rPr>
                <w:rFonts w:hint="eastAsia" w:ascii="Times New Roman" w:hAnsi="Times New Roman" w:eastAsia="方正仿宋_GBK" w:cs="宋体"/>
                <w:sz w:val="21"/>
                <w:szCs w:val="21"/>
                <w:highlight w:val="none"/>
              </w:rPr>
            </w:pPr>
          </w:p>
        </w:tc>
        <w:tc>
          <w:tcPr>
            <w:tcW w:w="2042" w:type="pct"/>
            <w:noWrap w:val="0"/>
            <w:vAlign w:val="center"/>
          </w:tcPr>
          <w:p w14:paraId="03763007">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lang w:val="en-US" w:eastAsia="zh-CN"/>
              </w:rPr>
              <w:t>12AT1、</w:t>
            </w:r>
            <w:r>
              <w:rPr>
                <w:rFonts w:hint="eastAsia" w:ascii="Times New Roman" w:hAnsi="Times New Roman" w:eastAsia="方正仿宋_GBK" w:cs="宋体"/>
                <w:sz w:val="21"/>
                <w:szCs w:val="21"/>
                <w:highlight w:val="none"/>
              </w:rPr>
              <w:t>1</w:t>
            </w:r>
            <w:r>
              <w:rPr>
                <w:rFonts w:hint="eastAsia" w:ascii="Times New Roman" w:hAnsi="Times New Roman" w:eastAsia="方正仿宋_GBK" w:cs="宋体"/>
                <w:sz w:val="21"/>
                <w:szCs w:val="21"/>
                <w:highlight w:val="none"/>
                <w:lang w:val="en-US" w:eastAsia="zh-CN"/>
              </w:rPr>
              <w:t>2AT4</w:t>
            </w:r>
            <w:r>
              <w:rPr>
                <w:rFonts w:hint="eastAsia" w:ascii="Times New Roman" w:hAnsi="Times New Roman" w:eastAsia="方正仿宋_GBK" w:cs="宋体"/>
                <w:sz w:val="21"/>
                <w:szCs w:val="21"/>
                <w:highlight w:val="none"/>
              </w:rPr>
              <w:t>-1</w:t>
            </w:r>
            <w:r>
              <w:rPr>
                <w:rFonts w:hint="eastAsia" w:ascii="Times New Roman" w:hAnsi="Times New Roman" w:eastAsia="方正仿宋_GBK" w:cs="宋体"/>
                <w:sz w:val="21"/>
                <w:szCs w:val="21"/>
                <w:highlight w:val="none"/>
                <w:lang w:val="en-US" w:eastAsia="zh-CN"/>
              </w:rPr>
              <w:t>2AT7</w:t>
            </w:r>
            <w:r>
              <w:rPr>
                <w:rFonts w:hint="eastAsia" w:ascii="Times New Roman" w:hAnsi="Times New Roman" w:eastAsia="方正仿宋_GBK" w:cs="宋体"/>
                <w:sz w:val="21"/>
                <w:szCs w:val="21"/>
                <w:highlight w:val="none"/>
              </w:rPr>
              <w:t>（Ⅱ段）</w:t>
            </w:r>
          </w:p>
        </w:tc>
        <w:tc>
          <w:tcPr>
            <w:tcW w:w="1549" w:type="pct"/>
            <w:noWrap w:val="0"/>
            <w:vAlign w:val="center"/>
          </w:tcPr>
          <w:p w14:paraId="2BA090EA">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5</w:t>
            </w:r>
          </w:p>
        </w:tc>
      </w:tr>
      <w:tr w14:paraId="0FD9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408" w:type="pct"/>
            <w:vMerge w:val="continue"/>
            <w:noWrap w:val="0"/>
            <w:vAlign w:val="center"/>
          </w:tcPr>
          <w:p w14:paraId="26D8B8CC">
            <w:pPr>
              <w:jc w:val="center"/>
              <w:rPr>
                <w:rFonts w:hint="eastAsia" w:ascii="Times New Roman" w:hAnsi="Times New Roman" w:eastAsia="方正仿宋_GBK" w:cs="宋体"/>
                <w:sz w:val="21"/>
                <w:szCs w:val="21"/>
                <w:highlight w:val="none"/>
              </w:rPr>
            </w:pPr>
          </w:p>
        </w:tc>
        <w:tc>
          <w:tcPr>
            <w:tcW w:w="2042" w:type="pct"/>
            <w:noWrap w:val="0"/>
            <w:vAlign w:val="center"/>
          </w:tcPr>
          <w:p w14:paraId="4B4FFB21">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13AT1、13AT4-13AT14(Ⅲ段）</w:t>
            </w:r>
          </w:p>
        </w:tc>
        <w:tc>
          <w:tcPr>
            <w:tcW w:w="1549" w:type="pct"/>
            <w:noWrap w:val="0"/>
            <w:vAlign w:val="center"/>
          </w:tcPr>
          <w:p w14:paraId="588F8D08">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12</w:t>
            </w:r>
          </w:p>
        </w:tc>
      </w:tr>
      <w:tr w14:paraId="772E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408" w:type="pct"/>
            <w:vMerge w:val="continue"/>
            <w:noWrap w:val="0"/>
            <w:vAlign w:val="center"/>
          </w:tcPr>
          <w:p w14:paraId="5A87A09E">
            <w:pPr>
              <w:jc w:val="center"/>
              <w:rPr>
                <w:rFonts w:hint="eastAsia" w:ascii="Times New Roman" w:hAnsi="Times New Roman" w:eastAsia="方正仿宋_GBK" w:cs="宋体"/>
                <w:sz w:val="21"/>
                <w:szCs w:val="21"/>
                <w:highlight w:val="none"/>
              </w:rPr>
            </w:pPr>
          </w:p>
        </w:tc>
        <w:tc>
          <w:tcPr>
            <w:tcW w:w="2042" w:type="pct"/>
            <w:noWrap w:val="0"/>
            <w:vAlign w:val="center"/>
          </w:tcPr>
          <w:p w14:paraId="5ADFC42A">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14AT1、14AT4-14AT9(Ⅳ段）</w:t>
            </w:r>
          </w:p>
        </w:tc>
        <w:tc>
          <w:tcPr>
            <w:tcW w:w="1549" w:type="pct"/>
            <w:noWrap w:val="0"/>
            <w:vAlign w:val="center"/>
          </w:tcPr>
          <w:p w14:paraId="1B8E7F18">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7</w:t>
            </w:r>
          </w:p>
        </w:tc>
      </w:tr>
      <w:tr w14:paraId="2F82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408" w:type="pct"/>
            <w:vMerge w:val="continue"/>
            <w:noWrap w:val="0"/>
            <w:vAlign w:val="center"/>
          </w:tcPr>
          <w:p w14:paraId="01D61808">
            <w:pPr>
              <w:jc w:val="center"/>
              <w:rPr>
                <w:rFonts w:hint="eastAsia" w:ascii="Times New Roman" w:hAnsi="Times New Roman" w:eastAsia="方正仿宋_GBK" w:cs="宋体"/>
                <w:sz w:val="21"/>
                <w:szCs w:val="21"/>
                <w:highlight w:val="none"/>
              </w:rPr>
            </w:pPr>
          </w:p>
        </w:tc>
        <w:tc>
          <w:tcPr>
            <w:tcW w:w="2042" w:type="pct"/>
            <w:noWrap w:val="0"/>
            <w:vAlign w:val="center"/>
          </w:tcPr>
          <w:p w14:paraId="627580CD">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lang w:val="en-US" w:eastAsia="zh-CN"/>
              </w:rPr>
              <w:t>1EAT1-1、1EAT1-2、1EAT2-1EAT5、1BAT1-1BAT3、GGDZ1</w:t>
            </w:r>
            <w:r>
              <w:rPr>
                <w:rFonts w:hint="eastAsia" w:ascii="Times New Roman" w:hAnsi="Times New Roman" w:eastAsia="方正仿宋_GBK" w:cs="宋体"/>
                <w:sz w:val="21"/>
                <w:szCs w:val="21"/>
                <w:highlight w:val="none"/>
              </w:rPr>
              <w:t>（应急段）</w:t>
            </w:r>
          </w:p>
        </w:tc>
        <w:tc>
          <w:tcPr>
            <w:tcW w:w="1549" w:type="pct"/>
            <w:noWrap w:val="0"/>
            <w:vAlign w:val="center"/>
          </w:tcPr>
          <w:p w14:paraId="1159C9A2">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10（含1台施耐德WBTPC LEVEL6双电源柜）</w:t>
            </w:r>
          </w:p>
        </w:tc>
      </w:tr>
      <w:tr w14:paraId="3F36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408" w:type="pct"/>
            <w:vMerge w:val="restart"/>
            <w:noWrap w:val="0"/>
            <w:vAlign w:val="center"/>
          </w:tcPr>
          <w:p w14:paraId="59E2F40E">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lang w:val="en-US" w:eastAsia="zh-CN"/>
              </w:rPr>
              <w:t>1#航站楼</w:t>
            </w:r>
            <w:r>
              <w:rPr>
                <w:rFonts w:hint="eastAsia" w:ascii="Times New Roman" w:hAnsi="Times New Roman" w:eastAsia="方正仿宋_GBK" w:cs="宋体"/>
                <w:sz w:val="21"/>
                <w:szCs w:val="21"/>
                <w:highlight w:val="none"/>
              </w:rPr>
              <w:t>2#变电所</w:t>
            </w:r>
          </w:p>
        </w:tc>
        <w:tc>
          <w:tcPr>
            <w:tcW w:w="2042" w:type="pct"/>
            <w:noWrap w:val="0"/>
            <w:vAlign w:val="center"/>
          </w:tcPr>
          <w:p w14:paraId="593D9DC6">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rPr>
              <w:t>21AT1</w:t>
            </w:r>
            <w:r>
              <w:rPr>
                <w:rFonts w:hint="eastAsia" w:ascii="Times New Roman" w:hAnsi="Times New Roman" w:eastAsia="方正仿宋_GBK" w:cs="宋体"/>
                <w:sz w:val="21"/>
                <w:szCs w:val="21"/>
                <w:highlight w:val="none"/>
                <w:lang w:val="en-US" w:eastAsia="zh-CN"/>
              </w:rPr>
              <w:t>、21AT4-21AT7</w:t>
            </w:r>
            <w:r>
              <w:rPr>
                <w:rFonts w:hint="eastAsia" w:ascii="Times New Roman" w:hAnsi="Times New Roman" w:eastAsia="方正仿宋_GBK" w:cs="宋体"/>
                <w:sz w:val="21"/>
                <w:szCs w:val="21"/>
                <w:highlight w:val="none"/>
              </w:rPr>
              <w:t>（Ⅰ段）</w:t>
            </w:r>
          </w:p>
        </w:tc>
        <w:tc>
          <w:tcPr>
            <w:tcW w:w="1549" w:type="pct"/>
            <w:noWrap w:val="0"/>
            <w:vAlign w:val="center"/>
          </w:tcPr>
          <w:p w14:paraId="14D55086">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5</w:t>
            </w:r>
          </w:p>
        </w:tc>
      </w:tr>
      <w:tr w14:paraId="40E5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408" w:type="pct"/>
            <w:vMerge w:val="continue"/>
            <w:noWrap w:val="0"/>
            <w:vAlign w:val="center"/>
          </w:tcPr>
          <w:p w14:paraId="41050052">
            <w:pPr>
              <w:jc w:val="center"/>
              <w:rPr>
                <w:rFonts w:hint="eastAsia" w:ascii="Times New Roman" w:hAnsi="Times New Roman" w:eastAsia="方正仿宋_GBK" w:cs="宋体"/>
                <w:sz w:val="21"/>
                <w:szCs w:val="21"/>
                <w:highlight w:val="none"/>
              </w:rPr>
            </w:pPr>
          </w:p>
        </w:tc>
        <w:tc>
          <w:tcPr>
            <w:tcW w:w="2042" w:type="pct"/>
            <w:noWrap w:val="0"/>
            <w:vAlign w:val="center"/>
          </w:tcPr>
          <w:p w14:paraId="71937EBC">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rPr>
              <w:t>22AT1</w:t>
            </w:r>
            <w:r>
              <w:rPr>
                <w:rFonts w:hint="eastAsia" w:ascii="Times New Roman" w:hAnsi="Times New Roman" w:eastAsia="方正仿宋_GBK" w:cs="宋体"/>
                <w:sz w:val="21"/>
                <w:szCs w:val="21"/>
                <w:highlight w:val="none"/>
                <w:lang w:val="en-US" w:eastAsia="zh-CN"/>
              </w:rPr>
              <w:t>、22AT4-22AT8</w:t>
            </w:r>
            <w:r>
              <w:rPr>
                <w:rFonts w:hint="eastAsia" w:ascii="Times New Roman" w:hAnsi="Times New Roman" w:eastAsia="方正仿宋_GBK" w:cs="宋体"/>
                <w:sz w:val="21"/>
                <w:szCs w:val="21"/>
                <w:highlight w:val="none"/>
              </w:rPr>
              <w:t>（Ⅱ段）</w:t>
            </w:r>
          </w:p>
        </w:tc>
        <w:tc>
          <w:tcPr>
            <w:tcW w:w="1549" w:type="pct"/>
            <w:noWrap w:val="0"/>
            <w:vAlign w:val="center"/>
          </w:tcPr>
          <w:p w14:paraId="30F9C0F2">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6</w:t>
            </w:r>
          </w:p>
        </w:tc>
      </w:tr>
      <w:tr w14:paraId="2094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408" w:type="pct"/>
            <w:vMerge w:val="continue"/>
            <w:noWrap w:val="0"/>
            <w:vAlign w:val="center"/>
          </w:tcPr>
          <w:p w14:paraId="19A7E080">
            <w:pPr>
              <w:jc w:val="center"/>
              <w:rPr>
                <w:rFonts w:hint="eastAsia" w:ascii="Times New Roman" w:hAnsi="Times New Roman" w:eastAsia="方正仿宋_GBK" w:cs="宋体"/>
                <w:sz w:val="21"/>
                <w:szCs w:val="21"/>
                <w:highlight w:val="none"/>
              </w:rPr>
            </w:pPr>
          </w:p>
        </w:tc>
        <w:tc>
          <w:tcPr>
            <w:tcW w:w="2042" w:type="pct"/>
            <w:noWrap w:val="0"/>
            <w:vAlign w:val="center"/>
          </w:tcPr>
          <w:p w14:paraId="666BD4FC">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rPr>
              <w:t>23AT1</w:t>
            </w:r>
            <w:r>
              <w:rPr>
                <w:rFonts w:hint="eastAsia" w:ascii="Times New Roman" w:hAnsi="Times New Roman" w:eastAsia="方正仿宋_GBK" w:cs="宋体"/>
                <w:sz w:val="21"/>
                <w:szCs w:val="21"/>
                <w:highlight w:val="none"/>
                <w:lang w:val="en-US" w:eastAsia="zh-CN"/>
              </w:rPr>
              <w:t>、23AT4-23AT16</w:t>
            </w:r>
            <w:r>
              <w:rPr>
                <w:rFonts w:hint="eastAsia" w:ascii="Times New Roman" w:hAnsi="Times New Roman" w:eastAsia="方正仿宋_GBK" w:cs="宋体"/>
                <w:sz w:val="21"/>
                <w:szCs w:val="21"/>
                <w:highlight w:val="none"/>
              </w:rPr>
              <w:t>（Ⅲ段）</w:t>
            </w:r>
          </w:p>
        </w:tc>
        <w:tc>
          <w:tcPr>
            <w:tcW w:w="1549" w:type="pct"/>
            <w:noWrap w:val="0"/>
            <w:vAlign w:val="center"/>
          </w:tcPr>
          <w:p w14:paraId="7BB009FA">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14</w:t>
            </w:r>
          </w:p>
        </w:tc>
      </w:tr>
      <w:tr w14:paraId="3551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408" w:type="pct"/>
            <w:vMerge w:val="continue"/>
            <w:noWrap w:val="0"/>
            <w:vAlign w:val="center"/>
          </w:tcPr>
          <w:p w14:paraId="5FD55D3A">
            <w:pPr>
              <w:jc w:val="center"/>
              <w:rPr>
                <w:rFonts w:hint="eastAsia" w:ascii="Times New Roman" w:hAnsi="Times New Roman" w:eastAsia="方正仿宋_GBK" w:cs="宋体"/>
                <w:sz w:val="21"/>
                <w:szCs w:val="21"/>
                <w:highlight w:val="none"/>
              </w:rPr>
            </w:pPr>
          </w:p>
        </w:tc>
        <w:tc>
          <w:tcPr>
            <w:tcW w:w="2042" w:type="pct"/>
            <w:noWrap w:val="0"/>
            <w:vAlign w:val="center"/>
          </w:tcPr>
          <w:p w14:paraId="0BDF2CD2">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rPr>
              <w:t>24AT1</w:t>
            </w:r>
            <w:r>
              <w:rPr>
                <w:rFonts w:hint="eastAsia" w:ascii="Times New Roman" w:hAnsi="Times New Roman" w:eastAsia="方正仿宋_GBK" w:cs="宋体"/>
                <w:sz w:val="21"/>
                <w:szCs w:val="21"/>
                <w:highlight w:val="none"/>
                <w:lang w:val="en-US" w:eastAsia="zh-CN"/>
              </w:rPr>
              <w:t>、24AT4-24AT7</w:t>
            </w:r>
            <w:r>
              <w:rPr>
                <w:rFonts w:hint="eastAsia" w:ascii="Times New Roman" w:hAnsi="Times New Roman" w:eastAsia="方正仿宋_GBK" w:cs="宋体"/>
                <w:sz w:val="21"/>
                <w:szCs w:val="21"/>
                <w:highlight w:val="none"/>
              </w:rPr>
              <w:t>（Ⅳ段）</w:t>
            </w:r>
          </w:p>
        </w:tc>
        <w:tc>
          <w:tcPr>
            <w:tcW w:w="1549" w:type="pct"/>
            <w:noWrap w:val="0"/>
            <w:vAlign w:val="center"/>
          </w:tcPr>
          <w:p w14:paraId="51FD17D0">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5</w:t>
            </w:r>
          </w:p>
        </w:tc>
      </w:tr>
      <w:tr w14:paraId="6E21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408" w:type="pct"/>
            <w:vMerge w:val="continue"/>
            <w:noWrap w:val="0"/>
            <w:vAlign w:val="center"/>
          </w:tcPr>
          <w:p w14:paraId="5B7B9B33">
            <w:pPr>
              <w:jc w:val="center"/>
              <w:rPr>
                <w:rFonts w:hint="eastAsia" w:ascii="Times New Roman" w:hAnsi="Times New Roman" w:eastAsia="方正仿宋_GBK" w:cs="宋体"/>
                <w:sz w:val="21"/>
                <w:szCs w:val="21"/>
                <w:highlight w:val="none"/>
              </w:rPr>
            </w:pPr>
          </w:p>
        </w:tc>
        <w:tc>
          <w:tcPr>
            <w:tcW w:w="2042" w:type="pct"/>
            <w:noWrap w:val="0"/>
            <w:vAlign w:val="center"/>
          </w:tcPr>
          <w:p w14:paraId="31FB7EF8">
            <w:pPr>
              <w:keepNext w:val="0"/>
              <w:keepLines w:val="0"/>
              <w:widowControl/>
              <w:suppressLineNumbers w:val="0"/>
              <w:jc w:val="center"/>
              <w:textAlignment w:val="center"/>
              <w:rPr>
                <w:rFonts w:hint="eastAsia" w:ascii="Times New Roman" w:hAnsi="Times New Roman" w:eastAsia="方正仿宋_GBK" w:cs="宋体"/>
                <w:i w:val="0"/>
                <w:iCs w:val="0"/>
                <w:color w:val="000000"/>
                <w:kern w:val="2"/>
                <w:sz w:val="21"/>
                <w:szCs w:val="21"/>
                <w:highlight w:val="none"/>
                <w:u w:val="none"/>
                <w:lang w:val="en-US" w:eastAsia="zh-CN" w:bidi="ar-SA"/>
              </w:rPr>
            </w:pPr>
            <w:r>
              <w:rPr>
                <w:rFonts w:hint="eastAsia" w:ascii="Times New Roman" w:hAnsi="Times New Roman" w:eastAsia="方正仿宋_GBK" w:cs="宋体"/>
                <w:sz w:val="21"/>
                <w:szCs w:val="21"/>
                <w:highlight w:val="none"/>
                <w:lang w:val="en-US" w:eastAsia="zh-CN"/>
              </w:rPr>
              <w:t>2EAT1-1、2EAT1-2、2EAT2-2EAT6、2BAT1-2BAT3</w:t>
            </w:r>
            <w:r>
              <w:rPr>
                <w:rFonts w:hint="eastAsia" w:ascii="Times New Roman" w:hAnsi="Times New Roman" w:eastAsia="方正仿宋_GBK" w:cs="宋体"/>
                <w:sz w:val="21"/>
                <w:szCs w:val="21"/>
                <w:highlight w:val="none"/>
              </w:rPr>
              <w:t>（应急段）</w:t>
            </w:r>
          </w:p>
        </w:tc>
        <w:tc>
          <w:tcPr>
            <w:tcW w:w="1549" w:type="pct"/>
            <w:noWrap w:val="0"/>
            <w:vAlign w:val="center"/>
          </w:tcPr>
          <w:p w14:paraId="211647AF">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lang w:val="en-US" w:eastAsia="zh-CN"/>
              </w:rPr>
              <w:t>10（含1台施耐德WBTPC LEVEL6双电源柜）</w:t>
            </w:r>
          </w:p>
        </w:tc>
      </w:tr>
      <w:tr w14:paraId="58A9B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408" w:type="pct"/>
            <w:vMerge w:val="continue"/>
            <w:noWrap w:val="0"/>
            <w:vAlign w:val="center"/>
          </w:tcPr>
          <w:p w14:paraId="122EA03C">
            <w:pPr>
              <w:jc w:val="center"/>
              <w:rPr>
                <w:rFonts w:hint="eastAsia" w:ascii="Times New Roman" w:hAnsi="Times New Roman" w:eastAsia="方正仿宋_GBK" w:cs="宋体"/>
                <w:sz w:val="21"/>
                <w:szCs w:val="21"/>
                <w:highlight w:val="none"/>
              </w:rPr>
            </w:pPr>
          </w:p>
        </w:tc>
        <w:tc>
          <w:tcPr>
            <w:tcW w:w="2042" w:type="pct"/>
            <w:noWrap w:val="0"/>
            <w:vAlign w:val="center"/>
          </w:tcPr>
          <w:p w14:paraId="20268962">
            <w:pPr>
              <w:keepNext w:val="0"/>
              <w:keepLines w:val="0"/>
              <w:widowControl/>
              <w:suppressLineNumbers w:val="0"/>
              <w:jc w:val="center"/>
              <w:textAlignment w:val="center"/>
              <w:rPr>
                <w:rFonts w:hint="eastAsia" w:ascii="Times New Roman" w:hAnsi="Times New Roman" w:eastAsia="方正仿宋_GBK" w:cs="宋体"/>
                <w:i w:val="0"/>
                <w:iCs w:val="0"/>
                <w:color w:val="000000"/>
                <w:kern w:val="2"/>
                <w:sz w:val="21"/>
                <w:szCs w:val="21"/>
                <w:highlight w:val="none"/>
                <w:u w:val="none"/>
                <w:lang w:val="en-US" w:eastAsia="zh-CN" w:bidi="ar-SA"/>
              </w:rPr>
            </w:pPr>
            <w:r>
              <w:rPr>
                <w:rFonts w:hint="eastAsia" w:ascii="Times New Roman" w:hAnsi="Times New Roman" w:eastAsia="方正仿宋_GBK" w:cs="宋体"/>
                <w:sz w:val="21"/>
                <w:szCs w:val="21"/>
                <w:highlight w:val="none"/>
                <w:lang w:val="en-US" w:eastAsia="zh-CN"/>
              </w:rPr>
              <w:t>25AT1、25AT4-25AT10（Ⅴ）</w:t>
            </w:r>
          </w:p>
        </w:tc>
        <w:tc>
          <w:tcPr>
            <w:tcW w:w="1549" w:type="pct"/>
            <w:noWrap w:val="0"/>
            <w:vAlign w:val="center"/>
          </w:tcPr>
          <w:p w14:paraId="614D8551">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8</w:t>
            </w:r>
          </w:p>
        </w:tc>
      </w:tr>
      <w:tr w14:paraId="73BA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408" w:type="pct"/>
            <w:vMerge w:val="continue"/>
            <w:noWrap w:val="0"/>
            <w:vAlign w:val="center"/>
          </w:tcPr>
          <w:p w14:paraId="3D7D4EF5">
            <w:pPr>
              <w:jc w:val="center"/>
              <w:rPr>
                <w:rFonts w:hint="eastAsia" w:ascii="Times New Roman" w:hAnsi="Times New Roman" w:eastAsia="方正仿宋_GBK" w:cs="宋体"/>
                <w:sz w:val="21"/>
                <w:szCs w:val="21"/>
                <w:highlight w:val="none"/>
              </w:rPr>
            </w:pPr>
          </w:p>
        </w:tc>
        <w:tc>
          <w:tcPr>
            <w:tcW w:w="2042" w:type="pct"/>
            <w:noWrap w:val="0"/>
            <w:vAlign w:val="center"/>
          </w:tcPr>
          <w:p w14:paraId="21B44F6A">
            <w:pPr>
              <w:keepNext w:val="0"/>
              <w:keepLines w:val="0"/>
              <w:widowControl/>
              <w:suppressLineNumbers w:val="0"/>
              <w:jc w:val="center"/>
              <w:textAlignment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26AT1、26AT4-26AT9（Ⅵ）</w:t>
            </w:r>
          </w:p>
        </w:tc>
        <w:tc>
          <w:tcPr>
            <w:tcW w:w="1549" w:type="pct"/>
            <w:noWrap w:val="0"/>
            <w:vAlign w:val="center"/>
          </w:tcPr>
          <w:p w14:paraId="04394C4C">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7</w:t>
            </w:r>
          </w:p>
        </w:tc>
      </w:tr>
      <w:tr w14:paraId="3DC5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408" w:type="pct"/>
            <w:vMerge w:val="restart"/>
            <w:noWrap w:val="0"/>
            <w:vAlign w:val="center"/>
          </w:tcPr>
          <w:p w14:paraId="3C26D1E9">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lang w:val="en-US" w:eastAsia="zh-CN"/>
              </w:rPr>
              <w:t>1#航站楼</w:t>
            </w:r>
            <w:r>
              <w:rPr>
                <w:rFonts w:hint="eastAsia" w:ascii="Times New Roman" w:hAnsi="Times New Roman" w:eastAsia="方正仿宋_GBK" w:cs="宋体"/>
                <w:sz w:val="21"/>
                <w:szCs w:val="21"/>
                <w:highlight w:val="none"/>
              </w:rPr>
              <w:t>3#变电所</w:t>
            </w:r>
          </w:p>
        </w:tc>
        <w:tc>
          <w:tcPr>
            <w:tcW w:w="2042" w:type="pct"/>
            <w:noWrap w:val="0"/>
            <w:vAlign w:val="center"/>
          </w:tcPr>
          <w:p w14:paraId="004F9A5F">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rPr>
              <w:t>31AT1</w:t>
            </w:r>
            <w:r>
              <w:rPr>
                <w:rFonts w:hint="eastAsia" w:ascii="Times New Roman" w:hAnsi="Times New Roman" w:eastAsia="方正仿宋_GBK" w:cs="宋体"/>
                <w:sz w:val="21"/>
                <w:szCs w:val="21"/>
                <w:highlight w:val="none"/>
                <w:lang w:val="en-US" w:eastAsia="zh-CN"/>
              </w:rPr>
              <w:t>、31AT4-31AT15</w:t>
            </w:r>
            <w:r>
              <w:rPr>
                <w:rFonts w:hint="eastAsia" w:ascii="Times New Roman" w:hAnsi="Times New Roman" w:eastAsia="方正仿宋_GBK" w:cs="宋体"/>
                <w:sz w:val="21"/>
                <w:szCs w:val="21"/>
                <w:highlight w:val="none"/>
              </w:rPr>
              <w:t>（Ⅰ段）</w:t>
            </w:r>
          </w:p>
        </w:tc>
        <w:tc>
          <w:tcPr>
            <w:tcW w:w="1549" w:type="pct"/>
            <w:noWrap w:val="0"/>
            <w:vAlign w:val="center"/>
          </w:tcPr>
          <w:p w14:paraId="2957DC6E">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rPr>
              <w:t>1</w:t>
            </w:r>
            <w:r>
              <w:rPr>
                <w:rFonts w:hint="eastAsia" w:ascii="Times New Roman" w:hAnsi="Times New Roman" w:eastAsia="方正仿宋_GBK" w:cs="宋体"/>
                <w:sz w:val="21"/>
                <w:szCs w:val="21"/>
                <w:highlight w:val="none"/>
                <w:lang w:val="en-US" w:eastAsia="zh-CN"/>
              </w:rPr>
              <w:t>3</w:t>
            </w:r>
          </w:p>
        </w:tc>
      </w:tr>
      <w:tr w14:paraId="793D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408" w:type="pct"/>
            <w:vMerge w:val="continue"/>
            <w:noWrap w:val="0"/>
            <w:vAlign w:val="center"/>
          </w:tcPr>
          <w:p w14:paraId="1006E915">
            <w:pPr>
              <w:jc w:val="center"/>
              <w:rPr>
                <w:rFonts w:hint="eastAsia" w:ascii="Times New Roman" w:hAnsi="Times New Roman" w:eastAsia="方正仿宋_GBK" w:cs="宋体"/>
                <w:sz w:val="21"/>
                <w:szCs w:val="21"/>
                <w:highlight w:val="none"/>
              </w:rPr>
            </w:pPr>
          </w:p>
        </w:tc>
        <w:tc>
          <w:tcPr>
            <w:tcW w:w="2042" w:type="pct"/>
            <w:noWrap w:val="0"/>
            <w:vAlign w:val="center"/>
          </w:tcPr>
          <w:p w14:paraId="73AC586F">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rPr>
              <w:t>32AT1</w:t>
            </w:r>
            <w:r>
              <w:rPr>
                <w:rFonts w:hint="eastAsia" w:ascii="Times New Roman" w:hAnsi="Times New Roman" w:eastAsia="方正仿宋_GBK" w:cs="宋体"/>
                <w:sz w:val="21"/>
                <w:szCs w:val="21"/>
                <w:highlight w:val="none"/>
                <w:lang w:val="en-US" w:eastAsia="zh-CN"/>
              </w:rPr>
              <w:t>、32AT4-32AT9</w:t>
            </w:r>
            <w:r>
              <w:rPr>
                <w:rFonts w:hint="eastAsia" w:ascii="Times New Roman" w:hAnsi="Times New Roman" w:eastAsia="方正仿宋_GBK" w:cs="宋体"/>
                <w:sz w:val="21"/>
                <w:szCs w:val="21"/>
                <w:highlight w:val="none"/>
              </w:rPr>
              <w:t>（Ⅱ段）</w:t>
            </w:r>
          </w:p>
        </w:tc>
        <w:tc>
          <w:tcPr>
            <w:tcW w:w="1549" w:type="pct"/>
            <w:noWrap w:val="0"/>
            <w:vAlign w:val="center"/>
          </w:tcPr>
          <w:p w14:paraId="0FAEDBF3">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7</w:t>
            </w:r>
          </w:p>
        </w:tc>
      </w:tr>
      <w:tr w14:paraId="44FF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408" w:type="pct"/>
            <w:vMerge w:val="continue"/>
            <w:noWrap w:val="0"/>
            <w:vAlign w:val="center"/>
          </w:tcPr>
          <w:p w14:paraId="6CA0C7B4">
            <w:pPr>
              <w:jc w:val="center"/>
              <w:rPr>
                <w:rFonts w:hint="eastAsia" w:ascii="Times New Roman" w:hAnsi="Times New Roman" w:eastAsia="方正仿宋_GBK" w:cs="宋体"/>
                <w:sz w:val="21"/>
                <w:szCs w:val="21"/>
                <w:highlight w:val="none"/>
              </w:rPr>
            </w:pPr>
          </w:p>
        </w:tc>
        <w:tc>
          <w:tcPr>
            <w:tcW w:w="2042" w:type="pct"/>
            <w:noWrap w:val="0"/>
            <w:vAlign w:val="center"/>
          </w:tcPr>
          <w:p w14:paraId="2EDE11A9">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rPr>
              <w:t>3EAT1-1</w:t>
            </w:r>
            <w:r>
              <w:rPr>
                <w:rFonts w:hint="eastAsia" w:ascii="Times New Roman" w:hAnsi="Times New Roman" w:eastAsia="方正仿宋_GBK" w:cs="宋体"/>
                <w:sz w:val="21"/>
                <w:szCs w:val="21"/>
                <w:highlight w:val="none"/>
                <w:lang w:val="en-US" w:eastAsia="zh-CN"/>
              </w:rPr>
              <w:t>、3EAT1-2、3EAT2-3EAT4、 3BAT1、3BAT2、GGDZ2、GGDZ3</w:t>
            </w:r>
            <w:r>
              <w:rPr>
                <w:rFonts w:hint="eastAsia" w:ascii="Times New Roman" w:hAnsi="Times New Roman" w:eastAsia="方正仿宋_GBK" w:cs="宋体"/>
                <w:sz w:val="21"/>
                <w:szCs w:val="21"/>
                <w:highlight w:val="none"/>
              </w:rPr>
              <w:t>（应急段）</w:t>
            </w:r>
          </w:p>
        </w:tc>
        <w:tc>
          <w:tcPr>
            <w:tcW w:w="1549" w:type="pct"/>
            <w:noWrap w:val="0"/>
            <w:vAlign w:val="center"/>
          </w:tcPr>
          <w:p w14:paraId="5A6A10BF">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lang w:val="en-US" w:eastAsia="zh-CN"/>
              </w:rPr>
              <w:t>9（含1台施耐德WBTPC LEVEL6双电源柜）</w:t>
            </w:r>
          </w:p>
        </w:tc>
      </w:tr>
      <w:tr w14:paraId="016C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408" w:type="pct"/>
            <w:vMerge w:val="continue"/>
            <w:noWrap w:val="0"/>
            <w:vAlign w:val="center"/>
          </w:tcPr>
          <w:p w14:paraId="58025EDF">
            <w:pPr>
              <w:jc w:val="center"/>
              <w:rPr>
                <w:rFonts w:hint="eastAsia" w:ascii="Times New Roman" w:hAnsi="Times New Roman" w:eastAsia="方正仿宋_GBK" w:cs="宋体"/>
                <w:sz w:val="21"/>
                <w:szCs w:val="21"/>
                <w:highlight w:val="none"/>
              </w:rPr>
            </w:pPr>
          </w:p>
        </w:tc>
        <w:tc>
          <w:tcPr>
            <w:tcW w:w="2042" w:type="pct"/>
            <w:noWrap w:val="0"/>
            <w:vAlign w:val="center"/>
          </w:tcPr>
          <w:p w14:paraId="35F83DAF">
            <w:pPr>
              <w:jc w:val="center"/>
              <w:rPr>
                <w:rFonts w:hint="eastAsia" w:ascii="Times New Roman" w:hAnsi="Times New Roman" w:eastAsia="方正仿宋_GBK" w:cs="宋体"/>
                <w:sz w:val="21"/>
                <w:szCs w:val="21"/>
                <w:highlight w:val="none"/>
                <w:lang w:val="en-US"/>
              </w:rPr>
            </w:pPr>
            <w:r>
              <w:rPr>
                <w:rFonts w:hint="eastAsia" w:ascii="Times New Roman" w:hAnsi="Times New Roman" w:eastAsia="方正仿宋_GBK" w:cs="宋体"/>
                <w:sz w:val="21"/>
                <w:szCs w:val="21"/>
                <w:highlight w:val="none"/>
                <w:lang w:val="en-US" w:eastAsia="zh-CN"/>
              </w:rPr>
              <w:t>33AT1、33AT4-33AT10（Ⅲ）</w:t>
            </w:r>
          </w:p>
        </w:tc>
        <w:tc>
          <w:tcPr>
            <w:tcW w:w="1549" w:type="pct"/>
            <w:noWrap w:val="0"/>
            <w:vAlign w:val="center"/>
          </w:tcPr>
          <w:p w14:paraId="0F010B85">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8</w:t>
            </w:r>
          </w:p>
        </w:tc>
      </w:tr>
      <w:tr w14:paraId="5F3D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408" w:type="pct"/>
            <w:vMerge w:val="continue"/>
            <w:noWrap w:val="0"/>
            <w:vAlign w:val="center"/>
          </w:tcPr>
          <w:p w14:paraId="2530F0FB">
            <w:pPr>
              <w:jc w:val="center"/>
              <w:rPr>
                <w:rFonts w:hint="eastAsia" w:ascii="Times New Roman" w:hAnsi="Times New Roman" w:eastAsia="方正仿宋_GBK" w:cs="宋体"/>
                <w:sz w:val="21"/>
                <w:szCs w:val="21"/>
                <w:highlight w:val="none"/>
              </w:rPr>
            </w:pPr>
          </w:p>
        </w:tc>
        <w:tc>
          <w:tcPr>
            <w:tcW w:w="2042" w:type="pct"/>
            <w:noWrap w:val="0"/>
            <w:vAlign w:val="center"/>
          </w:tcPr>
          <w:p w14:paraId="6BAE1018">
            <w:pPr>
              <w:jc w:val="center"/>
              <w:rPr>
                <w:rFonts w:hint="eastAsia" w:ascii="Times New Roman" w:hAnsi="Times New Roman" w:eastAsia="方正仿宋_GBK" w:cs="宋体"/>
                <w:sz w:val="21"/>
                <w:szCs w:val="21"/>
                <w:highlight w:val="none"/>
                <w:lang w:val="en-US"/>
              </w:rPr>
            </w:pPr>
            <w:r>
              <w:rPr>
                <w:rFonts w:hint="eastAsia" w:ascii="Times New Roman" w:hAnsi="Times New Roman" w:eastAsia="方正仿宋_GBK" w:cs="宋体"/>
                <w:sz w:val="21"/>
                <w:szCs w:val="21"/>
                <w:highlight w:val="none"/>
              </w:rPr>
              <w:t>34AT1</w:t>
            </w:r>
            <w:r>
              <w:rPr>
                <w:rFonts w:hint="eastAsia" w:ascii="Times New Roman" w:hAnsi="Times New Roman" w:eastAsia="方正仿宋_GBK" w:cs="宋体"/>
                <w:sz w:val="21"/>
                <w:szCs w:val="21"/>
                <w:highlight w:val="none"/>
                <w:lang w:val="en-US" w:eastAsia="zh-CN"/>
              </w:rPr>
              <w:t>、34AT4-34AT10（Ⅳ）</w:t>
            </w:r>
          </w:p>
        </w:tc>
        <w:tc>
          <w:tcPr>
            <w:tcW w:w="1549" w:type="pct"/>
            <w:noWrap w:val="0"/>
            <w:vAlign w:val="center"/>
          </w:tcPr>
          <w:p w14:paraId="2B4F4777">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8</w:t>
            </w:r>
          </w:p>
        </w:tc>
      </w:tr>
      <w:tr w14:paraId="2B85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408" w:type="pct"/>
            <w:vMerge w:val="restart"/>
            <w:noWrap w:val="0"/>
            <w:vAlign w:val="center"/>
          </w:tcPr>
          <w:p w14:paraId="5BB75EF7">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lang w:val="en-US" w:eastAsia="zh-CN"/>
              </w:rPr>
              <w:t>1#航站楼</w:t>
            </w:r>
            <w:r>
              <w:rPr>
                <w:rFonts w:hint="eastAsia" w:ascii="Times New Roman" w:hAnsi="Times New Roman" w:eastAsia="方正仿宋_GBK" w:cs="宋体"/>
                <w:sz w:val="21"/>
                <w:szCs w:val="21"/>
                <w:highlight w:val="none"/>
              </w:rPr>
              <w:t>4#变电所</w:t>
            </w:r>
          </w:p>
        </w:tc>
        <w:tc>
          <w:tcPr>
            <w:tcW w:w="2042" w:type="pct"/>
            <w:noWrap w:val="0"/>
            <w:vAlign w:val="center"/>
          </w:tcPr>
          <w:p w14:paraId="4C6D1E1D">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rPr>
              <w:t>41AT1</w:t>
            </w:r>
            <w:r>
              <w:rPr>
                <w:rFonts w:hint="eastAsia" w:ascii="Times New Roman" w:hAnsi="Times New Roman" w:eastAsia="方正仿宋_GBK" w:cs="宋体"/>
                <w:sz w:val="21"/>
                <w:szCs w:val="21"/>
                <w:highlight w:val="none"/>
                <w:lang w:val="en-US" w:eastAsia="zh-CN"/>
              </w:rPr>
              <w:t>、41AT4-41AT16</w:t>
            </w:r>
            <w:r>
              <w:rPr>
                <w:rFonts w:hint="eastAsia" w:ascii="Times New Roman" w:hAnsi="Times New Roman" w:eastAsia="方正仿宋_GBK" w:cs="宋体"/>
                <w:sz w:val="21"/>
                <w:szCs w:val="21"/>
                <w:highlight w:val="none"/>
              </w:rPr>
              <w:t>（Ⅰ段）</w:t>
            </w:r>
          </w:p>
        </w:tc>
        <w:tc>
          <w:tcPr>
            <w:tcW w:w="1549" w:type="pct"/>
            <w:noWrap w:val="0"/>
            <w:vAlign w:val="center"/>
          </w:tcPr>
          <w:p w14:paraId="5AFE667F">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14</w:t>
            </w:r>
          </w:p>
        </w:tc>
      </w:tr>
      <w:tr w14:paraId="6F80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408" w:type="pct"/>
            <w:vMerge w:val="continue"/>
            <w:noWrap w:val="0"/>
            <w:vAlign w:val="center"/>
          </w:tcPr>
          <w:p w14:paraId="275F678D">
            <w:pPr>
              <w:jc w:val="center"/>
              <w:rPr>
                <w:rFonts w:hint="eastAsia" w:ascii="Times New Roman" w:hAnsi="Times New Roman" w:eastAsia="方正仿宋_GBK" w:cs="宋体"/>
                <w:sz w:val="21"/>
                <w:szCs w:val="21"/>
                <w:highlight w:val="none"/>
              </w:rPr>
            </w:pPr>
          </w:p>
        </w:tc>
        <w:tc>
          <w:tcPr>
            <w:tcW w:w="2042" w:type="pct"/>
            <w:noWrap w:val="0"/>
            <w:vAlign w:val="center"/>
          </w:tcPr>
          <w:p w14:paraId="0778858F">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rPr>
              <w:t>42AT1</w:t>
            </w:r>
            <w:r>
              <w:rPr>
                <w:rFonts w:hint="eastAsia" w:ascii="Times New Roman" w:hAnsi="Times New Roman" w:eastAsia="方正仿宋_GBK" w:cs="宋体"/>
                <w:sz w:val="21"/>
                <w:szCs w:val="21"/>
                <w:highlight w:val="none"/>
                <w:lang w:val="en-US" w:eastAsia="zh-CN"/>
              </w:rPr>
              <w:t>、42AT4-42AT6</w:t>
            </w:r>
            <w:r>
              <w:rPr>
                <w:rFonts w:hint="eastAsia" w:ascii="Times New Roman" w:hAnsi="Times New Roman" w:eastAsia="方正仿宋_GBK" w:cs="宋体"/>
                <w:sz w:val="21"/>
                <w:szCs w:val="21"/>
                <w:highlight w:val="none"/>
              </w:rPr>
              <w:t>（Ⅱ段）</w:t>
            </w:r>
          </w:p>
        </w:tc>
        <w:tc>
          <w:tcPr>
            <w:tcW w:w="1549" w:type="pct"/>
            <w:noWrap w:val="0"/>
            <w:vAlign w:val="center"/>
          </w:tcPr>
          <w:p w14:paraId="6EA4AFA9">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4</w:t>
            </w:r>
          </w:p>
        </w:tc>
      </w:tr>
      <w:tr w14:paraId="74A6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408" w:type="pct"/>
            <w:vMerge w:val="continue"/>
            <w:noWrap w:val="0"/>
            <w:vAlign w:val="center"/>
          </w:tcPr>
          <w:p w14:paraId="1D588F2F">
            <w:pPr>
              <w:jc w:val="center"/>
              <w:rPr>
                <w:rFonts w:hint="eastAsia" w:ascii="Times New Roman" w:hAnsi="Times New Roman" w:eastAsia="方正仿宋_GBK" w:cs="宋体"/>
                <w:sz w:val="21"/>
                <w:szCs w:val="21"/>
                <w:highlight w:val="none"/>
              </w:rPr>
            </w:pPr>
          </w:p>
        </w:tc>
        <w:tc>
          <w:tcPr>
            <w:tcW w:w="2042" w:type="pct"/>
            <w:noWrap w:val="0"/>
            <w:vAlign w:val="center"/>
          </w:tcPr>
          <w:p w14:paraId="3E3582E1">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rPr>
              <w:t>4EAT1</w:t>
            </w:r>
            <w:r>
              <w:rPr>
                <w:rFonts w:hint="eastAsia" w:ascii="Times New Roman" w:hAnsi="Times New Roman" w:eastAsia="方正仿宋_GBK" w:cs="宋体"/>
                <w:sz w:val="21"/>
                <w:szCs w:val="21"/>
                <w:highlight w:val="none"/>
                <w:lang w:val="en-US" w:eastAsia="zh-CN"/>
              </w:rPr>
              <w:t>、4EAT1-4EAT5、4BAT1-4BAT5、GGD1、GGD2</w:t>
            </w:r>
            <w:r>
              <w:rPr>
                <w:rFonts w:hint="eastAsia" w:ascii="Times New Roman" w:hAnsi="Times New Roman" w:eastAsia="方正仿宋_GBK" w:cs="宋体"/>
                <w:sz w:val="21"/>
                <w:szCs w:val="21"/>
                <w:highlight w:val="none"/>
              </w:rPr>
              <w:t>（应急段）</w:t>
            </w:r>
          </w:p>
        </w:tc>
        <w:tc>
          <w:tcPr>
            <w:tcW w:w="1549" w:type="pct"/>
            <w:noWrap w:val="0"/>
            <w:vAlign w:val="center"/>
          </w:tcPr>
          <w:p w14:paraId="70CE69B6">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13（含1台施耐德WBTPC LEVEL6双电源柜）</w:t>
            </w:r>
          </w:p>
        </w:tc>
      </w:tr>
      <w:tr w14:paraId="437C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408" w:type="pct"/>
            <w:vMerge w:val="continue"/>
            <w:noWrap w:val="0"/>
            <w:vAlign w:val="center"/>
          </w:tcPr>
          <w:p w14:paraId="628BD11E">
            <w:pPr>
              <w:jc w:val="center"/>
              <w:rPr>
                <w:rFonts w:hint="eastAsia" w:ascii="Times New Roman" w:hAnsi="Times New Roman" w:eastAsia="方正仿宋_GBK" w:cs="宋体"/>
                <w:sz w:val="21"/>
                <w:szCs w:val="21"/>
                <w:highlight w:val="none"/>
              </w:rPr>
            </w:pPr>
          </w:p>
        </w:tc>
        <w:tc>
          <w:tcPr>
            <w:tcW w:w="2042" w:type="pct"/>
            <w:noWrap w:val="0"/>
            <w:vAlign w:val="center"/>
          </w:tcPr>
          <w:p w14:paraId="31C4D108">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rPr>
              <w:t>43AT1</w:t>
            </w:r>
            <w:r>
              <w:rPr>
                <w:rFonts w:hint="eastAsia" w:ascii="Times New Roman" w:hAnsi="Times New Roman" w:eastAsia="方正仿宋_GBK" w:cs="宋体"/>
                <w:sz w:val="21"/>
                <w:szCs w:val="21"/>
                <w:highlight w:val="none"/>
                <w:lang w:val="en-US" w:eastAsia="zh-CN"/>
              </w:rPr>
              <w:t>、43AT4- 43AT10</w:t>
            </w:r>
            <w:r>
              <w:rPr>
                <w:rFonts w:hint="eastAsia" w:ascii="Times New Roman" w:hAnsi="Times New Roman" w:eastAsia="方正仿宋_GBK" w:cs="宋体"/>
                <w:sz w:val="21"/>
                <w:szCs w:val="21"/>
                <w:highlight w:val="none"/>
              </w:rPr>
              <w:t>（Ⅲ段）</w:t>
            </w:r>
          </w:p>
        </w:tc>
        <w:tc>
          <w:tcPr>
            <w:tcW w:w="1549" w:type="pct"/>
            <w:noWrap w:val="0"/>
            <w:vAlign w:val="center"/>
          </w:tcPr>
          <w:p w14:paraId="3DBB1F75">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8</w:t>
            </w:r>
          </w:p>
        </w:tc>
      </w:tr>
      <w:tr w14:paraId="70AA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408" w:type="pct"/>
            <w:vMerge w:val="continue"/>
            <w:noWrap w:val="0"/>
            <w:vAlign w:val="center"/>
          </w:tcPr>
          <w:p w14:paraId="44647663">
            <w:pPr>
              <w:jc w:val="center"/>
              <w:rPr>
                <w:rFonts w:hint="eastAsia" w:ascii="Times New Roman" w:hAnsi="Times New Roman" w:eastAsia="方正仿宋_GBK" w:cs="宋体"/>
                <w:sz w:val="21"/>
                <w:szCs w:val="21"/>
                <w:highlight w:val="none"/>
              </w:rPr>
            </w:pPr>
          </w:p>
        </w:tc>
        <w:tc>
          <w:tcPr>
            <w:tcW w:w="2042" w:type="pct"/>
            <w:noWrap w:val="0"/>
            <w:vAlign w:val="center"/>
          </w:tcPr>
          <w:p w14:paraId="58E85AD5">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rPr>
              <w:t>44AT1</w:t>
            </w:r>
            <w:r>
              <w:rPr>
                <w:rFonts w:hint="eastAsia" w:ascii="Times New Roman" w:hAnsi="Times New Roman" w:eastAsia="方正仿宋_GBK" w:cs="宋体"/>
                <w:sz w:val="21"/>
                <w:szCs w:val="21"/>
                <w:highlight w:val="none"/>
                <w:lang w:val="en-US" w:eastAsia="zh-CN"/>
              </w:rPr>
              <w:t>、44AT4- 44AT10</w:t>
            </w:r>
            <w:r>
              <w:rPr>
                <w:rFonts w:hint="eastAsia" w:ascii="Times New Roman" w:hAnsi="Times New Roman" w:eastAsia="方正仿宋_GBK" w:cs="宋体"/>
                <w:sz w:val="21"/>
                <w:szCs w:val="21"/>
                <w:highlight w:val="none"/>
              </w:rPr>
              <w:t>（</w:t>
            </w:r>
            <w:r>
              <w:rPr>
                <w:rFonts w:hint="eastAsia" w:ascii="Times New Roman" w:hAnsi="Times New Roman" w:eastAsia="方正仿宋_GBK" w:cs="宋体"/>
                <w:sz w:val="21"/>
                <w:szCs w:val="21"/>
                <w:highlight w:val="none"/>
                <w:lang w:val="en-US" w:eastAsia="zh-CN"/>
              </w:rPr>
              <w:t>Ⅳ</w:t>
            </w:r>
            <w:r>
              <w:rPr>
                <w:rFonts w:hint="eastAsia" w:ascii="Times New Roman" w:hAnsi="Times New Roman" w:eastAsia="方正仿宋_GBK" w:cs="宋体"/>
                <w:sz w:val="21"/>
                <w:szCs w:val="21"/>
                <w:highlight w:val="none"/>
              </w:rPr>
              <w:t>）</w:t>
            </w:r>
          </w:p>
        </w:tc>
        <w:tc>
          <w:tcPr>
            <w:tcW w:w="1549" w:type="pct"/>
            <w:noWrap w:val="0"/>
            <w:vAlign w:val="center"/>
          </w:tcPr>
          <w:p w14:paraId="245E1BC8">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lang w:val="en-US" w:eastAsia="zh-CN"/>
              </w:rPr>
              <w:t>8</w:t>
            </w:r>
          </w:p>
        </w:tc>
      </w:tr>
      <w:tr w14:paraId="2B09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408" w:type="pct"/>
            <w:vMerge w:val="continue"/>
            <w:noWrap w:val="0"/>
            <w:vAlign w:val="center"/>
          </w:tcPr>
          <w:p w14:paraId="67D5B56A">
            <w:pPr>
              <w:jc w:val="center"/>
              <w:rPr>
                <w:rFonts w:hint="eastAsia" w:ascii="Times New Roman" w:hAnsi="Times New Roman" w:eastAsia="方正仿宋_GBK" w:cs="宋体"/>
                <w:sz w:val="21"/>
                <w:szCs w:val="21"/>
                <w:highlight w:val="none"/>
              </w:rPr>
            </w:pPr>
          </w:p>
        </w:tc>
        <w:tc>
          <w:tcPr>
            <w:tcW w:w="2042" w:type="pct"/>
            <w:noWrap w:val="0"/>
            <w:vAlign w:val="center"/>
          </w:tcPr>
          <w:p w14:paraId="71D4FD55">
            <w:pPr>
              <w:jc w:val="center"/>
              <w:rPr>
                <w:rFonts w:hint="eastAsia" w:ascii="Times New Roman" w:hAnsi="Times New Roman" w:eastAsia="方正仿宋_GBK" w:cs="宋体"/>
                <w:sz w:val="21"/>
                <w:szCs w:val="21"/>
                <w:highlight w:val="none"/>
                <w:lang w:val="en-US"/>
              </w:rPr>
            </w:pPr>
            <w:r>
              <w:rPr>
                <w:rFonts w:hint="eastAsia" w:ascii="Times New Roman" w:hAnsi="Times New Roman" w:eastAsia="方正仿宋_GBK" w:cs="宋体"/>
                <w:sz w:val="21"/>
                <w:szCs w:val="21"/>
                <w:highlight w:val="none"/>
              </w:rPr>
              <w:t>45AT1</w:t>
            </w:r>
            <w:r>
              <w:rPr>
                <w:rFonts w:hint="eastAsia" w:ascii="Times New Roman" w:hAnsi="Times New Roman" w:eastAsia="方正仿宋_GBK" w:cs="宋体"/>
                <w:sz w:val="21"/>
                <w:szCs w:val="21"/>
                <w:highlight w:val="none"/>
                <w:lang w:val="en-US" w:eastAsia="zh-CN"/>
              </w:rPr>
              <w:t>、45AT4- 45AT7（Ⅴ）</w:t>
            </w:r>
          </w:p>
        </w:tc>
        <w:tc>
          <w:tcPr>
            <w:tcW w:w="1549" w:type="pct"/>
            <w:noWrap w:val="0"/>
            <w:vAlign w:val="center"/>
          </w:tcPr>
          <w:p w14:paraId="26E2DA33">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5</w:t>
            </w:r>
          </w:p>
        </w:tc>
      </w:tr>
      <w:tr w14:paraId="2126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408" w:type="pct"/>
            <w:noWrap w:val="0"/>
            <w:vAlign w:val="center"/>
          </w:tcPr>
          <w:p w14:paraId="7E2A922A">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1#航站楼行李配电间</w:t>
            </w:r>
          </w:p>
        </w:tc>
        <w:tc>
          <w:tcPr>
            <w:tcW w:w="2042" w:type="pct"/>
            <w:noWrap w:val="0"/>
            <w:vAlign w:val="center"/>
          </w:tcPr>
          <w:p w14:paraId="452CB96D">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PDP1-PDP3、ACC1-ACC3</w:t>
            </w:r>
          </w:p>
        </w:tc>
        <w:tc>
          <w:tcPr>
            <w:tcW w:w="1549" w:type="pct"/>
            <w:noWrap w:val="0"/>
            <w:vAlign w:val="center"/>
          </w:tcPr>
          <w:p w14:paraId="131ED04A">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6</w:t>
            </w:r>
          </w:p>
        </w:tc>
      </w:tr>
      <w:tr w14:paraId="646A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408" w:type="pct"/>
            <w:vMerge w:val="restart"/>
            <w:noWrap w:val="0"/>
            <w:vAlign w:val="center"/>
          </w:tcPr>
          <w:p w14:paraId="218E2A45">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入境航站楼变电所</w:t>
            </w:r>
          </w:p>
        </w:tc>
        <w:tc>
          <w:tcPr>
            <w:tcW w:w="2042" w:type="pct"/>
            <w:noWrap w:val="0"/>
            <w:vAlign w:val="center"/>
          </w:tcPr>
          <w:p w14:paraId="5A823A16">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rPr>
              <w:t>1AT1</w:t>
            </w:r>
            <w:r>
              <w:rPr>
                <w:rFonts w:hint="eastAsia" w:ascii="Times New Roman" w:hAnsi="Times New Roman" w:eastAsia="方正仿宋_GBK" w:cs="宋体"/>
                <w:sz w:val="21"/>
                <w:szCs w:val="21"/>
                <w:highlight w:val="none"/>
                <w:lang w:val="en-US" w:eastAsia="zh-CN"/>
              </w:rPr>
              <w:t>-1AT9</w:t>
            </w:r>
            <w:r>
              <w:rPr>
                <w:rFonts w:hint="eastAsia" w:ascii="Times New Roman" w:hAnsi="Times New Roman" w:eastAsia="方正仿宋_GBK" w:cs="宋体"/>
                <w:sz w:val="21"/>
                <w:szCs w:val="21"/>
                <w:highlight w:val="none"/>
              </w:rPr>
              <w:t>（Ⅰ段）</w:t>
            </w:r>
          </w:p>
        </w:tc>
        <w:tc>
          <w:tcPr>
            <w:tcW w:w="1549" w:type="pct"/>
            <w:noWrap w:val="0"/>
            <w:vAlign w:val="center"/>
          </w:tcPr>
          <w:p w14:paraId="49B8D47C">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9</w:t>
            </w:r>
          </w:p>
        </w:tc>
      </w:tr>
      <w:tr w14:paraId="4F7F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408" w:type="pct"/>
            <w:vMerge w:val="continue"/>
            <w:noWrap w:val="0"/>
            <w:vAlign w:val="center"/>
          </w:tcPr>
          <w:p w14:paraId="66BEEA53">
            <w:pPr>
              <w:jc w:val="center"/>
              <w:rPr>
                <w:rFonts w:hint="eastAsia" w:ascii="Times New Roman" w:hAnsi="Times New Roman" w:eastAsia="方正仿宋_GBK" w:cs="宋体"/>
                <w:sz w:val="21"/>
                <w:szCs w:val="21"/>
                <w:highlight w:val="none"/>
                <w:lang w:val="en-US" w:eastAsia="zh-CN"/>
              </w:rPr>
            </w:pPr>
          </w:p>
        </w:tc>
        <w:tc>
          <w:tcPr>
            <w:tcW w:w="2042" w:type="pct"/>
            <w:noWrap w:val="0"/>
            <w:vAlign w:val="center"/>
          </w:tcPr>
          <w:p w14:paraId="072120A5">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rPr>
              <w:t>2AT1</w:t>
            </w:r>
            <w:r>
              <w:rPr>
                <w:rFonts w:hint="eastAsia" w:ascii="Times New Roman" w:hAnsi="Times New Roman" w:eastAsia="方正仿宋_GBK" w:cs="宋体"/>
                <w:sz w:val="21"/>
                <w:szCs w:val="21"/>
                <w:highlight w:val="none"/>
                <w:lang w:val="en-US" w:eastAsia="zh-CN"/>
              </w:rPr>
              <w:t>-2AT8</w:t>
            </w:r>
            <w:r>
              <w:rPr>
                <w:rFonts w:hint="eastAsia" w:ascii="Times New Roman" w:hAnsi="Times New Roman" w:eastAsia="方正仿宋_GBK" w:cs="宋体"/>
                <w:sz w:val="21"/>
                <w:szCs w:val="21"/>
                <w:highlight w:val="none"/>
              </w:rPr>
              <w:t>（Ⅱ段）</w:t>
            </w:r>
          </w:p>
        </w:tc>
        <w:tc>
          <w:tcPr>
            <w:tcW w:w="1549" w:type="pct"/>
            <w:noWrap w:val="0"/>
            <w:vAlign w:val="center"/>
          </w:tcPr>
          <w:p w14:paraId="014A73E0">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8</w:t>
            </w:r>
          </w:p>
        </w:tc>
      </w:tr>
      <w:tr w14:paraId="7720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408" w:type="pct"/>
            <w:noWrap w:val="0"/>
            <w:vAlign w:val="center"/>
          </w:tcPr>
          <w:p w14:paraId="34FEF466">
            <w:pPr>
              <w:jc w:val="center"/>
              <w:rPr>
                <w:rFonts w:hint="eastAsia" w:ascii="Times New Roman" w:hAnsi="Times New Roman" w:eastAsia="方正仿宋_GBK" w:cs="宋体"/>
                <w:sz w:val="21"/>
                <w:szCs w:val="21"/>
                <w:highlight w:val="none"/>
                <w:lang w:eastAsia="zh-CN"/>
              </w:rPr>
            </w:pPr>
            <w:r>
              <w:rPr>
                <w:rFonts w:hint="eastAsia" w:ascii="Times New Roman" w:hAnsi="Times New Roman" w:eastAsia="方正仿宋_GBK" w:cs="宋体"/>
                <w:sz w:val="21"/>
                <w:szCs w:val="21"/>
                <w:highlight w:val="none"/>
              </w:rPr>
              <w:t>5#变电所</w:t>
            </w:r>
            <w:r>
              <w:rPr>
                <w:rFonts w:hint="eastAsia" w:ascii="Times New Roman" w:hAnsi="Times New Roman" w:eastAsia="方正仿宋_GBK" w:cs="宋体"/>
                <w:sz w:val="21"/>
                <w:szCs w:val="21"/>
                <w:highlight w:val="none"/>
                <w:lang w:eastAsia="zh-CN"/>
              </w:rPr>
              <w:t>（</w:t>
            </w:r>
            <w:r>
              <w:rPr>
                <w:rFonts w:hint="eastAsia" w:ascii="Times New Roman" w:hAnsi="Times New Roman" w:eastAsia="方正仿宋_GBK" w:cs="宋体"/>
                <w:sz w:val="21"/>
                <w:szCs w:val="21"/>
                <w:highlight w:val="none"/>
                <w:lang w:val="en-US" w:eastAsia="zh-CN"/>
              </w:rPr>
              <w:t>2#航站楼</w:t>
            </w:r>
            <w:r>
              <w:rPr>
                <w:rFonts w:hint="eastAsia" w:ascii="Times New Roman" w:hAnsi="Times New Roman" w:eastAsia="方正仿宋_GBK" w:cs="宋体"/>
                <w:sz w:val="21"/>
                <w:szCs w:val="21"/>
                <w:highlight w:val="none"/>
                <w:lang w:eastAsia="zh-CN"/>
              </w:rPr>
              <w:t>）</w:t>
            </w:r>
          </w:p>
        </w:tc>
        <w:tc>
          <w:tcPr>
            <w:tcW w:w="2042" w:type="pct"/>
            <w:noWrap w:val="0"/>
            <w:vAlign w:val="center"/>
          </w:tcPr>
          <w:p w14:paraId="3F2C1204">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lang w:val="en-US" w:eastAsia="zh-CN"/>
              </w:rPr>
              <w:t>G1-</w:t>
            </w:r>
            <w:r>
              <w:rPr>
                <w:rFonts w:hint="eastAsia" w:ascii="Times New Roman" w:hAnsi="Times New Roman" w:eastAsia="方正仿宋_GBK" w:cs="宋体"/>
                <w:sz w:val="21"/>
                <w:szCs w:val="21"/>
                <w:highlight w:val="none"/>
              </w:rPr>
              <w:t>G</w:t>
            </w:r>
            <w:r>
              <w:rPr>
                <w:rFonts w:hint="eastAsia" w:ascii="Times New Roman" w:hAnsi="Times New Roman" w:eastAsia="方正仿宋_GBK" w:cs="宋体"/>
                <w:sz w:val="21"/>
                <w:szCs w:val="21"/>
                <w:highlight w:val="none"/>
                <w:lang w:val="en-US" w:eastAsia="zh-CN"/>
              </w:rPr>
              <w:t>2</w:t>
            </w:r>
            <w:r>
              <w:rPr>
                <w:rFonts w:hint="eastAsia" w:ascii="Times New Roman" w:hAnsi="Times New Roman" w:eastAsia="方正仿宋_GBK" w:cs="宋体"/>
                <w:sz w:val="21"/>
                <w:szCs w:val="21"/>
                <w:highlight w:val="none"/>
              </w:rPr>
              <w:t>（应急段）</w:t>
            </w:r>
          </w:p>
        </w:tc>
        <w:tc>
          <w:tcPr>
            <w:tcW w:w="1549" w:type="pct"/>
            <w:noWrap w:val="0"/>
            <w:vAlign w:val="center"/>
          </w:tcPr>
          <w:p w14:paraId="1E1EA207">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2（含1台GE ATS电源柜）</w:t>
            </w:r>
          </w:p>
        </w:tc>
      </w:tr>
      <w:tr w14:paraId="1EB8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408" w:type="pct"/>
            <w:noWrap w:val="0"/>
            <w:vAlign w:val="center"/>
          </w:tcPr>
          <w:p w14:paraId="39DC4EBF">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lang w:val="en-US" w:eastAsia="zh-CN"/>
              </w:rPr>
              <w:t>4</w:t>
            </w:r>
            <w:r>
              <w:rPr>
                <w:rFonts w:hint="eastAsia" w:ascii="Times New Roman" w:hAnsi="Times New Roman" w:eastAsia="方正仿宋_GBK" w:cs="宋体"/>
                <w:sz w:val="21"/>
                <w:szCs w:val="21"/>
                <w:highlight w:val="none"/>
              </w:rPr>
              <w:t>#变电所</w:t>
            </w:r>
            <w:r>
              <w:rPr>
                <w:rFonts w:hint="eastAsia" w:ascii="Times New Roman" w:hAnsi="Times New Roman" w:eastAsia="方正仿宋_GBK" w:cs="宋体"/>
                <w:sz w:val="21"/>
                <w:szCs w:val="21"/>
                <w:highlight w:val="none"/>
                <w:lang w:eastAsia="zh-CN"/>
              </w:rPr>
              <w:t>（</w:t>
            </w:r>
            <w:r>
              <w:rPr>
                <w:rFonts w:hint="eastAsia" w:ascii="Times New Roman" w:hAnsi="Times New Roman" w:eastAsia="方正仿宋_GBK" w:cs="宋体"/>
                <w:sz w:val="21"/>
                <w:szCs w:val="21"/>
                <w:highlight w:val="none"/>
                <w:lang w:val="en-US" w:eastAsia="zh-CN"/>
              </w:rPr>
              <w:t>2#航站楼</w:t>
            </w:r>
            <w:r>
              <w:rPr>
                <w:rFonts w:hint="eastAsia" w:ascii="Times New Roman" w:hAnsi="Times New Roman" w:eastAsia="方正仿宋_GBK" w:cs="宋体"/>
                <w:sz w:val="21"/>
                <w:szCs w:val="21"/>
                <w:highlight w:val="none"/>
                <w:lang w:eastAsia="zh-CN"/>
              </w:rPr>
              <w:t>）</w:t>
            </w:r>
          </w:p>
        </w:tc>
        <w:tc>
          <w:tcPr>
            <w:tcW w:w="2042" w:type="pct"/>
            <w:noWrap w:val="0"/>
            <w:vAlign w:val="center"/>
          </w:tcPr>
          <w:p w14:paraId="3300495A">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4-1PLE1</w:t>
            </w:r>
          </w:p>
        </w:tc>
        <w:tc>
          <w:tcPr>
            <w:tcW w:w="1549" w:type="pct"/>
            <w:noWrap w:val="0"/>
            <w:vAlign w:val="center"/>
          </w:tcPr>
          <w:p w14:paraId="71CF1AD1">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1（GE ATS电源柜）</w:t>
            </w:r>
          </w:p>
        </w:tc>
      </w:tr>
      <w:tr w14:paraId="2A78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408" w:type="pct"/>
            <w:noWrap w:val="0"/>
            <w:vAlign w:val="center"/>
          </w:tcPr>
          <w:p w14:paraId="16F7C2F2">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lang w:val="en-US" w:eastAsia="zh-CN"/>
              </w:rPr>
              <w:t>1</w:t>
            </w:r>
            <w:r>
              <w:rPr>
                <w:rFonts w:hint="eastAsia" w:ascii="Times New Roman" w:hAnsi="Times New Roman" w:eastAsia="方正仿宋_GBK" w:cs="宋体"/>
                <w:sz w:val="21"/>
                <w:szCs w:val="21"/>
                <w:highlight w:val="none"/>
              </w:rPr>
              <w:t>#</w:t>
            </w:r>
            <w:r>
              <w:rPr>
                <w:rFonts w:hint="eastAsia" w:ascii="Times New Roman" w:hAnsi="Times New Roman" w:eastAsia="方正仿宋_GBK" w:cs="宋体"/>
                <w:sz w:val="21"/>
                <w:szCs w:val="21"/>
                <w:highlight w:val="none"/>
                <w:lang w:val="en-US" w:eastAsia="zh-CN"/>
              </w:rPr>
              <w:t>站坪间</w:t>
            </w:r>
            <w:r>
              <w:rPr>
                <w:rFonts w:hint="eastAsia" w:ascii="Times New Roman" w:hAnsi="Times New Roman" w:eastAsia="方正仿宋_GBK" w:cs="宋体"/>
                <w:sz w:val="21"/>
                <w:szCs w:val="21"/>
                <w:highlight w:val="none"/>
                <w:lang w:eastAsia="zh-CN"/>
              </w:rPr>
              <w:t>（</w:t>
            </w:r>
            <w:r>
              <w:rPr>
                <w:rFonts w:hint="eastAsia" w:ascii="Times New Roman" w:hAnsi="Times New Roman" w:eastAsia="方正仿宋_GBK" w:cs="宋体"/>
                <w:sz w:val="21"/>
                <w:szCs w:val="21"/>
                <w:highlight w:val="none"/>
                <w:lang w:val="en-US" w:eastAsia="zh-CN"/>
              </w:rPr>
              <w:t>2#航站楼</w:t>
            </w:r>
            <w:r>
              <w:rPr>
                <w:rFonts w:hint="eastAsia" w:ascii="Times New Roman" w:hAnsi="Times New Roman" w:eastAsia="方正仿宋_GBK" w:cs="宋体"/>
                <w:sz w:val="21"/>
                <w:szCs w:val="21"/>
                <w:highlight w:val="none"/>
                <w:lang w:eastAsia="zh-CN"/>
              </w:rPr>
              <w:t>）</w:t>
            </w:r>
          </w:p>
        </w:tc>
        <w:tc>
          <w:tcPr>
            <w:tcW w:w="2042" w:type="pct"/>
            <w:noWrap w:val="0"/>
            <w:vAlign w:val="center"/>
          </w:tcPr>
          <w:p w14:paraId="7A302C95">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1AG2</w:t>
            </w:r>
          </w:p>
        </w:tc>
        <w:tc>
          <w:tcPr>
            <w:tcW w:w="1549" w:type="pct"/>
            <w:noWrap w:val="0"/>
            <w:vAlign w:val="center"/>
          </w:tcPr>
          <w:p w14:paraId="0DF8FD2E">
            <w:pPr>
              <w:jc w:val="center"/>
              <w:rPr>
                <w:rFonts w:hint="eastAsia" w:ascii="Times New Roman" w:hAnsi="Times New Roman" w:eastAsia="方正仿宋_GBK" w:cs="宋体"/>
                <w:kern w:val="2"/>
                <w:sz w:val="21"/>
                <w:szCs w:val="21"/>
                <w:highlight w:val="none"/>
                <w:lang w:val="en-US" w:eastAsia="zh-CN" w:bidi="ar-SA"/>
              </w:rPr>
            </w:pPr>
            <w:r>
              <w:rPr>
                <w:rFonts w:hint="eastAsia" w:ascii="Times New Roman" w:hAnsi="Times New Roman" w:eastAsia="方正仿宋_GBK" w:cs="宋体"/>
                <w:sz w:val="21"/>
                <w:szCs w:val="21"/>
                <w:highlight w:val="none"/>
                <w:lang w:val="en-US" w:eastAsia="zh-CN"/>
              </w:rPr>
              <w:t>1（GE ATS电源柜）</w:t>
            </w:r>
          </w:p>
        </w:tc>
      </w:tr>
      <w:tr w14:paraId="0837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408" w:type="pct"/>
            <w:noWrap w:val="0"/>
            <w:vAlign w:val="center"/>
          </w:tcPr>
          <w:p w14:paraId="4CCD9F0B">
            <w:pPr>
              <w:jc w:val="center"/>
              <w:rPr>
                <w:rFonts w:hint="eastAsia" w:ascii="Times New Roman" w:hAnsi="Times New Roman" w:eastAsia="方正仿宋_GBK" w:cs="宋体"/>
                <w:kern w:val="2"/>
                <w:sz w:val="21"/>
                <w:szCs w:val="21"/>
                <w:highlight w:val="none"/>
                <w:lang w:val="en-US" w:eastAsia="zh-CN" w:bidi="ar-SA"/>
              </w:rPr>
            </w:pPr>
            <w:r>
              <w:rPr>
                <w:rFonts w:hint="eastAsia" w:ascii="Times New Roman" w:hAnsi="Times New Roman" w:eastAsia="方正仿宋_GBK" w:cs="宋体"/>
                <w:sz w:val="21"/>
                <w:szCs w:val="21"/>
                <w:highlight w:val="none"/>
                <w:lang w:val="en-US" w:eastAsia="zh-CN"/>
              </w:rPr>
              <w:t>2</w:t>
            </w:r>
            <w:r>
              <w:rPr>
                <w:rFonts w:hint="eastAsia" w:ascii="Times New Roman" w:hAnsi="Times New Roman" w:eastAsia="方正仿宋_GBK" w:cs="宋体"/>
                <w:sz w:val="21"/>
                <w:szCs w:val="21"/>
                <w:highlight w:val="none"/>
              </w:rPr>
              <w:t>#</w:t>
            </w:r>
            <w:r>
              <w:rPr>
                <w:rFonts w:hint="eastAsia" w:ascii="Times New Roman" w:hAnsi="Times New Roman" w:eastAsia="方正仿宋_GBK" w:cs="宋体"/>
                <w:sz w:val="21"/>
                <w:szCs w:val="21"/>
                <w:highlight w:val="none"/>
                <w:lang w:val="en-US" w:eastAsia="zh-CN"/>
              </w:rPr>
              <w:t>站坪间</w:t>
            </w:r>
            <w:r>
              <w:rPr>
                <w:rFonts w:hint="eastAsia" w:ascii="Times New Roman" w:hAnsi="Times New Roman" w:eastAsia="方正仿宋_GBK" w:cs="宋体"/>
                <w:sz w:val="21"/>
                <w:szCs w:val="21"/>
                <w:highlight w:val="none"/>
                <w:lang w:eastAsia="zh-CN"/>
              </w:rPr>
              <w:t>（</w:t>
            </w:r>
            <w:r>
              <w:rPr>
                <w:rFonts w:hint="eastAsia" w:ascii="Times New Roman" w:hAnsi="Times New Roman" w:eastAsia="方正仿宋_GBK" w:cs="宋体"/>
                <w:sz w:val="21"/>
                <w:szCs w:val="21"/>
                <w:highlight w:val="none"/>
                <w:lang w:val="en-US" w:eastAsia="zh-CN"/>
              </w:rPr>
              <w:t>2#航站楼</w:t>
            </w:r>
            <w:r>
              <w:rPr>
                <w:rFonts w:hint="eastAsia" w:ascii="Times New Roman" w:hAnsi="Times New Roman" w:eastAsia="方正仿宋_GBK" w:cs="宋体"/>
                <w:sz w:val="21"/>
                <w:szCs w:val="21"/>
                <w:highlight w:val="none"/>
                <w:lang w:eastAsia="zh-CN"/>
              </w:rPr>
              <w:t>）</w:t>
            </w:r>
          </w:p>
        </w:tc>
        <w:tc>
          <w:tcPr>
            <w:tcW w:w="2042" w:type="pct"/>
            <w:noWrap w:val="0"/>
            <w:vAlign w:val="center"/>
          </w:tcPr>
          <w:p w14:paraId="069AE991">
            <w:pPr>
              <w:jc w:val="center"/>
              <w:rPr>
                <w:rFonts w:hint="eastAsia" w:ascii="Times New Roman" w:hAnsi="Times New Roman" w:eastAsia="方正仿宋_GBK" w:cs="宋体"/>
                <w:kern w:val="2"/>
                <w:sz w:val="21"/>
                <w:szCs w:val="21"/>
                <w:highlight w:val="none"/>
                <w:lang w:val="en-US" w:eastAsia="zh-CN" w:bidi="ar-SA"/>
              </w:rPr>
            </w:pPr>
            <w:r>
              <w:rPr>
                <w:rFonts w:hint="eastAsia" w:ascii="Times New Roman" w:hAnsi="Times New Roman" w:eastAsia="方正仿宋_GBK" w:cs="宋体"/>
                <w:sz w:val="21"/>
                <w:szCs w:val="21"/>
                <w:highlight w:val="none"/>
                <w:lang w:val="en-US" w:eastAsia="zh-CN"/>
              </w:rPr>
              <w:t>2AG2</w:t>
            </w:r>
          </w:p>
        </w:tc>
        <w:tc>
          <w:tcPr>
            <w:tcW w:w="1549" w:type="pct"/>
            <w:noWrap w:val="0"/>
            <w:vAlign w:val="center"/>
          </w:tcPr>
          <w:p w14:paraId="526DDE95">
            <w:pPr>
              <w:jc w:val="center"/>
              <w:rPr>
                <w:rFonts w:hint="eastAsia" w:ascii="Times New Roman" w:hAnsi="Times New Roman" w:eastAsia="方正仿宋_GBK" w:cs="宋体"/>
                <w:kern w:val="2"/>
                <w:sz w:val="21"/>
                <w:szCs w:val="21"/>
                <w:highlight w:val="none"/>
                <w:lang w:val="en-US" w:eastAsia="zh-CN" w:bidi="ar-SA"/>
              </w:rPr>
            </w:pPr>
            <w:r>
              <w:rPr>
                <w:rFonts w:hint="eastAsia" w:ascii="Times New Roman" w:hAnsi="Times New Roman" w:eastAsia="方正仿宋_GBK" w:cs="宋体"/>
                <w:sz w:val="21"/>
                <w:szCs w:val="21"/>
                <w:highlight w:val="none"/>
                <w:lang w:val="en-US" w:eastAsia="zh-CN"/>
              </w:rPr>
              <w:t>1（GE ATS电源柜）</w:t>
            </w:r>
          </w:p>
        </w:tc>
      </w:tr>
      <w:tr w14:paraId="4035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408" w:type="pct"/>
            <w:noWrap w:val="0"/>
            <w:vAlign w:val="center"/>
          </w:tcPr>
          <w:p w14:paraId="526045D8">
            <w:pPr>
              <w:jc w:val="center"/>
              <w:rPr>
                <w:rFonts w:hint="eastAsia" w:ascii="Times New Roman" w:hAnsi="Times New Roman" w:eastAsia="方正仿宋_GBK" w:cs="宋体"/>
                <w:kern w:val="2"/>
                <w:sz w:val="21"/>
                <w:szCs w:val="21"/>
                <w:highlight w:val="none"/>
                <w:lang w:val="en-US" w:eastAsia="zh-CN" w:bidi="ar-SA"/>
              </w:rPr>
            </w:pPr>
            <w:r>
              <w:rPr>
                <w:rFonts w:hint="eastAsia" w:ascii="Times New Roman" w:hAnsi="Times New Roman" w:eastAsia="方正仿宋_GBK" w:cs="宋体"/>
                <w:sz w:val="21"/>
                <w:szCs w:val="21"/>
                <w:highlight w:val="none"/>
                <w:lang w:val="en-US" w:eastAsia="zh-CN"/>
              </w:rPr>
              <w:t>3</w:t>
            </w:r>
            <w:r>
              <w:rPr>
                <w:rFonts w:hint="eastAsia" w:ascii="Times New Roman" w:hAnsi="Times New Roman" w:eastAsia="方正仿宋_GBK" w:cs="宋体"/>
                <w:sz w:val="21"/>
                <w:szCs w:val="21"/>
                <w:highlight w:val="none"/>
              </w:rPr>
              <w:t>#</w:t>
            </w:r>
            <w:r>
              <w:rPr>
                <w:rFonts w:hint="eastAsia" w:ascii="Times New Roman" w:hAnsi="Times New Roman" w:eastAsia="方正仿宋_GBK" w:cs="宋体"/>
                <w:sz w:val="21"/>
                <w:szCs w:val="21"/>
                <w:highlight w:val="none"/>
                <w:lang w:val="en-US" w:eastAsia="zh-CN"/>
              </w:rPr>
              <w:t>站坪间</w:t>
            </w:r>
            <w:r>
              <w:rPr>
                <w:rFonts w:hint="eastAsia" w:ascii="Times New Roman" w:hAnsi="Times New Roman" w:eastAsia="方正仿宋_GBK" w:cs="宋体"/>
                <w:sz w:val="21"/>
                <w:szCs w:val="21"/>
                <w:highlight w:val="none"/>
                <w:lang w:eastAsia="zh-CN"/>
              </w:rPr>
              <w:t>（</w:t>
            </w:r>
            <w:r>
              <w:rPr>
                <w:rFonts w:hint="eastAsia" w:ascii="Times New Roman" w:hAnsi="Times New Roman" w:eastAsia="方正仿宋_GBK" w:cs="宋体"/>
                <w:sz w:val="21"/>
                <w:szCs w:val="21"/>
                <w:highlight w:val="none"/>
                <w:lang w:val="en-US" w:eastAsia="zh-CN"/>
              </w:rPr>
              <w:t>2#航站楼</w:t>
            </w:r>
            <w:r>
              <w:rPr>
                <w:rFonts w:hint="eastAsia" w:ascii="Times New Roman" w:hAnsi="Times New Roman" w:eastAsia="方正仿宋_GBK" w:cs="宋体"/>
                <w:sz w:val="21"/>
                <w:szCs w:val="21"/>
                <w:highlight w:val="none"/>
                <w:lang w:eastAsia="zh-CN"/>
              </w:rPr>
              <w:t>）</w:t>
            </w:r>
          </w:p>
        </w:tc>
        <w:tc>
          <w:tcPr>
            <w:tcW w:w="2042" w:type="pct"/>
            <w:noWrap w:val="0"/>
            <w:vAlign w:val="center"/>
          </w:tcPr>
          <w:p w14:paraId="04BA4ACC">
            <w:pPr>
              <w:jc w:val="center"/>
              <w:rPr>
                <w:rFonts w:hint="eastAsia" w:ascii="Times New Roman" w:hAnsi="Times New Roman" w:eastAsia="方正仿宋_GBK" w:cs="宋体"/>
                <w:kern w:val="2"/>
                <w:sz w:val="21"/>
                <w:szCs w:val="21"/>
                <w:highlight w:val="none"/>
                <w:lang w:val="en-US" w:eastAsia="zh-CN" w:bidi="ar-SA"/>
              </w:rPr>
            </w:pPr>
            <w:r>
              <w:rPr>
                <w:rFonts w:hint="eastAsia" w:ascii="Times New Roman" w:hAnsi="Times New Roman" w:eastAsia="方正仿宋_GBK" w:cs="宋体"/>
                <w:sz w:val="21"/>
                <w:szCs w:val="21"/>
                <w:highlight w:val="none"/>
                <w:lang w:val="en-US" w:eastAsia="zh-CN"/>
              </w:rPr>
              <w:t>3AG2</w:t>
            </w:r>
          </w:p>
        </w:tc>
        <w:tc>
          <w:tcPr>
            <w:tcW w:w="1549" w:type="pct"/>
            <w:noWrap w:val="0"/>
            <w:vAlign w:val="center"/>
          </w:tcPr>
          <w:p w14:paraId="3B360ADE">
            <w:pPr>
              <w:jc w:val="center"/>
              <w:rPr>
                <w:rFonts w:hint="eastAsia" w:ascii="Times New Roman" w:hAnsi="Times New Roman" w:eastAsia="方正仿宋_GBK" w:cs="宋体"/>
                <w:kern w:val="2"/>
                <w:sz w:val="21"/>
                <w:szCs w:val="21"/>
                <w:highlight w:val="none"/>
                <w:lang w:val="en-US" w:eastAsia="zh-CN" w:bidi="ar-SA"/>
              </w:rPr>
            </w:pPr>
            <w:r>
              <w:rPr>
                <w:rFonts w:hint="eastAsia" w:ascii="Times New Roman" w:hAnsi="Times New Roman" w:eastAsia="方正仿宋_GBK" w:cs="宋体"/>
                <w:sz w:val="21"/>
                <w:szCs w:val="21"/>
                <w:highlight w:val="none"/>
                <w:lang w:val="en-US" w:eastAsia="zh-CN"/>
              </w:rPr>
              <w:t>1（GE ATS电源柜）</w:t>
            </w:r>
          </w:p>
        </w:tc>
      </w:tr>
      <w:tr w14:paraId="1424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408" w:type="pct"/>
            <w:noWrap w:val="0"/>
            <w:vAlign w:val="center"/>
          </w:tcPr>
          <w:p w14:paraId="62B9981D">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行李配电间（2#航站楼）</w:t>
            </w:r>
          </w:p>
        </w:tc>
        <w:tc>
          <w:tcPr>
            <w:tcW w:w="2042" w:type="pct"/>
            <w:noWrap w:val="0"/>
            <w:vAlign w:val="center"/>
          </w:tcPr>
          <w:p w14:paraId="3A568324">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PDP01-AA01--AA04</w:t>
            </w:r>
          </w:p>
        </w:tc>
        <w:tc>
          <w:tcPr>
            <w:tcW w:w="1549" w:type="pct"/>
            <w:noWrap w:val="0"/>
            <w:vAlign w:val="center"/>
          </w:tcPr>
          <w:p w14:paraId="136CE483">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4</w:t>
            </w:r>
          </w:p>
        </w:tc>
      </w:tr>
      <w:tr w14:paraId="4DA0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408" w:type="pct"/>
            <w:noWrap w:val="0"/>
            <w:vAlign w:val="center"/>
          </w:tcPr>
          <w:p w14:paraId="4024DE6F">
            <w:pPr>
              <w:jc w:val="center"/>
              <w:rPr>
                <w:rFonts w:hint="eastAsia" w:ascii="Times New Roman" w:hAnsi="Times New Roman" w:eastAsia="方正仿宋_GBK" w:cs="宋体"/>
                <w:kern w:val="2"/>
                <w:sz w:val="21"/>
                <w:szCs w:val="21"/>
                <w:highlight w:val="none"/>
                <w:lang w:val="en-US" w:eastAsia="zh-CN" w:bidi="ar-SA"/>
              </w:rPr>
            </w:pPr>
            <w:r>
              <w:rPr>
                <w:rFonts w:hint="eastAsia" w:ascii="Times New Roman" w:hAnsi="Times New Roman" w:eastAsia="方正仿宋_GBK" w:cs="宋体"/>
                <w:sz w:val="21"/>
                <w:szCs w:val="21"/>
                <w:highlight w:val="none"/>
                <w:lang w:val="en-US" w:eastAsia="zh-CN"/>
              </w:rPr>
              <w:t>5</w:t>
            </w:r>
            <w:r>
              <w:rPr>
                <w:rFonts w:hint="eastAsia" w:ascii="Times New Roman" w:hAnsi="Times New Roman" w:eastAsia="方正仿宋_GBK" w:cs="宋体"/>
                <w:sz w:val="21"/>
                <w:szCs w:val="21"/>
                <w:highlight w:val="none"/>
              </w:rPr>
              <w:t>#</w:t>
            </w:r>
            <w:r>
              <w:rPr>
                <w:rFonts w:hint="eastAsia" w:ascii="Times New Roman" w:hAnsi="Times New Roman" w:eastAsia="方正仿宋_GBK" w:cs="宋体"/>
                <w:sz w:val="21"/>
                <w:szCs w:val="21"/>
                <w:highlight w:val="none"/>
                <w:lang w:val="en-US" w:eastAsia="zh-CN"/>
              </w:rPr>
              <w:t>站坪间</w:t>
            </w:r>
            <w:r>
              <w:rPr>
                <w:rFonts w:hint="eastAsia" w:ascii="Times New Roman" w:hAnsi="Times New Roman" w:eastAsia="方正仿宋_GBK" w:cs="宋体"/>
                <w:sz w:val="21"/>
                <w:szCs w:val="21"/>
                <w:highlight w:val="none"/>
                <w:lang w:eastAsia="zh-CN"/>
              </w:rPr>
              <w:t>（</w:t>
            </w:r>
            <w:r>
              <w:rPr>
                <w:rFonts w:hint="eastAsia" w:ascii="Times New Roman" w:hAnsi="Times New Roman" w:eastAsia="方正仿宋_GBK" w:cs="宋体"/>
                <w:sz w:val="21"/>
                <w:szCs w:val="21"/>
                <w:highlight w:val="none"/>
                <w:lang w:val="en-US" w:eastAsia="zh-CN"/>
              </w:rPr>
              <w:t>2#航站楼</w:t>
            </w:r>
            <w:r>
              <w:rPr>
                <w:rFonts w:hint="eastAsia" w:ascii="Times New Roman" w:hAnsi="Times New Roman" w:eastAsia="方正仿宋_GBK" w:cs="宋体"/>
                <w:sz w:val="21"/>
                <w:szCs w:val="21"/>
                <w:highlight w:val="none"/>
                <w:lang w:eastAsia="zh-CN"/>
              </w:rPr>
              <w:t>）</w:t>
            </w:r>
          </w:p>
        </w:tc>
        <w:tc>
          <w:tcPr>
            <w:tcW w:w="2042" w:type="pct"/>
            <w:noWrap w:val="0"/>
            <w:vAlign w:val="center"/>
          </w:tcPr>
          <w:p w14:paraId="2CB9A58A">
            <w:pPr>
              <w:jc w:val="center"/>
              <w:rPr>
                <w:rFonts w:hint="eastAsia" w:ascii="Times New Roman" w:hAnsi="Times New Roman" w:eastAsia="方正仿宋_GBK" w:cs="宋体"/>
                <w:kern w:val="2"/>
                <w:sz w:val="21"/>
                <w:szCs w:val="21"/>
                <w:highlight w:val="none"/>
                <w:lang w:val="en-US" w:eastAsia="zh-CN" w:bidi="ar-SA"/>
              </w:rPr>
            </w:pPr>
            <w:r>
              <w:rPr>
                <w:rFonts w:hint="eastAsia" w:ascii="Times New Roman" w:hAnsi="Times New Roman" w:eastAsia="方正仿宋_GBK" w:cs="宋体"/>
                <w:sz w:val="21"/>
                <w:szCs w:val="21"/>
                <w:highlight w:val="none"/>
                <w:lang w:val="en-US" w:eastAsia="zh-CN"/>
              </w:rPr>
              <w:t>5AG2</w:t>
            </w:r>
          </w:p>
        </w:tc>
        <w:tc>
          <w:tcPr>
            <w:tcW w:w="1549" w:type="pct"/>
            <w:noWrap w:val="0"/>
            <w:vAlign w:val="center"/>
          </w:tcPr>
          <w:p w14:paraId="2853210D">
            <w:pPr>
              <w:jc w:val="center"/>
              <w:rPr>
                <w:rFonts w:hint="eastAsia" w:ascii="Times New Roman" w:hAnsi="Times New Roman" w:eastAsia="方正仿宋_GBK" w:cs="宋体"/>
                <w:kern w:val="2"/>
                <w:sz w:val="21"/>
                <w:szCs w:val="21"/>
                <w:highlight w:val="none"/>
                <w:lang w:val="en-US" w:eastAsia="zh-CN" w:bidi="ar-SA"/>
              </w:rPr>
            </w:pPr>
            <w:r>
              <w:rPr>
                <w:rFonts w:hint="eastAsia" w:ascii="Times New Roman" w:hAnsi="Times New Roman" w:eastAsia="方正仿宋_GBK" w:cs="宋体"/>
                <w:sz w:val="21"/>
                <w:szCs w:val="21"/>
                <w:highlight w:val="none"/>
                <w:lang w:val="en-US" w:eastAsia="zh-CN"/>
              </w:rPr>
              <w:t>1（GE ATS电源柜）</w:t>
            </w:r>
          </w:p>
        </w:tc>
      </w:tr>
      <w:tr w14:paraId="69EB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408" w:type="pct"/>
            <w:noWrap w:val="0"/>
            <w:vAlign w:val="center"/>
          </w:tcPr>
          <w:p w14:paraId="734DF88F">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机坪1#箱式变电所</w:t>
            </w:r>
          </w:p>
        </w:tc>
        <w:tc>
          <w:tcPr>
            <w:tcW w:w="2042" w:type="pct"/>
            <w:noWrap w:val="0"/>
            <w:vAlign w:val="center"/>
          </w:tcPr>
          <w:p w14:paraId="33C3CA4C">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1-1AL、1-11AL</w:t>
            </w:r>
          </w:p>
        </w:tc>
        <w:tc>
          <w:tcPr>
            <w:tcW w:w="1549" w:type="pct"/>
            <w:noWrap w:val="0"/>
            <w:vAlign w:val="center"/>
          </w:tcPr>
          <w:p w14:paraId="5525B2B0">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2</w:t>
            </w:r>
          </w:p>
        </w:tc>
      </w:tr>
      <w:tr w14:paraId="1F1B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408" w:type="pct"/>
            <w:noWrap w:val="0"/>
            <w:vAlign w:val="center"/>
          </w:tcPr>
          <w:p w14:paraId="2F279CB4">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机坪2#箱式变电所</w:t>
            </w:r>
          </w:p>
        </w:tc>
        <w:tc>
          <w:tcPr>
            <w:tcW w:w="2042" w:type="pct"/>
            <w:noWrap w:val="0"/>
            <w:vAlign w:val="center"/>
          </w:tcPr>
          <w:p w14:paraId="3C33F395">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2-1AL、2-9AL</w:t>
            </w:r>
          </w:p>
        </w:tc>
        <w:tc>
          <w:tcPr>
            <w:tcW w:w="1549" w:type="pct"/>
            <w:noWrap w:val="0"/>
            <w:vAlign w:val="center"/>
          </w:tcPr>
          <w:p w14:paraId="63A674CF">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2</w:t>
            </w:r>
          </w:p>
        </w:tc>
      </w:tr>
      <w:tr w14:paraId="1D55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408" w:type="pct"/>
            <w:noWrap w:val="0"/>
            <w:vAlign w:val="center"/>
          </w:tcPr>
          <w:p w14:paraId="19B337E6">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rPr>
              <w:t>交通中心1#变电站</w:t>
            </w:r>
          </w:p>
        </w:tc>
        <w:tc>
          <w:tcPr>
            <w:tcW w:w="2042" w:type="pct"/>
            <w:noWrap w:val="0"/>
            <w:vAlign w:val="center"/>
          </w:tcPr>
          <w:p w14:paraId="482BACD1">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rPr>
              <w:t>1</w:t>
            </w:r>
            <w:r>
              <w:rPr>
                <w:rFonts w:hint="eastAsia" w:ascii="Times New Roman" w:hAnsi="Times New Roman" w:eastAsia="方正仿宋_GBK" w:cs="宋体"/>
                <w:sz w:val="21"/>
                <w:szCs w:val="21"/>
                <w:highlight w:val="none"/>
                <w:lang w:val="en-US" w:eastAsia="zh-CN"/>
              </w:rPr>
              <w:t>GP1</w:t>
            </w:r>
            <w:r>
              <w:rPr>
                <w:rFonts w:hint="eastAsia" w:ascii="Times New Roman" w:hAnsi="Times New Roman" w:eastAsia="方正仿宋_GBK" w:cs="宋体"/>
                <w:sz w:val="21"/>
                <w:szCs w:val="21"/>
                <w:highlight w:val="none"/>
              </w:rPr>
              <w:t>-1</w:t>
            </w:r>
            <w:r>
              <w:rPr>
                <w:rFonts w:hint="eastAsia" w:ascii="Times New Roman" w:hAnsi="Times New Roman" w:eastAsia="方正仿宋_GBK" w:cs="宋体"/>
                <w:sz w:val="21"/>
                <w:szCs w:val="21"/>
                <w:highlight w:val="none"/>
                <w:lang w:val="en-US" w:eastAsia="zh-CN"/>
              </w:rPr>
              <w:t>GP10</w:t>
            </w:r>
            <w:r>
              <w:rPr>
                <w:rFonts w:hint="eastAsia" w:ascii="Times New Roman" w:hAnsi="Times New Roman" w:eastAsia="方正仿宋_GBK" w:cs="宋体"/>
                <w:sz w:val="21"/>
                <w:szCs w:val="21"/>
                <w:highlight w:val="none"/>
              </w:rPr>
              <w:t>（应急段）</w:t>
            </w:r>
          </w:p>
        </w:tc>
        <w:tc>
          <w:tcPr>
            <w:tcW w:w="1549" w:type="pct"/>
            <w:noWrap w:val="0"/>
            <w:vAlign w:val="center"/>
          </w:tcPr>
          <w:p w14:paraId="4A65CED9">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lang w:val="en-US" w:eastAsia="zh-CN"/>
              </w:rPr>
              <w:t>10（含1台GE ATS电源柜）</w:t>
            </w:r>
          </w:p>
        </w:tc>
      </w:tr>
      <w:tr w14:paraId="2371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8" w:type="pct"/>
            <w:noWrap w:val="0"/>
            <w:vAlign w:val="center"/>
          </w:tcPr>
          <w:p w14:paraId="25116388">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1#航站楼北箱变</w:t>
            </w:r>
          </w:p>
        </w:tc>
        <w:tc>
          <w:tcPr>
            <w:tcW w:w="2042" w:type="pct"/>
            <w:noWrap w:val="0"/>
            <w:vAlign w:val="center"/>
          </w:tcPr>
          <w:p w14:paraId="0223F581">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lang w:val="en-US" w:eastAsia="zh-CN"/>
              </w:rPr>
              <w:t>LP1</w:t>
            </w:r>
            <w:r>
              <w:rPr>
                <w:rFonts w:hint="eastAsia" w:ascii="Times New Roman" w:hAnsi="Times New Roman" w:eastAsia="方正仿宋_GBK" w:cs="宋体"/>
                <w:sz w:val="21"/>
                <w:szCs w:val="21"/>
                <w:highlight w:val="none"/>
              </w:rPr>
              <w:t>-</w:t>
            </w:r>
            <w:r>
              <w:rPr>
                <w:rFonts w:hint="eastAsia" w:ascii="Times New Roman" w:hAnsi="Times New Roman" w:eastAsia="方正仿宋_GBK" w:cs="宋体"/>
                <w:sz w:val="21"/>
                <w:szCs w:val="21"/>
                <w:highlight w:val="none"/>
                <w:lang w:val="en-US" w:eastAsia="zh-CN"/>
              </w:rPr>
              <w:t>LP9</w:t>
            </w:r>
            <w:r>
              <w:rPr>
                <w:rFonts w:hint="eastAsia" w:ascii="Times New Roman" w:hAnsi="Times New Roman" w:eastAsia="方正仿宋_GBK" w:cs="宋体"/>
                <w:sz w:val="21"/>
                <w:szCs w:val="21"/>
                <w:highlight w:val="none"/>
              </w:rPr>
              <w:t>（Ⅱ段）</w:t>
            </w:r>
          </w:p>
        </w:tc>
        <w:tc>
          <w:tcPr>
            <w:tcW w:w="1549" w:type="pct"/>
            <w:noWrap w:val="0"/>
            <w:vAlign w:val="center"/>
          </w:tcPr>
          <w:p w14:paraId="562FC2D8">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9</w:t>
            </w:r>
          </w:p>
        </w:tc>
      </w:tr>
      <w:tr w14:paraId="06EA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408" w:type="pct"/>
            <w:noWrap w:val="0"/>
            <w:vAlign w:val="center"/>
          </w:tcPr>
          <w:p w14:paraId="36D9B6CF">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lang w:val="en-US" w:eastAsia="zh-CN"/>
              </w:rPr>
              <w:t>1#航站楼南箱变</w:t>
            </w:r>
          </w:p>
        </w:tc>
        <w:tc>
          <w:tcPr>
            <w:tcW w:w="2042" w:type="pct"/>
            <w:noWrap w:val="0"/>
            <w:vAlign w:val="center"/>
          </w:tcPr>
          <w:p w14:paraId="56D465F0">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lang w:val="en-US" w:eastAsia="zh-CN"/>
              </w:rPr>
              <w:t>LP1-LP9</w:t>
            </w:r>
            <w:r>
              <w:rPr>
                <w:rFonts w:hint="eastAsia" w:ascii="Times New Roman" w:hAnsi="Times New Roman" w:eastAsia="方正仿宋_GBK" w:cs="宋体"/>
                <w:sz w:val="21"/>
                <w:szCs w:val="21"/>
                <w:highlight w:val="none"/>
              </w:rPr>
              <w:t>（Ⅰ段）</w:t>
            </w:r>
          </w:p>
        </w:tc>
        <w:tc>
          <w:tcPr>
            <w:tcW w:w="1549" w:type="pct"/>
            <w:noWrap w:val="0"/>
            <w:vAlign w:val="center"/>
          </w:tcPr>
          <w:p w14:paraId="5A31531E">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9</w:t>
            </w:r>
          </w:p>
        </w:tc>
      </w:tr>
      <w:tr w14:paraId="2C32F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408" w:type="pct"/>
            <w:noWrap w:val="0"/>
            <w:vAlign w:val="center"/>
          </w:tcPr>
          <w:p w14:paraId="500D0809">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综合业务楼充电桩箱变</w:t>
            </w:r>
          </w:p>
        </w:tc>
        <w:tc>
          <w:tcPr>
            <w:tcW w:w="2042" w:type="pct"/>
            <w:noWrap w:val="0"/>
            <w:vAlign w:val="center"/>
          </w:tcPr>
          <w:p w14:paraId="1A615330">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DP01-DP04</w:t>
            </w:r>
          </w:p>
        </w:tc>
        <w:tc>
          <w:tcPr>
            <w:tcW w:w="1549" w:type="pct"/>
            <w:noWrap w:val="0"/>
            <w:vAlign w:val="center"/>
          </w:tcPr>
          <w:p w14:paraId="35C8C29B">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4</w:t>
            </w:r>
          </w:p>
        </w:tc>
      </w:tr>
      <w:tr w14:paraId="1F626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408" w:type="pct"/>
            <w:noWrap w:val="0"/>
            <w:vAlign w:val="center"/>
          </w:tcPr>
          <w:p w14:paraId="073C7E46">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2#航站楼国际指廊充电桩箱变</w:t>
            </w:r>
          </w:p>
        </w:tc>
        <w:tc>
          <w:tcPr>
            <w:tcW w:w="2042" w:type="pct"/>
            <w:noWrap w:val="0"/>
            <w:vAlign w:val="center"/>
          </w:tcPr>
          <w:p w14:paraId="0BFFD898">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DP01-DP04</w:t>
            </w:r>
          </w:p>
        </w:tc>
        <w:tc>
          <w:tcPr>
            <w:tcW w:w="1549" w:type="pct"/>
            <w:noWrap w:val="0"/>
            <w:vAlign w:val="center"/>
          </w:tcPr>
          <w:p w14:paraId="5D27BEBA">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4</w:t>
            </w:r>
          </w:p>
        </w:tc>
      </w:tr>
      <w:tr w14:paraId="45C1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408" w:type="pct"/>
            <w:noWrap w:val="0"/>
            <w:vAlign w:val="center"/>
          </w:tcPr>
          <w:p w14:paraId="6F165CCF">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2#航站楼国内指廊充电桩箱变</w:t>
            </w:r>
          </w:p>
        </w:tc>
        <w:tc>
          <w:tcPr>
            <w:tcW w:w="2042" w:type="pct"/>
            <w:noWrap w:val="0"/>
            <w:vAlign w:val="center"/>
          </w:tcPr>
          <w:p w14:paraId="51044CD0">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DP01-DP04</w:t>
            </w:r>
          </w:p>
        </w:tc>
        <w:tc>
          <w:tcPr>
            <w:tcW w:w="1549" w:type="pct"/>
            <w:noWrap w:val="0"/>
            <w:vAlign w:val="center"/>
          </w:tcPr>
          <w:p w14:paraId="58892C49">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4</w:t>
            </w:r>
          </w:p>
        </w:tc>
      </w:tr>
      <w:tr w14:paraId="42A5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3450" w:type="pct"/>
            <w:gridSpan w:val="2"/>
            <w:noWrap w:val="0"/>
            <w:vAlign w:val="center"/>
          </w:tcPr>
          <w:p w14:paraId="45BDA9F7">
            <w:pPr>
              <w:jc w:val="center"/>
              <w:rPr>
                <w:rFonts w:hint="eastAsia" w:ascii="Times New Roman" w:hAnsi="Times New Roman" w:eastAsia="方正仿宋_GBK" w:cs="宋体"/>
                <w:sz w:val="21"/>
                <w:szCs w:val="21"/>
                <w:highlight w:val="none"/>
                <w:lang w:eastAsia="zh-CN"/>
              </w:rPr>
            </w:pPr>
            <w:r>
              <w:rPr>
                <w:rFonts w:hint="eastAsia" w:ascii="Times New Roman" w:hAnsi="Times New Roman" w:eastAsia="方正仿宋_GBK" w:cs="宋体"/>
                <w:sz w:val="21"/>
                <w:szCs w:val="21"/>
                <w:highlight w:val="none"/>
                <w:lang w:val="en-US" w:eastAsia="zh-CN"/>
              </w:rPr>
              <w:t>合计</w:t>
            </w:r>
          </w:p>
        </w:tc>
        <w:tc>
          <w:tcPr>
            <w:tcW w:w="1549" w:type="pct"/>
            <w:noWrap w:val="0"/>
            <w:vAlign w:val="center"/>
          </w:tcPr>
          <w:p w14:paraId="7C0DE3AD">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269（含4台施耐德WBTPC LEVEL6双电源柜、7台GE ATS电源柜）</w:t>
            </w:r>
          </w:p>
          <w:p w14:paraId="7E098F13">
            <w:pPr>
              <w:pStyle w:val="2"/>
              <w:jc w:val="center"/>
              <w:rPr>
                <w:rFonts w:hint="eastAsia" w:ascii="Times New Roman" w:hAnsi="Times New Roman" w:eastAsia="方正仿宋_GBK" w:cs="宋体"/>
                <w:sz w:val="21"/>
                <w:szCs w:val="21"/>
                <w:highlight w:val="none"/>
                <w:lang w:val="en-US" w:eastAsia="zh-CN"/>
              </w:rPr>
            </w:pPr>
          </w:p>
        </w:tc>
      </w:tr>
    </w:tbl>
    <w:tbl>
      <w:tblPr>
        <w:tblStyle w:val="18"/>
        <w:tblpPr w:leftFromText="180" w:rightFromText="180" w:vertAnchor="text" w:horzAnchor="page" w:tblpX="1781" w:tblpY="240"/>
        <w:tblOverlap w:val="never"/>
        <w:tblW w:w="50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2"/>
        <w:gridCol w:w="5012"/>
        <w:gridCol w:w="3084"/>
      </w:tblGrid>
      <w:tr w14:paraId="3497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3"/>
            <w:noWrap w:val="0"/>
            <w:vAlign w:val="center"/>
          </w:tcPr>
          <w:p w14:paraId="24A76F17">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lang w:val="en-US" w:eastAsia="zh-CN"/>
              </w:rPr>
              <w:t>对应</w:t>
            </w:r>
            <w:r>
              <w:rPr>
                <w:rFonts w:hint="eastAsia" w:ascii="Times New Roman" w:hAnsi="Times New Roman" w:eastAsia="方正仿宋_GBK" w:cs="宋体"/>
                <w:sz w:val="21"/>
                <w:szCs w:val="21"/>
                <w:highlight w:val="none"/>
              </w:rPr>
              <w:t>楼层配电间落地配电柜明细</w:t>
            </w:r>
          </w:p>
        </w:tc>
      </w:tr>
      <w:tr w14:paraId="09DC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pct"/>
            <w:vMerge w:val="restart"/>
            <w:noWrap w:val="0"/>
            <w:vAlign w:val="center"/>
          </w:tcPr>
          <w:p w14:paraId="0CF524D1">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lang w:val="en-US" w:eastAsia="zh-CN"/>
              </w:rPr>
              <w:t>1#</w:t>
            </w:r>
            <w:r>
              <w:rPr>
                <w:rFonts w:hint="eastAsia" w:ascii="Times New Roman" w:hAnsi="Times New Roman" w:eastAsia="方正仿宋_GBK" w:cs="宋体"/>
                <w:sz w:val="21"/>
                <w:szCs w:val="21"/>
                <w:highlight w:val="none"/>
              </w:rPr>
              <w:t>航站楼</w:t>
            </w:r>
          </w:p>
        </w:tc>
        <w:tc>
          <w:tcPr>
            <w:tcW w:w="2503" w:type="pct"/>
            <w:noWrap w:val="0"/>
            <w:vAlign w:val="center"/>
          </w:tcPr>
          <w:p w14:paraId="20B50C95">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rPr>
              <w:t>配电间编号</w:t>
            </w:r>
          </w:p>
        </w:tc>
        <w:tc>
          <w:tcPr>
            <w:tcW w:w="1540" w:type="pct"/>
            <w:noWrap w:val="0"/>
            <w:vAlign w:val="center"/>
          </w:tcPr>
          <w:p w14:paraId="315F674B">
            <w:pPr>
              <w:jc w:val="center"/>
              <w:rPr>
                <w:rFonts w:hint="eastAsia" w:ascii="Times New Roman" w:hAnsi="Times New Roman" w:eastAsia="方正仿宋_GBK" w:cs="宋体"/>
                <w:sz w:val="21"/>
                <w:szCs w:val="21"/>
                <w:highlight w:val="none"/>
              </w:rPr>
            </w:pPr>
            <w:r>
              <w:rPr>
                <w:rFonts w:hint="eastAsia" w:ascii="Times New Roman" w:hAnsi="Times New Roman" w:eastAsia="方正仿宋_GBK" w:cs="宋体"/>
                <w:sz w:val="21"/>
                <w:szCs w:val="21"/>
                <w:highlight w:val="none"/>
              </w:rPr>
              <w:t>配电柜数量（台）</w:t>
            </w:r>
          </w:p>
        </w:tc>
      </w:tr>
      <w:tr w14:paraId="338C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955" w:type="pct"/>
            <w:vMerge w:val="continue"/>
            <w:noWrap w:val="0"/>
            <w:vAlign w:val="center"/>
          </w:tcPr>
          <w:p w14:paraId="3FDA07A7">
            <w:pPr>
              <w:jc w:val="center"/>
              <w:rPr>
                <w:rFonts w:hint="eastAsia" w:ascii="Times New Roman" w:hAnsi="Times New Roman" w:eastAsia="方正仿宋_GBK" w:cs="宋体"/>
                <w:sz w:val="21"/>
                <w:szCs w:val="21"/>
                <w:highlight w:val="none"/>
              </w:rPr>
            </w:pPr>
          </w:p>
        </w:tc>
        <w:tc>
          <w:tcPr>
            <w:tcW w:w="2503" w:type="pct"/>
            <w:noWrap w:val="0"/>
            <w:vAlign w:val="center"/>
          </w:tcPr>
          <w:p w14:paraId="666FBC4A">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1D1</w:t>
            </w:r>
          </w:p>
        </w:tc>
        <w:tc>
          <w:tcPr>
            <w:tcW w:w="1540" w:type="pct"/>
            <w:noWrap w:val="0"/>
            <w:vAlign w:val="center"/>
          </w:tcPr>
          <w:p w14:paraId="4FACD6ED">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7</w:t>
            </w:r>
          </w:p>
        </w:tc>
      </w:tr>
      <w:tr w14:paraId="654A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955" w:type="pct"/>
            <w:vMerge w:val="continue"/>
            <w:noWrap w:val="0"/>
            <w:vAlign w:val="center"/>
          </w:tcPr>
          <w:p w14:paraId="44C69B86">
            <w:pPr>
              <w:jc w:val="center"/>
              <w:rPr>
                <w:rFonts w:hint="eastAsia" w:ascii="Times New Roman" w:hAnsi="Times New Roman" w:eastAsia="方正仿宋_GBK" w:cs="宋体"/>
                <w:sz w:val="21"/>
                <w:szCs w:val="21"/>
                <w:highlight w:val="none"/>
              </w:rPr>
            </w:pPr>
          </w:p>
        </w:tc>
        <w:tc>
          <w:tcPr>
            <w:tcW w:w="2503" w:type="pct"/>
            <w:noWrap w:val="0"/>
            <w:vAlign w:val="center"/>
          </w:tcPr>
          <w:p w14:paraId="40C82E68">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1D1-1</w:t>
            </w:r>
          </w:p>
        </w:tc>
        <w:tc>
          <w:tcPr>
            <w:tcW w:w="1540" w:type="pct"/>
            <w:noWrap w:val="0"/>
            <w:vAlign w:val="center"/>
          </w:tcPr>
          <w:p w14:paraId="022E3A37">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2</w:t>
            </w:r>
          </w:p>
        </w:tc>
      </w:tr>
      <w:tr w14:paraId="4A7D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55" w:type="pct"/>
            <w:vMerge w:val="continue"/>
            <w:noWrap w:val="0"/>
            <w:vAlign w:val="center"/>
          </w:tcPr>
          <w:p w14:paraId="5283FC83">
            <w:pPr>
              <w:jc w:val="center"/>
              <w:rPr>
                <w:rFonts w:hint="eastAsia" w:ascii="Times New Roman" w:hAnsi="Times New Roman" w:eastAsia="方正仿宋_GBK" w:cs="宋体"/>
                <w:sz w:val="21"/>
                <w:szCs w:val="21"/>
                <w:highlight w:val="none"/>
              </w:rPr>
            </w:pPr>
          </w:p>
        </w:tc>
        <w:tc>
          <w:tcPr>
            <w:tcW w:w="2503" w:type="pct"/>
            <w:noWrap w:val="0"/>
            <w:vAlign w:val="center"/>
          </w:tcPr>
          <w:p w14:paraId="3A8952F6">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1D2</w:t>
            </w:r>
          </w:p>
        </w:tc>
        <w:tc>
          <w:tcPr>
            <w:tcW w:w="1540" w:type="pct"/>
            <w:noWrap w:val="0"/>
            <w:vAlign w:val="center"/>
          </w:tcPr>
          <w:p w14:paraId="65A65DAF">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12</w:t>
            </w:r>
          </w:p>
        </w:tc>
      </w:tr>
      <w:tr w14:paraId="0739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pct"/>
            <w:vMerge w:val="continue"/>
            <w:noWrap w:val="0"/>
            <w:vAlign w:val="center"/>
          </w:tcPr>
          <w:p w14:paraId="32DBF291">
            <w:pPr>
              <w:jc w:val="center"/>
              <w:rPr>
                <w:rFonts w:hint="eastAsia" w:ascii="Times New Roman" w:hAnsi="Times New Roman" w:eastAsia="方正仿宋_GBK" w:cs="宋体"/>
                <w:sz w:val="21"/>
                <w:szCs w:val="21"/>
                <w:highlight w:val="none"/>
              </w:rPr>
            </w:pPr>
          </w:p>
        </w:tc>
        <w:tc>
          <w:tcPr>
            <w:tcW w:w="2503" w:type="pct"/>
            <w:noWrap w:val="0"/>
            <w:vAlign w:val="center"/>
          </w:tcPr>
          <w:p w14:paraId="1EF561F3">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1D2-1</w:t>
            </w:r>
          </w:p>
        </w:tc>
        <w:tc>
          <w:tcPr>
            <w:tcW w:w="1540" w:type="pct"/>
            <w:noWrap w:val="0"/>
            <w:vAlign w:val="center"/>
          </w:tcPr>
          <w:p w14:paraId="72BC8D1D">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2</w:t>
            </w:r>
          </w:p>
        </w:tc>
      </w:tr>
      <w:tr w14:paraId="0C66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55" w:type="pct"/>
            <w:vMerge w:val="continue"/>
            <w:noWrap w:val="0"/>
            <w:vAlign w:val="center"/>
          </w:tcPr>
          <w:p w14:paraId="2A234EC4">
            <w:pPr>
              <w:jc w:val="center"/>
              <w:rPr>
                <w:rFonts w:hint="eastAsia" w:ascii="Times New Roman" w:hAnsi="Times New Roman" w:eastAsia="方正仿宋_GBK" w:cs="宋体"/>
                <w:sz w:val="21"/>
                <w:szCs w:val="21"/>
                <w:highlight w:val="none"/>
              </w:rPr>
            </w:pPr>
          </w:p>
        </w:tc>
        <w:tc>
          <w:tcPr>
            <w:tcW w:w="2503" w:type="pct"/>
            <w:noWrap w:val="0"/>
            <w:vAlign w:val="center"/>
          </w:tcPr>
          <w:p w14:paraId="218FC6BC">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1D3</w:t>
            </w:r>
          </w:p>
        </w:tc>
        <w:tc>
          <w:tcPr>
            <w:tcW w:w="1540" w:type="pct"/>
            <w:noWrap w:val="0"/>
            <w:vAlign w:val="center"/>
          </w:tcPr>
          <w:p w14:paraId="67B5EC38">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3</w:t>
            </w:r>
          </w:p>
        </w:tc>
      </w:tr>
      <w:tr w14:paraId="028D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55" w:type="pct"/>
            <w:vMerge w:val="continue"/>
            <w:noWrap w:val="0"/>
            <w:vAlign w:val="center"/>
          </w:tcPr>
          <w:p w14:paraId="65A1E788">
            <w:pPr>
              <w:jc w:val="center"/>
              <w:rPr>
                <w:rFonts w:hint="eastAsia" w:ascii="Times New Roman" w:hAnsi="Times New Roman" w:eastAsia="方正仿宋_GBK" w:cs="宋体"/>
                <w:sz w:val="21"/>
                <w:szCs w:val="21"/>
                <w:highlight w:val="none"/>
              </w:rPr>
            </w:pPr>
          </w:p>
        </w:tc>
        <w:tc>
          <w:tcPr>
            <w:tcW w:w="2503" w:type="pct"/>
            <w:noWrap w:val="0"/>
            <w:vAlign w:val="center"/>
          </w:tcPr>
          <w:p w14:paraId="583B6CB1">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1D4</w:t>
            </w:r>
          </w:p>
        </w:tc>
        <w:tc>
          <w:tcPr>
            <w:tcW w:w="1540" w:type="pct"/>
            <w:noWrap w:val="0"/>
            <w:vAlign w:val="center"/>
          </w:tcPr>
          <w:p w14:paraId="2D33067F">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4</w:t>
            </w:r>
          </w:p>
        </w:tc>
      </w:tr>
      <w:tr w14:paraId="27C0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55" w:type="pct"/>
            <w:vMerge w:val="continue"/>
            <w:noWrap w:val="0"/>
            <w:vAlign w:val="center"/>
          </w:tcPr>
          <w:p w14:paraId="197E7B48">
            <w:pPr>
              <w:jc w:val="center"/>
              <w:rPr>
                <w:rFonts w:hint="eastAsia" w:ascii="Times New Roman" w:hAnsi="Times New Roman" w:eastAsia="方正仿宋_GBK" w:cs="宋体"/>
                <w:sz w:val="21"/>
                <w:szCs w:val="21"/>
                <w:highlight w:val="none"/>
              </w:rPr>
            </w:pPr>
          </w:p>
        </w:tc>
        <w:tc>
          <w:tcPr>
            <w:tcW w:w="2503" w:type="pct"/>
            <w:noWrap w:val="0"/>
            <w:vAlign w:val="center"/>
          </w:tcPr>
          <w:p w14:paraId="43AF2E2C">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1D5</w:t>
            </w:r>
          </w:p>
        </w:tc>
        <w:tc>
          <w:tcPr>
            <w:tcW w:w="1540" w:type="pct"/>
            <w:noWrap w:val="0"/>
            <w:vAlign w:val="center"/>
          </w:tcPr>
          <w:p w14:paraId="25AC136B">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8</w:t>
            </w:r>
          </w:p>
        </w:tc>
      </w:tr>
      <w:tr w14:paraId="3600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955" w:type="pct"/>
            <w:vMerge w:val="continue"/>
            <w:noWrap w:val="0"/>
            <w:vAlign w:val="center"/>
          </w:tcPr>
          <w:p w14:paraId="01B3FF4A">
            <w:pPr>
              <w:jc w:val="center"/>
              <w:rPr>
                <w:rFonts w:hint="eastAsia" w:ascii="Times New Roman" w:hAnsi="Times New Roman" w:eastAsia="方正仿宋_GBK" w:cs="宋体"/>
                <w:sz w:val="21"/>
                <w:szCs w:val="21"/>
                <w:highlight w:val="none"/>
              </w:rPr>
            </w:pPr>
          </w:p>
        </w:tc>
        <w:tc>
          <w:tcPr>
            <w:tcW w:w="2503" w:type="pct"/>
            <w:noWrap w:val="0"/>
            <w:vAlign w:val="center"/>
          </w:tcPr>
          <w:p w14:paraId="14A3A443">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1D6</w:t>
            </w:r>
          </w:p>
        </w:tc>
        <w:tc>
          <w:tcPr>
            <w:tcW w:w="1540" w:type="pct"/>
            <w:noWrap w:val="0"/>
            <w:vAlign w:val="center"/>
          </w:tcPr>
          <w:p w14:paraId="4FBB0861">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10</w:t>
            </w:r>
          </w:p>
        </w:tc>
      </w:tr>
      <w:tr w14:paraId="61FA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pct"/>
            <w:vMerge w:val="continue"/>
            <w:noWrap w:val="0"/>
            <w:vAlign w:val="center"/>
          </w:tcPr>
          <w:p w14:paraId="61225321">
            <w:pPr>
              <w:jc w:val="center"/>
              <w:rPr>
                <w:rFonts w:hint="eastAsia" w:ascii="Times New Roman" w:hAnsi="Times New Roman" w:eastAsia="方正仿宋_GBK" w:cs="宋体"/>
                <w:sz w:val="21"/>
                <w:szCs w:val="21"/>
                <w:highlight w:val="none"/>
              </w:rPr>
            </w:pPr>
          </w:p>
        </w:tc>
        <w:tc>
          <w:tcPr>
            <w:tcW w:w="2503" w:type="pct"/>
            <w:noWrap w:val="0"/>
            <w:vAlign w:val="center"/>
          </w:tcPr>
          <w:p w14:paraId="1891BE51">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1D7</w:t>
            </w:r>
          </w:p>
        </w:tc>
        <w:tc>
          <w:tcPr>
            <w:tcW w:w="1540" w:type="pct"/>
            <w:noWrap w:val="0"/>
            <w:vAlign w:val="center"/>
          </w:tcPr>
          <w:p w14:paraId="61882FAC">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7</w:t>
            </w:r>
          </w:p>
        </w:tc>
      </w:tr>
      <w:tr w14:paraId="0946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55" w:type="pct"/>
            <w:vMerge w:val="continue"/>
            <w:noWrap w:val="0"/>
            <w:vAlign w:val="center"/>
          </w:tcPr>
          <w:p w14:paraId="72D5FB49">
            <w:pPr>
              <w:jc w:val="center"/>
              <w:rPr>
                <w:rFonts w:hint="eastAsia" w:ascii="Times New Roman" w:hAnsi="Times New Roman" w:eastAsia="方正仿宋_GBK" w:cs="宋体"/>
                <w:sz w:val="21"/>
                <w:szCs w:val="21"/>
                <w:highlight w:val="none"/>
              </w:rPr>
            </w:pPr>
          </w:p>
        </w:tc>
        <w:tc>
          <w:tcPr>
            <w:tcW w:w="2503" w:type="pct"/>
            <w:noWrap w:val="0"/>
            <w:vAlign w:val="center"/>
          </w:tcPr>
          <w:p w14:paraId="73623CE3">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1D8</w:t>
            </w:r>
          </w:p>
        </w:tc>
        <w:tc>
          <w:tcPr>
            <w:tcW w:w="1540" w:type="pct"/>
            <w:noWrap w:val="0"/>
            <w:vAlign w:val="center"/>
          </w:tcPr>
          <w:p w14:paraId="32627A26">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10</w:t>
            </w:r>
          </w:p>
        </w:tc>
      </w:tr>
      <w:tr w14:paraId="18C4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55" w:type="pct"/>
            <w:vMerge w:val="continue"/>
            <w:noWrap w:val="0"/>
            <w:vAlign w:val="center"/>
          </w:tcPr>
          <w:p w14:paraId="67533018">
            <w:pPr>
              <w:jc w:val="center"/>
              <w:rPr>
                <w:rFonts w:hint="eastAsia" w:ascii="Times New Roman" w:hAnsi="Times New Roman" w:eastAsia="方正仿宋_GBK" w:cs="宋体"/>
                <w:sz w:val="21"/>
                <w:szCs w:val="21"/>
                <w:highlight w:val="none"/>
              </w:rPr>
            </w:pPr>
          </w:p>
        </w:tc>
        <w:tc>
          <w:tcPr>
            <w:tcW w:w="2503" w:type="pct"/>
            <w:noWrap w:val="0"/>
            <w:vAlign w:val="center"/>
          </w:tcPr>
          <w:p w14:paraId="6F410B99">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2D1</w:t>
            </w:r>
          </w:p>
        </w:tc>
        <w:tc>
          <w:tcPr>
            <w:tcW w:w="1540" w:type="pct"/>
            <w:noWrap w:val="0"/>
            <w:vAlign w:val="center"/>
          </w:tcPr>
          <w:p w14:paraId="10128A74">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8</w:t>
            </w:r>
          </w:p>
        </w:tc>
      </w:tr>
      <w:tr w14:paraId="5C2C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55" w:type="pct"/>
            <w:vMerge w:val="continue"/>
            <w:noWrap w:val="0"/>
            <w:vAlign w:val="center"/>
          </w:tcPr>
          <w:p w14:paraId="625185AF">
            <w:pPr>
              <w:jc w:val="center"/>
              <w:rPr>
                <w:rFonts w:hint="eastAsia" w:ascii="Times New Roman" w:hAnsi="Times New Roman" w:eastAsia="方正仿宋_GBK" w:cs="宋体"/>
                <w:sz w:val="21"/>
                <w:szCs w:val="21"/>
                <w:highlight w:val="none"/>
              </w:rPr>
            </w:pPr>
          </w:p>
        </w:tc>
        <w:tc>
          <w:tcPr>
            <w:tcW w:w="2503" w:type="pct"/>
            <w:noWrap w:val="0"/>
            <w:vAlign w:val="center"/>
          </w:tcPr>
          <w:p w14:paraId="10B1FADC">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2D2</w:t>
            </w:r>
          </w:p>
        </w:tc>
        <w:tc>
          <w:tcPr>
            <w:tcW w:w="1540" w:type="pct"/>
            <w:noWrap w:val="0"/>
            <w:vAlign w:val="center"/>
          </w:tcPr>
          <w:p w14:paraId="545C21E4">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6</w:t>
            </w:r>
          </w:p>
        </w:tc>
      </w:tr>
      <w:tr w14:paraId="6FF5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55" w:type="pct"/>
            <w:vMerge w:val="continue"/>
            <w:noWrap w:val="0"/>
            <w:vAlign w:val="center"/>
          </w:tcPr>
          <w:p w14:paraId="670DCE99">
            <w:pPr>
              <w:jc w:val="center"/>
              <w:rPr>
                <w:rFonts w:hint="eastAsia" w:ascii="Times New Roman" w:hAnsi="Times New Roman" w:eastAsia="方正仿宋_GBK" w:cs="宋体"/>
                <w:sz w:val="21"/>
                <w:szCs w:val="21"/>
                <w:highlight w:val="none"/>
              </w:rPr>
            </w:pPr>
          </w:p>
        </w:tc>
        <w:tc>
          <w:tcPr>
            <w:tcW w:w="2503" w:type="pct"/>
            <w:noWrap w:val="0"/>
            <w:vAlign w:val="center"/>
          </w:tcPr>
          <w:p w14:paraId="5FE82C47">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2D3</w:t>
            </w:r>
          </w:p>
        </w:tc>
        <w:tc>
          <w:tcPr>
            <w:tcW w:w="1540" w:type="pct"/>
            <w:noWrap w:val="0"/>
            <w:vAlign w:val="center"/>
          </w:tcPr>
          <w:p w14:paraId="1A4870FD">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10</w:t>
            </w:r>
          </w:p>
        </w:tc>
      </w:tr>
      <w:tr w14:paraId="008E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55" w:type="pct"/>
            <w:vMerge w:val="continue"/>
            <w:noWrap w:val="0"/>
            <w:vAlign w:val="center"/>
          </w:tcPr>
          <w:p w14:paraId="6D6F4F36">
            <w:pPr>
              <w:jc w:val="center"/>
              <w:rPr>
                <w:rFonts w:hint="eastAsia" w:ascii="Times New Roman" w:hAnsi="Times New Roman" w:eastAsia="方正仿宋_GBK" w:cs="宋体"/>
                <w:sz w:val="21"/>
                <w:szCs w:val="21"/>
                <w:highlight w:val="none"/>
              </w:rPr>
            </w:pPr>
          </w:p>
        </w:tc>
        <w:tc>
          <w:tcPr>
            <w:tcW w:w="2503" w:type="pct"/>
            <w:noWrap w:val="0"/>
            <w:vAlign w:val="center"/>
          </w:tcPr>
          <w:p w14:paraId="13CE7976">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2D4</w:t>
            </w:r>
          </w:p>
        </w:tc>
        <w:tc>
          <w:tcPr>
            <w:tcW w:w="1540" w:type="pct"/>
            <w:noWrap w:val="0"/>
            <w:vAlign w:val="center"/>
          </w:tcPr>
          <w:p w14:paraId="0CB89BFE">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10</w:t>
            </w:r>
          </w:p>
        </w:tc>
      </w:tr>
      <w:tr w14:paraId="7972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55" w:type="pct"/>
            <w:vMerge w:val="continue"/>
            <w:noWrap w:val="0"/>
            <w:vAlign w:val="center"/>
          </w:tcPr>
          <w:p w14:paraId="542F382F">
            <w:pPr>
              <w:jc w:val="center"/>
              <w:rPr>
                <w:rFonts w:hint="eastAsia" w:ascii="Times New Roman" w:hAnsi="Times New Roman" w:eastAsia="方正仿宋_GBK" w:cs="宋体"/>
                <w:sz w:val="21"/>
                <w:szCs w:val="21"/>
                <w:highlight w:val="none"/>
              </w:rPr>
            </w:pPr>
          </w:p>
        </w:tc>
        <w:tc>
          <w:tcPr>
            <w:tcW w:w="2503" w:type="pct"/>
            <w:noWrap w:val="0"/>
            <w:vAlign w:val="center"/>
          </w:tcPr>
          <w:p w14:paraId="4C03F977">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3D1</w:t>
            </w:r>
          </w:p>
        </w:tc>
        <w:tc>
          <w:tcPr>
            <w:tcW w:w="1540" w:type="pct"/>
            <w:noWrap w:val="0"/>
            <w:vAlign w:val="center"/>
          </w:tcPr>
          <w:p w14:paraId="34300E84">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12</w:t>
            </w:r>
          </w:p>
        </w:tc>
      </w:tr>
      <w:tr w14:paraId="2ACC8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55" w:type="pct"/>
            <w:vMerge w:val="continue"/>
            <w:noWrap w:val="0"/>
            <w:vAlign w:val="center"/>
          </w:tcPr>
          <w:p w14:paraId="193AF65A">
            <w:pPr>
              <w:jc w:val="center"/>
              <w:rPr>
                <w:rFonts w:hint="eastAsia" w:ascii="Times New Roman" w:hAnsi="Times New Roman" w:eastAsia="方正仿宋_GBK" w:cs="宋体"/>
                <w:sz w:val="21"/>
                <w:szCs w:val="21"/>
                <w:highlight w:val="none"/>
                <w:lang w:val="en-US" w:eastAsia="zh-CN"/>
              </w:rPr>
            </w:pPr>
          </w:p>
        </w:tc>
        <w:tc>
          <w:tcPr>
            <w:tcW w:w="2503" w:type="pct"/>
            <w:noWrap w:val="0"/>
            <w:vAlign w:val="center"/>
          </w:tcPr>
          <w:p w14:paraId="65FCD1C6">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3D2</w:t>
            </w:r>
          </w:p>
        </w:tc>
        <w:tc>
          <w:tcPr>
            <w:tcW w:w="1540" w:type="pct"/>
            <w:noWrap w:val="0"/>
            <w:vAlign w:val="center"/>
          </w:tcPr>
          <w:p w14:paraId="240FF0DB">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12</w:t>
            </w:r>
          </w:p>
        </w:tc>
      </w:tr>
      <w:tr w14:paraId="3108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55" w:type="pct"/>
            <w:vMerge w:val="continue"/>
            <w:noWrap w:val="0"/>
            <w:vAlign w:val="center"/>
          </w:tcPr>
          <w:p w14:paraId="6B57A959">
            <w:pPr>
              <w:jc w:val="center"/>
              <w:rPr>
                <w:rFonts w:hint="eastAsia" w:ascii="Times New Roman" w:hAnsi="Times New Roman" w:eastAsia="方正仿宋_GBK" w:cs="宋体"/>
                <w:sz w:val="21"/>
                <w:szCs w:val="21"/>
                <w:highlight w:val="none"/>
                <w:lang w:val="en-US" w:eastAsia="zh-CN"/>
              </w:rPr>
            </w:pPr>
          </w:p>
        </w:tc>
        <w:tc>
          <w:tcPr>
            <w:tcW w:w="2503" w:type="pct"/>
            <w:noWrap w:val="0"/>
            <w:vAlign w:val="center"/>
          </w:tcPr>
          <w:p w14:paraId="2325C0A5">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3D3</w:t>
            </w:r>
          </w:p>
        </w:tc>
        <w:tc>
          <w:tcPr>
            <w:tcW w:w="1540" w:type="pct"/>
            <w:noWrap w:val="0"/>
            <w:vAlign w:val="center"/>
          </w:tcPr>
          <w:p w14:paraId="7592D639">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9</w:t>
            </w:r>
          </w:p>
        </w:tc>
      </w:tr>
      <w:tr w14:paraId="48C9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55" w:type="pct"/>
            <w:vMerge w:val="continue"/>
            <w:noWrap w:val="0"/>
            <w:vAlign w:val="center"/>
          </w:tcPr>
          <w:p w14:paraId="34C2ED34">
            <w:pPr>
              <w:jc w:val="center"/>
              <w:rPr>
                <w:rFonts w:hint="eastAsia" w:ascii="Times New Roman" w:hAnsi="Times New Roman" w:eastAsia="方正仿宋_GBK" w:cs="宋体"/>
                <w:sz w:val="21"/>
                <w:szCs w:val="21"/>
                <w:highlight w:val="none"/>
                <w:lang w:val="en-US" w:eastAsia="zh-CN"/>
              </w:rPr>
            </w:pPr>
          </w:p>
        </w:tc>
        <w:tc>
          <w:tcPr>
            <w:tcW w:w="2503" w:type="pct"/>
            <w:noWrap w:val="0"/>
            <w:vAlign w:val="center"/>
          </w:tcPr>
          <w:p w14:paraId="70CDD8BD">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3D4</w:t>
            </w:r>
          </w:p>
        </w:tc>
        <w:tc>
          <w:tcPr>
            <w:tcW w:w="1540" w:type="pct"/>
            <w:noWrap w:val="0"/>
            <w:vAlign w:val="center"/>
          </w:tcPr>
          <w:p w14:paraId="2D9A158D">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13</w:t>
            </w:r>
          </w:p>
        </w:tc>
      </w:tr>
      <w:tr w14:paraId="0C9E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955" w:type="pct"/>
            <w:vMerge w:val="continue"/>
            <w:noWrap w:val="0"/>
            <w:vAlign w:val="center"/>
          </w:tcPr>
          <w:p w14:paraId="4B297185">
            <w:pPr>
              <w:jc w:val="center"/>
              <w:rPr>
                <w:rFonts w:hint="eastAsia" w:ascii="Times New Roman" w:hAnsi="Times New Roman" w:eastAsia="方正仿宋_GBK" w:cs="宋体"/>
                <w:sz w:val="21"/>
                <w:szCs w:val="21"/>
                <w:highlight w:val="none"/>
                <w:lang w:val="en-US" w:eastAsia="zh-CN"/>
              </w:rPr>
            </w:pPr>
          </w:p>
        </w:tc>
        <w:tc>
          <w:tcPr>
            <w:tcW w:w="2503" w:type="pct"/>
            <w:noWrap w:val="0"/>
            <w:vAlign w:val="center"/>
          </w:tcPr>
          <w:p w14:paraId="3B40D14C">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3D5</w:t>
            </w:r>
          </w:p>
        </w:tc>
        <w:tc>
          <w:tcPr>
            <w:tcW w:w="1540" w:type="pct"/>
            <w:noWrap w:val="0"/>
            <w:vAlign w:val="center"/>
          </w:tcPr>
          <w:p w14:paraId="091D66DF">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9</w:t>
            </w:r>
          </w:p>
        </w:tc>
      </w:tr>
      <w:tr w14:paraId="445B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955" w:type="pct"/>
            <w:vMerge w:val="continue"/>
            <w:noWrap w:val="0"/>
            <w:vAlign w:val="center"/>
          </w:tcPr>
          <w:p w14:paraId="3A23FB6C">
            <w:pPr>
              <w:jc w:val="center"/>
              <w:rPr>
                <w:rFonts w:hint="eastAsia" w:ascii="Times New Roman" w:hAnsi="Times New Roman" w:eastAsia="方正仿宋_GBK" w:cs="宋体"/>
                <w:sz w:val="21"/>
                <w:szCs w:val="21"/>
                <w:highlight w:val="none"/>
                <w:lang w:val="en-US" w:eastAsia="zh-CN"/>
              </w:rPr>
            </w:pPr>
          </w:p>
        </w:tc>
        <w:tc>
          <w:tcPr>
            <w:tcW w:w="2503" w:type="pct"/>
            <w:noWrap w:val="0"/>
            <w:vAlign w:val="center"/>
          </w:tcPr>
          <w:p w14:paraId="1F6D60C7">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3D6</w:t>
            </w:r>
          </w:p>
        </w:tc>
        <w:tc>
          <w:tcPr>
            <w:tcW w:w="1540" w:type="pct"/>
            <w:noWrap w:val="0"/>
            <w:vAlign w:val="center"/>
          </w:tcPr>
          <w:p w14:paraId="53203F72">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7</w:t>
            </w:r>
          </w:p>
        </w:tc>
      </w:tr>
      <w:tr w14:paraId="3AFB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955" w:type="pct"/>
            <w:vMerge w:val="continue"/>
            <w:noWrap w:val="0"/>
            <w:vAlign w:val="center"/>
          </w:tcPr>
          <w:p w14:paraId="15864A9B">
            <w:pPr>
              <w:jc w:val="center"/>
              <w:rPr>
                <w:rFonts w:hint="eastAsia" w:ascii="Times New Roman" w:hAnsi="Times New Roman" w:eastAsia="方正仿宋_GBK" w:cs="宋体"/>
                <w:sz w:val="21"/>
                <w:szCs w:val="21"/>
                <w:highlight w:val="none"/>
                <w:lang w:val="en-US" w:eastAsia="zh-CN"/>
              </w:rPr>
            </w:pPr>
          </w:p>
        </w:tc>
        <w:tc>
          <w:tcPr>
            <w:tcW w:w="2503" w:type="pct"/>
            <w:noWrap w:val="0"/>
            <w:vAlign w:val="center"/>
          </w:tcPr>
          <w:p w14:paraId="7D7BAF72">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3D6-1</w:t>
            </w:r>
          </w:p>
        </w:tc>
        <w:tc>
          <w:tcPr>
            <w:tcW w:w="1540" w:type="pct"/>
            <w:noWrap w:val="0"/>
            <w:vAlign w:val="center"/>
          </w:tcPr>
          <w:p w14:paraId="65E3EBC6">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2</w:t>
            </w:r>
          </w:p>
        </w:tc>
      </w:tr>
      <w:tr w14:paraId="0510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55" w:type="pct"/>
            <w:vMerge w:val="continue"/>
            <w:noWrap w:val="0"/>
            <w:vAlign w:val="center"/>
          </w:tcPr>
          <w:p w14:paraId="60AB5191">
            <w:pPr>
              <w:jc w:val="center"/>
              <w:rPr>
                <w:rFonts w:hint="eastAsia" w:ascii="Times New Roman" w:hAnsi="Times New Roman" w:eastAsia="方正仿宋_GBK" w:cs="宋体"/>
                <w:sz w:val="21"/>
                <w:szCs w:val="21"/>
                <w:highlight w:val="none"/>
                <w:lang w:val="en-US" w:eastAsia="zh-CN"/>
              </w:rPr>
            </w:pPr>
          </w:p>
        </w:tc>
        <w:tc>
          <w:tcPr>
            <w:tcW w:w="2503" w:type="pct"/>
            <w:noWrap w:val="0"/>
            <w:vAlign w:val="center"/>
          </w:tcPr>
          <w:p w14:paraId="49B68914">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4D1</w:t>
            </w:r>
          </w:p>
        </w:tc>
        <w:tc>
          <w:tcPr>
            <w:tcW w:w="1540" w:type="pct"/>
            <w:noWrap w:val="0"/>
            <w:vAlign w:val="center"/>
          </w:tcPr>
          <w:p w14:paraId="6A235B34">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6</w:t>
            </w:r>
          </w:p>
        </w:tc>
      </w:tr>
      <w:tr w14:paraId="5B38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55" w:type="pct"/>
            <w:vMerge w:val="continue"/>
            <w:noWrap w:val="0"/>
            <w:vAlign w:val="center"/>
          </w:tcPr>
          <w:p w14:paraId="638BCACD">
            <w:pPr>
              <w:jc w:val="center"/>
              <w:rPr>
                <w:rFonts w:hint="eastAsia" w:ascii="Times New Roman" w:hAnsi="Times New Roman" w:eastAsia="方正仿宋_GBK" w:cs="宋体"/>
                <w:sz w:val="21"/>
                <w:szCs w:val="21"/>
                <w:highlight w:val="none"/>
                <w:lang w:val="en-US" w:eastAsia="zh-CN"/>
              </w:rPr>
            </w:pPr>
          </w:p>
        </w:tc>
        <w:tc>
          <w:tcPr>
            <w:tcW w:w="2503" w:type="pct"/>
            <w:noWrap w:val="0"/>
            <w:vAlign w:val="center"/>
          </w:tcPr>
          <w:p w14:paraId="0D598ED5">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4D2</w:t>
            </w:r>
          </w:p>
        </w:tc>
        <w:tc>
          <w:tcPr>
            <w:tcW w:w="1540" w:type="pct"/>
            <w:noWrap w:val="0"/>
            <w:vAlign w:val="center"/>
          </w:tcPr>
          <w:p w14:paraId="403CE105">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8</w:t>
            </w:r>
          </w:p>
        </w:tc>
      </w:tr>
      <w:tr w14:paraId="71D3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55" w:type="pct"/>
            <w:vMerge w:val="continue"/>
            <w:noWrap w:val="0"/>
            <w:vAlign w:val="center"/>
          </w:tcPr>
          <w:p w14:paraId="6920FA19">
            <w:pPr>
              <w:jc w:val="center"/>
              <w:rPr>
                <w:rFonts w:hint="eastAsia" w:ascii="Times New Roman" w:hAnsi="Times New Roman" w:eastAsia="方正仿宋_GBK" w:cs="宋体"/>
                <w:sz w:val="21"/>
                <w:szCs w:val="21"/>
                <w:highlight w:val="none"/>
                <w:lang w:val="en-US" w:eastAsia="zh-CN"/>
              </w:rPr>
            </w:pPr>
          </w:p>
        </w:tc>
        <w:tc>
          <w:tcPr>
            <w:tcW w:w="2503" w:type="pct"/>
            <w:noWrap w:val="0"/>
            <w:vAlign w:val="center"/>
          </w:tcPr>
          <w:p w14:paraId="119A45E9">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5D1</w:t>
            </w:r>
          </w:p>
        </w:tc>
        <w:tc>
          <w:tcPr>
            <w:tcW w:w="1540" w:type="pct"/>
            <w:noWrap w:val="0"/>
            <w:vAlign w:val="center"/>
          </w:tcPr>
          <w:p w14:paraId="41A1DD8E">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14</w:t>
            </w:r>
          </w:p>
        </w:tc>
      </w:tr>
      <w:tr w14:paraId="1CCC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55" w:type="pct"/>
            <w:vMerge w:val="continue"/>
            <w:noWrap w:val="0"/>
            <w:vAlign w:val="center"/>
          </w:tcPr>
          <w:p w14:paraId="49CDB57A">
            <w:pPr>
              <w:jc w:val="center"/>
              <w:rPr>
                <w:rFonts w:hint="eastAsia" w:ascii="Times New Roman" w:hAnsi="Times New Roman" w:eastAsia="方正仿宋_GBK" w:cs="宋体"/>
                <w:sz w:val="21"/>
                <w:szCs w:val="21"/>
                <w:highlight w:val="none"/>
                <w:lang w:val="en-US" w:eastAsia="zh-CN"/>
              </w:rPr>
            </w:pPr>
          </w:p>
        </w:tc>
        <w:tc>
          <w:tcPr>
            <w:tcW w:w="2503" w:type="pct"/>
            <w:noWrap w:val="0"/>
            <w:vAlign w:val="center"/>
          </w:tcPr>
          <w:p w14:paraId="1B5B1978">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5D2</w:t>
            </w:r>
          </w:p>
        </w:tc>
        <w:tc>
          <w:tcPr>
            <w:tcW w:w="1540" w:type="pct"/>
            <w:noWrap w:val="0"/>
            <w:vAlign w:val="center"/>
          </w:tcPr>
          <w:p w14:paraId="105BF1B0">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13</w:t>
            </w:r>
          </w:p>
        </w:tc>
      </w:tr>
      <w:tr w14:paraId="6C8C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55" w:type="pct"/>
            <w:vMerge w:val="continue"/>
            <w:noWrap w:val="0"/>
            <w:vAlign w:val="center"/>
          </w:tcPr>
          <w:p w14:paraId="48DD753B">
            <w:pPr>
              <w:jc w:val="center"/>
              <w:rPr>
                <w:rFonts w:hint="eastAsia" w:ascii="Times New Roman" w:hAnsi="Times New Roman" w:eastAsia="方正仿宋_GBK" w:cs="宋体"/>
                <w:sz w:val="21"/>
                <w:szCs w:val="21"/>
                <w:highlight w:val="none"/>
                <w:lang w:val="en-US" w:eastAsia="zh-CN"/>
              </w:rPr>
            </w:pPr>
          </w:p>
        </w:tc>
        <w:tc>
          <w:tcPr>
            <w:tcW w:w="2503" w:type="pct"/>
            <w:noWrap w:val="0"/>
            <w:vAlign w:val="center"/>
          </w:tcPr>
          <w:p w14:paraId="18F754EB">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5D2-1</w:t>
            </w:r>
          </w:p>
        </w:tc>
        <w:tc>
          <w:tcPr>
            <w:tcW w:w="1540" w:type="pct"/>
            <w:noWrap w:val="0"/>
            <w:vAlign w:val="center"/>
          </w:tcPr>
          <w:p w14:paraId="2EB343A8">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w:t>
            </w:r>
          </w:p>
        </w:tc>
      </w:tr>
      <w:tr w14:paraId="713E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55" w:type="pct"/>
            <w:vMerge w:val="continue"/>
            <w:noWrap w:val="0"/>
            <w:vAlign w:val="center"/>
          </w:tcPr>
          <w:p w14:paraId="66B2F84B">
            <w:pPr>
              <w:jc w:val="center"/>
              <w:rPr>
                <w:rFonts w:hint="eastAsia" w:ascii="Times New Roman" w:hAnsi="Times New Roman" w:eastAsia="方正仿宋_GBK" w:cs="宋体"/>
                <w:sz w:val="21"/>
                <w:szCs w:val="21"/>
                <w:highlight w:val="none"/>
                <w:lang w:val="en-US" w:eastAsia="zh-CN"/>
              </w:rPr>
            </w:pPr>
          </w:p>
        </w:tc>
        <w:tc>
          <w:tcPr>
            <w:tcW w:w="2503" w:type="pct"/>
            <w:noWrap w:val="0"/>
            <w:vAlign w:val="center"/>
          </w:tcPr>
          <w:p w14:paraId="57D42223">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南指廊1D1</w:t>
            </w:r>
          </w:p>
        </w:tc>
        <w:tc>
          <w:tcPr>
            <w:tcW w:w="1540" w:type="pct"/>
            <w:noWrap w:val="0"/>
            <w:vAlign w:val="center"/>
          </w:tcPr>
          <w:p w14:paraId="6B2F95A7">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6</w:t>
            </w:r>
          </w:p>
        </w:tc>
      </w:tr>
      <w:tr w14:paraId="0A945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55" w:type="pct"/>
            <w:vMerge w:val="continue"/>
            <w:noWrap w:val="0"/>
            <w:vAlign w:val="center"/>
          </w:tcPr>
          <w:p w14:paraId="3DAA7F59">
            <w:pPr>
              <w:jc w:val="center"/>
              <w:rPr>
                <w:rFonts w:hint="eastAsia" w:ascii="Times New Roman" w:hAnsi="Times New Roman" w:eastAsia="方正仿宋_GBK" w:cs="宋体"/>
                <w:sz w:val="21"/>
                <w:szCs w:val="21"/>
                <w:highlight w:val="none"/>
                <w:lang w:val="en-US" w:eastAsia="zh-CN"/>
              </w:rPr>
            </w:pPr>
          </w:p>
        </w:tc>
        <w:tc>
          <w:tcPr>
            <w:tcW w:w="2503" w:type="pct"/>
            <w:noWrap w:val="0"/>
            <w:vAlign w:val="center"/>
          </w:tcPr>
          <w:p w14:paraId="156B4A87">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南指廊1D2</w:t>
            </w:r>
          </w:p>
        </w:tc>
        <w:tc>
          <w:tcPr>
            <w:tcW w:w="1540" w:type="pct"/>
            <w:noWrap w:val="0"/>
            <w:vAlign w:val="center"/>
          </w:tcPr>
          <w:p w14:paraId="17C8DE46">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7</w:t>
            </w:r>
          </w:p>
        </w:tc>
      </w:tr>
      <w:tr w14:paraId="31CA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55" w:type="pct"/>
            <w:vMerge w:val="continue"/>
            <w:noWrap w:val="0"/>
            <w:vAlign w:val="center"/>
          </w:tcPr>
          <w:p w14:paraId="20DC26AB">
            <w:pPr>
              <w:jc w:val="center"/>
              <w:rPr>
                <w:rFonts w:hint="eastAsia" w:ascii="Times New Roman" w:hAnsi="Times New Roman" w:eastAsia="方正仿宋_GBK" w:cs="宋体"/>
                <w:sz w:val="21"/>
                <w:szCs w:val="21"/>
                <w:highlight w:val="none"/>
                <w:lang w:val="en-US" w:eastAsia="zh-CN"/>
              </w:rPr>
            </w:pPr>
          </w:p>
        </w:tc>
        <w:tc>
          <w:tcPr>
            <w:tcW w:w="2503" w:type="pct"/>
            <w:noWrap w:val="0"/>
            <w:vAlign w:val="center"/>
          </w:tcPr>
          <w:p w14:paraId="26A12631">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南指廊1D3</w:t>
            </w:r>
          </w:p>
        </w:tc>
        <w:tc>
          <w:tcPr>
            <w:tcW w:w="1540" w:type="pct"/>
            <w:noWrap w:val="0"/>
            <w:vAlign w:val="center"/>
          </w:tcPr>
          <w:p w14:paraId="61B3686B">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7</w:t>
            </w:r>
          </w:p>
        </w:tc>
      </w:tr>
      <w:tr w14:paraId="113B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55" w:type="pct"/>
            <w:vMerge w:val="continue"/>
            <w:noWrap w:val="0"/>
            <w:vAlign w:val="center"/>
          </w:tcPr>
          <w:p w14:paraId="27B77B2B">
            <w:pPr>
              <w:jc w:val="center"/>
              <w:rPr>
                <w:rFonts w:hint="eastAsia" w:ascii="Times New Roman" w:hAnsi="Times New Roman" w:eastAsia="方正仿宋_GBK" w:cs="宋体"/>
                <w:sz w:val="21"/>
                <w:szCs w:val="21"/>
                <w:highlight w:val="none"/>
                <w:lang w:val="en-US" w:eastAsia="zh-CN"/>
              </w:rPr>
            </w:pPr>
          </w:p>
        </w:tc>
        <w:tc>
          <w:tcPr>
            <w:tcW w:w="2503" w:type="pct"/>
            <w:noWrap w:val="0"/>
            <w:vAlign w:val="center"/>
          </w:tcPr>
          <w:p w14:paraId="4899EFC0">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南指廊1D4</w:t>
            </w:r>
          </w:p>
        </w:tc>
        <w:tc>
          <w:tcPr>
            <w:tcW w:w="1540" w:type="pct"/>
            <w:noWrap w:val="0"/>
            <w:vAlign w:val="center"/>
          </w:tcPr>
          <w:p w14:paraId="0574BD63">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6</w:t>
            </w:r>
          </w:p>
        </w:tc>
      </w:tr>
      <w:tr w14:paraId="3701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55" w:type="pct"/>
            <w:vMerge w:val="continue"/>
            <w:noWrap w:val="0"/>
            <w:vAlign w:val="center"/>
          </w:tcPr>
          <w:p w14:paraId="749D0206">
            <w:pPr>
              <w:jc w:val="center"/>
              <w:rPr>
                <w:rFonts w:hint="eastAsia" w:ascii="Times New Roman" w:hAnsi="Times New Roman" w:eastAsia="方正仿宋_GBK" w:cs="宋体"/>
                <w:sz w:val="21"/>
                <w:szCs w:val="21"/>
                <w:highlight w:val="none"/>
                <w:lang w:val="en-US" w:eastAsia="zh-CN"/>
              </w:rPr>
            </w:pPr>
          </w:p>
        </w:tc>
        <w:tc>
          <w:tcPr>
            <w:tcW w:w="2503" w:type="pct"/>
            <w:noWrap w:val="0"/>
            <w:vAlign w:val="center"/>
          </w:tcPr>
          <w:p w14:paraId="33BA368A">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南指廊2D1</w:t>
            </w:r>
          </w:p>
        </w:tc>
        <w:tc>
          <w:tcPr>
            <w:tcW w:w="1540" w:type="pct"/>
            <w:noWrap w:val="0"/>
            <w:vAlign w:val="center"/>
          </w:tcPr>
          <w:p w14:paraId="0FA9686F">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9</w:t>
            </w:r>
          </w:p>
        </w:tc>
      </w:tr>
      <w:tr w14:paraId="635D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955" w:type="pct"/>
            <w:vMerge w:val="continue"/>
            <w:noWrap w:val="0"/>
            <w:vAlign w:val="center"/>
          </w:tcPr>
          <w:p w14:paraId="074651B6">
            <w:pPr>
              <w:jc w:val="center"/>
              <w:rPr>
                <w:rFonts w:hint="eastAsia" w:ascii="Times New Roman" w:hAnsi="Times New Roman" w:eastAsia="方正仿宋_GBK" w:cs="宋体"/>
                <w:sz w:val="21"/>
                <w:szCs w:val="21"/>
                <w:highlight w:val="none"/>
                <w:lang w:val="en-US" w:eastAsia="zh-CN"/>
              </w:rPr>
            </w:pPr>
          </w:p>
        </w:tc>
        <w:tc>
          <w:tcPr>
            <w:tcW w:w="2503" w:type="pct"/>
            <w:noWrap w:val="0"/>
            <w:vAlign w:val="center"/>
          </w:tcPr>
          <w:p w14:paraId="566CF2DA">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南指廊2D2</w:t>
            </w:r>
          </w:p>
        </w:tc>
        <w:tc>
          <w:tcPr>
            <w:tcW w:w="1540" w:type="pct"/>
            <w:noWrap w:val="0"/>
            <w:vAlign w:val="center"/>
          </w:tcPr>
          <w:p w14:paraId="02B28D9D">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8</w:t>
            </w:r>
          </w:p>
        </w:tc>
      </w:tr>
      <w:tr w14:paraId="3808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5" w:type="pct"/>
            <w:vMerge w:val="continue"/>
            <w:noWrap w:val="0"/>
            <w:vAlign w:val="center"/>
          </w:tcPr>
          <w:p w14:paraId="43CD0457">
            <w:pPr>
              <w:jc w:val="center"/>
              <w:rPr>
                <w:rFonts w:hint="eastAsia" w:ascii="Times New Roman" w:hAnsi="Times New Roman" w:eastAsia="方正仿宋_GBK" w:cs="宋体"/>
                <w:sz w:val="21"/>
                <w:szCs w:val="21"/>
                <w:highlight w:val="none"/>
                <w:lang w:val="en-US" w:eastAsia="zh-CN"/>
              </w:rPr>
            </w:pPr>
          </w:p>
        </w:tc>
        <w:tc>
          <w:tcPr>
            <w:tcW w:w="2503" w:type="pct"/>
            <w:noWrap w:val="0"/>
            <w:vAlign w:val="center"/>
          </w:tcPr>
          <w:p w14:paraId="1BC25717">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南指廊2D3</w:t>
            </w:r>
          </w:p>
        </w:tc>
        <w:tc>
          <w:tcPr>
            <w:tcW w:w="1540" w:type="pct"/>
            <w:noWrap w:val="0"/>
            <w:vAlign w:val="center"/>
          </w:tcPr>
          <w:p w14:paraId="6AF748B2">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9</w:t>
            </w:r>
          </w:p>
        </w:tc>
      </w:tr>
      <w:tr w14:paraId="390B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955" w:type="pct"/>
            <w:vMerge w:val="continue"/>
            <w:noWrap w:val="0"/>
            <w:vAlign w:val="center"/>
          </w:tcPr>
          <w:p w14:paraId="6A9BF6D7">
            <w:pPr>
              <w:jc w:val="center"/>
              <w:rPr>
                <w:rFonts w:hint="eastAsia" w:ascii="Times New Roman" w:hAnsi="Times New Roman" w:eastAsia="方正仿宋_GBK" w:cs="宋体"/>
                <w:sz w:val="21"/>
                <w:szCs w:val="21"/>
                <w:highlight w:val="none"/>
                <w:lang w:val="en-US" w:eastAsia="zh-CN"/>
              </w:rPr>
            </w:pPr>
          </w:p>
        </w:tc>
        <w:tc>
          <w:tcPr>
            <w:tcW w:w="2503" w:type="pct"/>
            <w:noWrap w:val="0"/>
            <w:vAlign w:val="center"/>
          </w:tcPr>
          <w:p w14:paraId="1A6BD1C2">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南指廊3D1</w:t>
            </w:r>
          </w:p>
        </w:tc>
        <w:tc>
          <w:tcPr>
            <w:tcW w:w="1540" w:type="pct"/>
            <w:noWrap w:val="0"/>
            <w:vAlign w:val="center"/>
          </w:tcPr>
          <w:p w14:paraId="2E66F4A1">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9</w:t>
            </w:r>
          </w:p>
        </w:tc>
      </w:tr>
      <w:tr w14:paraId="64C5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55" w:type="pct"/>
            <w:vMerge w:val="continue"/>
            <w:noWrap w:val="0"/>
            <w:vAlign w:val="center"/>
          </w:tcPr>
          <w:p w14:paraId="3C28EC63">
            <w:pPr>
              <w:jc w:val="center"/>
              <w:rPr>
                <w:rFonts w:hint="eastAsia" w:ascii="Times New Roman" w:hAnsi="Times New Roman" w:eastAsia="方正仿宋_GBK" w:cs="宋体"/>
                <w:sz w:val="21"/>
                <w:szCs w:val="21"/>
                <w:highlight w:val="none"/>
                <w:lang w:val="en-US" w:eastAsia="zh-CN"/>
              </w:rPr>
            </w:pPr>
          </w:p>
        </w:tc>
        <w:tc>
          <w:tcPr>
            <w:tcW w:w="2503" w:type="pct"/>
            <w:noWrap w:val="0"/>
            <w:vAlign w:val="center"/>
          </w:tcPr>
          <w:p w14:paraId="0750DA93">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南指廊3D2</w:t>
            </w:r>
          </w:p>
        </w:tc>
        <w:tc>
          <w:tcPr>
            <w:tcW w:w="1540" w:type="pct"/>
            <w:noWrap w:val="0"/>
            <w:vAlign w:val="center"/>
          </w:tcPr>
          <w:p w14:paraId="2260461C">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8</w:t>
            </w:r>
          </w:p>
        </w:tc>
      </w:tr>
      <w:tr w14:paraId="02CC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955" w:type="pct"/>
            <w:vMerge w:val="continue"/>
            <w:noWrap w:val="0"/>
            <w:vAlign w:val="center"/>
          </w:tcPr>
          <w:p w14:paraId="3431D67D">
            <w:pPr>
              <w:jc w:val="center"/>
              <w:rPr>
                <w:rFonts w:hint="eastAsia" w:ascii="Times New Roman" w:hAnsi="Times New Roman" w:eastAsia="方正仿宋_GBK" w:cs="宋体"/>
                <w:sz w:val="21"/>
                <w:szCs w:val="21"/>
                <w:highlight w:val="none"/>
                <w:lang w:val="en-US" w:eastAsia="zh-CN"/>
              </w:rPr>
            </w:pPr>
          </w:p>
        </w:tc>
        <w:tc>
          <w:tcPr>
            <w:tcW w:w="2503" w:type="pct"/>
            <w:noWrap w:val="0"/>
            <w:vAlign w:val="center"/>
          </w:tcPr>
          <w:p w14:paraId="4A77A94D">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南指廊3D3</w:t>
            </w:r>
          </w:p>
        </w:tc>
        <w:tc>
          <w:tcPr>
            <w:tcW w:w="1540" w:type="pct"/>
            <w:noWrap w:val="0"/>
            <w:vAlign w:val="center"/>
          </w:tcPr>
          <w:p w14:paraId="7B0EBF4E">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9</w:t>
            </w:r>
          </w:p>
        </w:tc>
      </w:tr>
      <w:tr w14:paraId="19FC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55" w:type="pct"/>
            <w:vMerge w:val="continue"/>
            <w:noWrap w:val="0"/>
            <w:vAlign w:val="center"/>
          </w:tcPr>
          <w:p w14:paraId="7534D95F">
            <w:pPr>
              <w:jc w:val="center"/>
              <w:rPr>
                <w:rFonts w:hint="eastAsia" w:ascii="Times New Roman" w:hAnsi="Times New Roman" w:eastAsia="方正仿宋_GBK" w:cs="宋体"/>
                <w:sz w:val="21"/>
                <w:szCs w:val="21"/>
                <w:highlight w:val="none"/>
                <w:lang w:val="en-US" w:eastAsia="zh-CN"/>
              </w:rPr>
            </w:pPr>
          </w:p>
        </w:tc>
        <w:tc>
          <w:tcPr>
            <w:tcW w:w="2503" w:type="pct"/>
            <w:noWrap w:val="0"/>
            <w:vAlign w:val="center"/>
          </w:tcPr>
          <w:p w14:paraId="5DD2E800">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南指廊4D1</w:t>
            </w:r>
          </w:p>
        </w:tc>
        <w:tc>
          <w:tcPr>
            <w:tcW w:w="1540" w:type="pct"/>
            <w:noWrap w:val="0"/>
            <w:vAlign w:val="center"/>
          </w:tcPr>
          <w:p w14:paraId="2DDDBDDA">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7</w:t>
            </w:r>
          </w:p>
        </w:tc>
      </w:tr>
      <w:tr w14:paraId="2F9EB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55" w:type="pct"/>
            <w:vMerge w:val="continue"/>
            <w:noWrap w:val="0"/>
            <w:vAlign w:val="center"/>
          </w:tcPr>
          <w:p w14:paraId="40DB349E">
            <w:pPr>
              <w:jc w:val="center"/>
              <w:rPr>
                <w:rFonts w:hint="eastAsia" w:ascii="Times New Roman" w:hAnsi="Times New Roman" w:eastAsia="方正仿宋_GBK" w:cs="宋体"/>
                <w:sz w:val="21"/>
                <w:szCs w:val="21"/>
                <w:highlight w:val="none"/>
                <w:lang w:val="en-US" w:eastAsia="zh-CN"/>
              </w:rPr>
            </w:pPr>
          </w:p>
        </w:tc>
        <w:tc>
          <w:tcPr>
            <w:tcW w:w="2503" w:type="pct"/>
            <w:noWrap w:val="0"/>
            <w:vAlign w:val="center"/>
          </w:tcPr>
          <w:p w14:paraId="69B581CA">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南指廊桥下配电间（101-112）</w:t>
            </w:r>
          </w:p>
        </w:tc>
        <w:tc>
          <w:tcPr>
            <w:tcW w:w="1540" w:type="pct"/>
            <w:noWrap w:val="0"/>
            <w:vAlign w:val="center"/>
          </w:tcPr>
          <w:p w14:paraId="3EA0F43D">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48</w:t>
            </w:r>
          </w:p>
        </w:tc>
      </w:tr>
      <w:tr w14:paraId="1CAB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459" w:type="pct"/>
            <w:gridSpan w:val="2"/>
            <w:noWrap w:val="0"/>
            <w:vAlign w:val="center"/>
          </w:tcPr>
          <w:p w14:paraId="0452F040">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合计</w:t>
            </w:r>
          </w:p>
        </w:tc>
        <w:tc>
          <w:tcPr>
            <w:tcW w:w="1540" w:type="pct"/>
            <w:noWrap w:val="0"/>
            <w:vAlign w:val="center"/>
          </w:tcPr>
          <w:p w14:paraId="68C15130">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338</w:t>
            </w:r>
          </w:p>
        </w:tc>
      </w:tr>
    </w:tbl>
    <w:p w14:paraId="12A10F8E">
      <w:pPr>
        <w:pStyle w:val="2"/>
        <w:rPr>
          <w:rFonts w:hint="eastAsia" w:ascii="Times New Roman" w:hAnsi="Times New Roman" w:eastAsia="方正仿宋_GBK"/>
          <w:highlight w:val="none"/>
          <w:lang w:val="en-US" w:eastAsia="zh-CN"/>
        </w:rPr>
      </w:pP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4437"/>
        <w:gridCol w:w="2333"/>
      </w:tblGrid>
      <w:tr w14:paraId="57F3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noWrap w:val="0"/>
            <w:vAlign w:val="top"/>
          </w:tcPr>
          <w:p w14:paraId="4FC159ED">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辅区低压柜明细</w:t>
            </w:r>
          </w:p>
        </w:tc>
      </w:tr>
      <w:tr w14:paraId="73FE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602" w:type="pct"/>
            <w:noWrap w:val="0"/>
            <w:vAlign w:val="top"/>
          </w:tcPr>
          <w:p w14:paraId="148FD465">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设备位置</w:t>
            </w:r>
          </w:p>
        </w:tc>
        <w:tc>
          <w:tcPr>
            <w:tcW w:w="2226" w:type="pct"/>
            <w:noWrap w:val="0"/>
            <w:vAlign w:val="top"/>
          </w:tcPr>
          <w:p w14:paraId="22B3AD71">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设备名称</w:t>
            </w:r>
          </w:p>
        </w:tc>
        <w:tc>
          <w:tcPr>
            <w:tcW w:w="1170" w:type="pct"/>
            <w:noWrap w:val="0"/>
            <w:vAlign w:val="top"/>
          </w:tcPr>
          <w:p w14:paraId="33CA2F26">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设备数量（台）</w:t>
            </w:r>
          </w:p>
        </w:tc>
      </w:tr>
      <w:tr w14:paraId="2A29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pct"/>
            <w:noWrap w:val="0"/>
            <w:vAlign w:val="top"/>
          </w:tcPr>
          <w:p w14:paraId="004984AB">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职工公寓女生楼、总配电间、报告厅</w:t>
            </w:r>
          </w:p>
        </w:tc>
        <w:tc>
          <w:tcPr>
            <w:tcW w:w="2226" w:type="pct"/>
            <w:noWrap w:val="0"/>
            <w:vAlign w:val="top"/>
          </w:tcPr>
          <w:p w14:paraId="5E15C1E3">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落地柜、墙上箱</w:t>
            </w:r>
          </w:p>
        </w:tc>
        <w:tc>
          <w:tcPr>
            <w:tcW w:w="1170" w:type="pct"/>
            <w:noWrap w:val="0"/>
            <w:vAlign w:val="top"/>
          </w:tcPr>
          <w:p w14:paraId="110FA4C3">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41</w:t>
            </w:r>
          </w:p>
        </w:tc>
      </w:tr>
      <w:tr w14:paraId="5C08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pct"/>
            <w:noWrap w:val="0"/>
            <w:vAlign w:val="top"/>
          </w:tcPr>
          <w:p w14:paraId="65A6544A">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职工公寓男生楼</w:t>
            </w:r>
          </w:p>
        </w:tc>
        <w:tc>
          <w:tcPr>
            <w:tcW w:w="2226" w:type="pct"/>
            <w:noWrap w:val="0"/>
            <w:vAlign w:val="top"/>
          </w:tcPr>
          <w:p w14:paraId="2BE08375">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落地柜、墙上箱</w:t>
            </w:r>
          </w:p>
        </w:tc>
        <w:tc>
          <w:tcPr>
            <w:tcW w:w="1170" w:type="pct"/>
            <w:noWrap w:val="0"/>
            <w:vAlign w:val="top"/>
          </w:tcPr>
          <w:p w14:paraId="6A1802B5">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26</w:t>
            </w:r>
          </w:p>
        </w:tc>
      </w:tr>
      <w:tr w14:paraId="5C4D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pct"/>
            <w:noWrap w:val="0"/>
            <w:vAlign w:val="top"/>
          </w:tcPr>
          <w:p w14:paraId="02C57C69">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老男生公寓</w:t>
            </w:r>
          </w:p>
        </w:tc>
        <w:tc>
          <w:tcPr>
            <w:tcW w:w="2226" w:type="pct"/>
            <w:noWrap w:val="0"/>
            <w:vAlign w:val="top"/>
          </w:tcPr>
          <w:p w14:paraId="5D70C068">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落地柜</w:t>
            </w:r>
          </w:p>
        </w:tc>
        <w:tc>
          <w:tcPr>
            <w:tcW w:w="1170" w:type="pct"/>
            <w:noWrap w:val="0"/>
            <w:vAlign w:val="top"/>
          </w:tcPr>
          <w:p w14:paraId="23111FC7">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2</w:t>
            </w:r>
          </w:p>
        </w:tc>
      </w:tr>
      <w:tr w14:paraId="5CC9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pct"/>
            <w:noWrap w:val="0"/>
            <w:vAlign w:val="top"/>
          </w:tcPr>
          <w:p w14:paraId="683B9831">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1#食堂</w:t>
            </w:r>
          </w:p>
        </w:tc>
        <w:tc>
          <w:tcPr>
            <w:tcW w:w="2226" w:type="pct"/>
            <w:noWrap w:val="0"/>
            <w:vAlign w:val="top"/>
          </w:tcPr>
          <w:p w14:paraId="0A1FBB7F">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落地柜、墙上箱、PZ-30</w:t>
            </w:r>
          </w:p>
        </w:tc>
        <w:tc>
          <w:tcPr>
            <w:tcW w:w="1170" w:type="pct"/>
            <w:noWrap w:val="0"/>
            <w:vAlign w:val="top"/>
          </w:tcPr>
          <w:p w14:paraId="208E4043">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7</w:t>
            </w:r>
          </w:p>
        </w:tc>
      </w:tr>
      <w:tr w14:paraId="2A0E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pct"/>
            <w:noWrap w:val="0"/>
            <w:vAlign w:val="top"/>
          </w:tcPr>
          <w:p w14:paraId="522731B2">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路灯控制柜</w:t>
            </w:r>
          </w:p>
        </w:tc>
        <w:tc>
          <w:tcPr>
            <w:tcW w:w="2226" w:type="pct"/>
            <w:noWrap w:val="0"/>
            <w:vAlign w:val="top"/>
          </w:tcPr>
          <w:p w14:paraId="2202C62D">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落地柜</w:t>
            </w:r>
          </w:p>
        </w:tc>
        <w:tc>
          <w:tcPr>
            <w:tcW w:w="1170" w:type="pct"/>
            <w:noWrap w:val="0"/>
            <w:vAlign w:val="top"/>
          </w:tcPr>
          <w:p w14:paraId="5B478AA4">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7</w:t>
            </w:r>
          </w:p>
        </w:tc>
      </w:tr>
      <w:tr w14:paraId="1CAA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pct"/>
            <w:noWrap w:val="0"/>
            <w:vAlign w:val="top"/>
          </w:tcPr>
          <w:p w14:paraId="4ADA147B">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业务楼</w:t>
            </w:r>
          </w:p>
        </w:tc>
        <w:tc>
          <w:tcPr>
            <w:tcW w:w="2226" w:type="pct"/>
            <w:noWrap w:val="0"/>
            <w:vAlign w:val="top"/>
          </w:tcPr>
          <w:p w14:paraId="5D6D80FF">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落地柜</w:t>
            </w:r>
          </w:p>
        </w:tc>
        <w:tc>
          <w:tcPr>
            <w:tcW w:w="1170" w:type="pct"/>
            <w:noWrap w:val="0"/>
            <w:vAlign w:val="top"/>
          </w:tcPr>
          <w:p w14:paraId="6DC64E79">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5</w:t>
            </w:r>
          </w:p>
        </w:tc>
      </w:tr>
      <w:tr w14:paraId="2802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pct"/>
            <w:noWrap w:val="0"/>
            <w:vAlign w:val="center"/>
          </w:tcPr>
          <w:p w14:paraId="523D7590">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公务机楼</w:t>
            </w:r>
          </w:p>
        </w:tc>
        <w:tc>
          <w:tcPr>
            <w:tcW w:w="2226" w:type="pct"/>
            <w:noWrap w:val="0"/>
            <w:vAlign w:val="top"/>
          </w:tcPr>
          <w:p w14:paraId="7BEABF83">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落地柜、墙上箱</w:t>
            </w:r>
          </w:p>
        </w:tc>
        <w:tc>
          <w:tcPr>
            <w:tcW w:w="1170" w:type="pct"/>
            <w:noWrap w:val="0"/>
            <w:vAlign w:val="top"/>
          </w:tcPr>
          <w:p w14:paraId="43113F8F">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7</w:t>
            </w:r>
          </w:p>
        </w:tc>
      </w:tr>
      <w:tr w14:paraId="5190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pct"/>
            <w:noWrap w:val="0"/>
            <w:vAlign w:val="top"/>
          </w:tcPr>
          <w:p w14:paraId="32B9A1AD">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物流中心</w:t>
            </w:r>
          </w:p>
        </w:tc>
        <w:tc>
          <w:tcPr>
            <w:tcW w:w="2226" w:type="pct"/>
            <w:noWrap w:val="0"/>
            <w:vAlign w:val="top"/>
          </w:tcPr>
          <w:p w14:paraId="7B752309">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落地柜</w:t>
            </w:r>
          </w:p>
        </w:tc>
        <w:tc>
          <w:tcPr>
            <w:tcW w:w="1170" w:type="pct"/>
            <w:noWrap w:val="0"/>
            <w:vAlign w:val="top"/>
          </w:tcPr>
          <w:p w14:paraId="7E4AF93E">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8</w:t>
            </w:r>
          </w:p>
        </w:tc>
      </w:tr>
      <w:tr w14:paraId="104C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pct"/>
            <w:noWrap w:val="0"/>
            <w:vAlign w:val="top"/>
          </w:tcPr>
          <w:p w14:paraId="1F6C499E">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机务</w:t>
            </w:r>
          </w:p>
        </w:tc>
        <w:tc>
          <w:tcPr>
            <w:tcW w:w="2226" w:type="pct"/>
            <w:noWrap w:val="0"/>
            <w:vAlign w:val="top"/>
          </w:tcPr>
          <w:p w14:paraId="13433F26">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落地柜</w:t>
            </w:r>
          </w:p>
        </w:tc>
        <w:tc>
          <w:tcPr>
            <w:tcW w:w="1170" w:type="pct"/>
            <w:noWrap w:val="0"/>
            <w:vAlign w:val="top"/>
          </w:tcPr>
          <w:p w14:paraId="1D388448">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w:t>
            </w:r>
          </w:p>
        </w:tc>
      </w:tr>
      <w:tr w14:paraId="5715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pct"/>
            <w:noWrap w:val="0"/>
            <w:vAlign w:val="top"/>
          </w:tcPr>
          <w:p w14:paraId="21E1AC38">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1#办公楼</w:t>
            </w:r>
          </w:p>
        </w:tc>
        <w:tc>
          <w:tcPr>
            <w:tcW w:w="2226" w:type="pct"/>
            <w:noWrap w:val="0"/>
            <w:vAlign w:val="top"/>
          </w:tcPr>
          <w:p w14:paraId="0EDC9B9A">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墙上箱</w:t>
            </w:r>
          </w:p>
        </w:tc>
        <w:tc>
          <w:tcPr>
            <w:tcW w:w="1170" w:type="pct"/>
            <w:noWrap w:val="0"/>
            <w:vAlign w:val="top"/>
          </w:tcPr>
          <w:p w14:paraId="4BC9BB5D">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7</w:t>
            </w:r>
          </w:p>
        </w:tc>
      </w:tr>
      <w:tr w14:paraId="056D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pct"/>
            <w:noWrap w:val="0"/>
            <w:vAlign w:val="top"/>
          </w:tcPr>
          <w:p w14:paraId="2220384B">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T1指挥部</w:t>
            </w:r>
          </w:p>
        </w:tc>
        <w:tc>
          <w:tcPr>
            <w:tcW w:w="2226" w:type="pct"/>
            <w:noWrap w:val="0"/>
            <w:vAlign w:val="top"/>
          </w:tcPr>
          <w:p w14:paraId="68437835">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落地柜</w:t>
            </w:r>
          </w:p>
        </w:tc>
        <w:tc>
          <w:tcPr>
            <w:tcW w:w="1170" w:type="pct"/>
            <w:noWrap w:val="0"/>
            <w:vAlign w:val="top"/>
          </w:tcPr>
          <w:p w14:paraId="1CE7DBD3">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w:t>
            </w:r>
          </w:p>
        </w:tc>
      </w:tr>
      <w:tr w14:paraId="0A4E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pct"/>
            <w:noWrap w:val="0"/>
            <w:vAlign w:val="top"/>
          </w:tcPr>
          <w:p w14:paraId="57AA28E8">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航材库</w:t>
            </w:r>
          </w:p>
        </w:tc>
        <w:tc>
          <w:tcPr>
            <w:tcW w:w="2226" w:type="pct"/>
            <w:noWrap w:val="0"/>
            <w:vAlign w:val="top"/>
          </w:tcPr>
          <w:p w14:paraId="0EB13A36">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落地柜、PZ-30</w:t>
            </w:r>
          </w:p>
        </w:tc>
        <w:tc>
          <w:tcPr>
            <w:tcW w:w="1170" w:type="pct"/>
            <w:noWrap w:val="0"/>
            <w:vAlign w:val="top"/>
          </w:tcPr>
          <w:p w14:paraId="17C2D06C">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3</w:t>
            </w:r>
          </w:p>
        </w:tc>
      </w:tr>
      <w:tr w14:paraId="48C7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pct"/>
            <w:noWrap w:val="0"/>
            <w:vAlign w:val="top"/>
          </w:tcPr>
          <w:p w14:paraId="5DD2A6D4">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地勤机务楼</w:t>
            </w:r>
          </w:p>
        </w:tc>
        <w:tc>
          <w:tcPr>
            <w:tcW w:w="2226" w:type="pct"/>
            <w:noWrap w:val="0"/>
            <w:vAlign w:val="top"/>
          </w:tcPr>
          <w:p w14:paraId="69237724">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落地柜、墙上箱</w:t>
            </w:r>
          </w:p>
        </w:tc>
        <w:tc>
          <w:tcPr>
            <w:tcW w:w="1170" w:type="pct"/>
            <w:noWrap w:val="0"/>
            <w:vAlign w:val="top"/>
          </w:tcPr>
          <w:p w14:paraId="66F5934A">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4</w:t>
            </w:r>
          </w:p>
        </w:tc>
      </w:tr>
      <w:tr w14:paraId="598F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pct"/>
            <w:noWrap w:val="0"/>
            <w:vAlign w:val="top"/>
          </w:tcPr>
          <w:p w14:paraId="19387DC4">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机坪地服办公室对面房间</w:t>
            </w:r>
          </w:p>
        </w:tc>
        <w:tc>
          <w:tcPr>
            <w:tcW w:w="2226" w:type="pct"/>
            <w:noWrap w:val="0"/>
            <w:vAlign w:val="top"/>
          </w:tcPr>
          <w:p w14:paraId="7766EFA2">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落地柜</w:t>
            </w:r>
          </w:p>
        </w:tc>
        <w:tc>
          <w:tcPr>
            <w:tcW w:w="1170" w:type="pct"/>
            <w:noWrap w:val="0"/>
            <w:vAlign w:val="top"/>
          </w:tcPr>
          <w:p w14:paraId="2E8937A8">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w:t>
            </w:r>
          </w:p>
        </w:tc>
      </w:tr>
      <w:tr w14:paraId="2C4F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pct"/>
            <w:noWrap w:val="0"/>
            <w:vAlign w:val="top"/>
          </w:tcPr>
          <w:p w14:paraId="323FE5E4">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飞管场务楼</w:t>
            </w:r>
          </w:p>
        </w:tc>
        <w:tc>
          <w:tcPr>
            <w:tcW w:w="2226" w:type="pct"/>
            <w:noWrap w:val="0"/>
            <w:vAlign w:val="top"/>
          </w:tcPr>
          <w:p w14:paraId="319D4386">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落地柜</w:t>
            </w:r>
          </w:p>
        </w:tc>
        <w:tc>
          <w:tcPr>
            <w:tcW w:w="1170" w:type="pct"/>
            <w:noWrap w:val="0"/>
            <w:vAlign w:val="top"/>
          </w:tcPr>
          <w:p w14:paraId="53B3CCF1">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w:t>
            </w:r>
          </w:p>
        </w:tc>
      </w:tr>
      <w:tr w14:paraId="1F67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pct"/>
            <w:noWrap w:val="0"/>
            <w:vAlign w:val="top"/>
          </w:tcPr>
          <w:p w14:paraId="533AC379">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1#消防站</w:t>
            </w:r>
          </w:p>
        </w:tc>
        <w:tc>
          <w:tcPr>
            <w:tcW w:w="2226" w:type="pct"/>
            <w:noWrap w:val="0"/>
            <w:vAlign w:val="top"/>
          </w:tcPr>
          <w:p w14:paraId="771EDDF7">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落地柜</w:t>
            </w:r>
          </w:p>
        </w:tc>
        <w:tc>
          <w:tcPr>
            <w:tcW w:w="1170" w:type="pct"/>
            <w:noWrap w:val="0"/>
            <w:vAlign w:val="top"/>
          </w:tcPr>
          <w:p w14:paraId="10853FAF">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w:t>
            </w:r>
          </w:p>
        </w:tc>
      </w:tr>
      <w:tr w14:paraId="5C50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pct"/>
            <w:noWrap w:val="0"/>
            <w:vAlign w:val="top"/>
          </w:tcPr>
          <w:p w14:paraId="76EE7DB7">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国际库区</w:t>
            </w:r>
          </w:p>
        </w:tc>
        <w:tc>
          <w:tcPr>
            <w:tcW w:w="2226" w:type="pct"/>
            <w:noWrap w:val="0"/>
            <w:vAlign w:val="top"/>
          </w:tcPr>
          <w:p w14:paraId="655C94B1">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落地柜</w:t>
            </w:r>
          </w:p>
        </w:tc>
        <w:tc>
          <w:tcPr>
            <w:tcW w:w="1170" w:type="pct"/>
            <w:noWrap w:val="0"/>
            <w:vAlign w:val="top"/>
          </w:tcPr>
          <w:p w14:paraId="0DB289CF">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17</w:t>
            </w:r>
          </w:p>
        </w:tc>
      </w:tr>
      <w:tr w14:paraId="493B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pct"/>
            <w:noWrap w:val="0"/>
            <w:vAlign w:val="top"/>
          </w:tcPr>
          <w:p w14:paraId="13BE9B72">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国内库区</w:t>
            </w:r>
          </w:p>
        </w:tc>
        <w:tc>
          <w:tcPr>
            <w:tcW w:w="2226" w:type="pct"/>
            <w:noWrap w:val="0"/>
            <w:vAlign w:val="top"/>
          </w:tcPr>
          <w:p w14:paraId="631D691B">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落地柜</w:t>
            </w:r>
          </w:p>
        </w:tc>
        <w:tc>
          <w:tcPr>
            <w:tcW w:w="1170" w:type="pct"/>
            <w:noWrap w:val="0"/>
            <w:vAlign w:val="top"/>
          </w:tcPr>
          <w:p w14:paraId="56212B8F">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6</w:t>
            </w:r>
          </w:p>
        </w:tc>
      </w:tr>
      <w:tr w14:paraId="5508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9" w:type="pct"/>
            <w:gridSpan w:val="2"/>
            <w:noWrap w:val="0"/>
            <w:vAlign w:val="top"/>
          </w:tcPr>
          <w:p w14:paraId="0DAC06AC">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合计</w:t>
            </w:r>
          </w:p>
        </w:tc>
        <w:tc>
          <w:tcPr>
            <w:tcW w:w="1170" w:type="pct"/>
            <w:noWrap w:val="0"/>
            <w:vAlign w:val="top"/>
          </w:tcPr>
          <w:p w14:paraId="2E80C6B1">
            <w:pPr>
              <w:jc w:val="center"/>
              <w:rPr>
                <w:rFonts w:hint="eastAsia" w:ascii="Times New Roman" w:hAnsi="Times New Roman" w:eastAsia="方正仿宋_GBK" w:cs="宋体"/>
                <w:sz w:val="21"/>
                <w:szCs w:val="21"/>
                <w:highlight w:val="none"/>
                <w:lang w:val="en-US" w:eastAsia="zh-CN"/>
              </w:rPr>
            </w:pPr>
            <w:r>
              <w:rPr>
                <w:rFonts w:hint="eastAsia" w:ascii="Times New Roman" w:hAnsi="Times New Roman" w:eastAsia="方正仿宋_GBK" w:cs="宋体"/>
                <w:sz w:val="21"/>
                <w:szCs w:val="21"/>
                <w:highlight w:val="none"/>
                <w:lang w:val="en-US" w:eastAsia="zh-CN"/>
              </w:rPr>
              <w:t>147</w:t>
            </w:r>
          </w:p>
        </w:tc>
      </w:tr>
    </w:tbl>
    <w:p w14:paraId="59BE07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Times New Roman" w:hAnsi="Times New Roman" w:eastAsia="方正仿宋_GBK" w:cs="黑体"/>
          <w:sz w:val="32"/>
          <w:szCs w:val="32"/>
          <w:highlight w:val="none"/>
          <w:lang w:val="en-US" w:eastAsia="zh-CN"/>
        </w:rPr>
      </w:pPr>
      <w:r>
        <w:rPr>
          <w:rFonts w:hint="eastAsia" w:ascii="Times New Roman" w:hAnsi="Times New Roman" w:eastAsia="方正仿宋_GBK" w:cs="宋体"/>
          <w:szCs w:val="21"/>
          <w:highlight w:val="none"/>
          <w:lang w:val="en-US" w:eastAsia="zh-CN"/>
        </w:rPr>
        <w:t>本次停电深度委外保养配电柜分布在1#航站楼、入境航站楼、交通中心、辅区（国际库区、国内库区、业务楼）等区域，共需完成变电所低压成套配电柜共计269列（含4台施耐德WBTPC LEVEL6双电源柜、7台GE ATS电源柜）、对应配电间低压落地配电柜338台、辅区低压柜147台。</w:t>
      </w:r>
    </w:p>
    <w:p w14:paraId="5F930FAB">
      <w:pPr>
        <w:numPr>
          <w:ilvl w:val="0"/>
          <w:numId w:val="0"/>
        </w:numPr>
        <w:spacing w:line="360" w:lineRule="auto"/>
        <w:ind w:firstLine="420" w:firstLineChars="200"/>
        <w:rPr>
          <w:rFonts w:hint="eastAsia" w:ascii="Times New Roman" w:hAnsi="Times New Roman" w:eastAsia="方正仿宋_GBK" w:cs="宋体"/>
          <w:b/>
          <w:bCs/>
          <w:szCs w:val="21"/>
          <w:highlight w:val="none"/>
          <w:lang w:val="en-US" w:eastAsia="zh-CN"/>
        </w:rPr>
      </w:pPr>
      <w:r>
        <w:rPr>
          <w:rFonts w:hint="eastAsia" w:ascii="Times New Roman" w:hAnsi="Times New Roman" w:eastAsia="方正仿宋_GBK" w:cs="宋体"/>
          <w:b/>
          <w:bCs/>
          <w:szCs w:val="21"/>
          <w:highlight w:val="none"/>
          <w:lang w:val="en-US" w:eastAsia="zh-CN"/>
        </w:rPr>
        <w:t>二、停电深度保养项目及要求</w:t>
      </w:r>
    </w:p>
    <w:p w14:paraId="16555588">
      <w:pPr>
        <w:numPr>
          <w:ilvl w:val="0"/>
          <w:numId w:val="0"/>
        </w:numPr>
        <w:spacing w:line="360" w:lineRule="auto"/>
        <w:ind w:firstLine="420" w:firstLineChars="200"/>
        <w:rPr>
          <w:rFonts w:hint="eastAsia" w:ascii="Times New Roman" w:hAnsi="Times New Roman" w:eastAsia="方正仿宋_GBK" w:cs="宋体"/>
          <w:b/>
          <w:bCs/>
          <w:szCs w:val="21"/>
          <w:highlight w:val="none"/>
          <w:lang w:val="en-US" w:eastAsia="zh-CN"/>
        </w:rPr>
      </w:pPr>
      <w:r>
        <w:rPr>
          <w:rFonts w:hint="eastAsia" w:ascii="Times New Roman" w:hAnsi="Times New Roman" w:eastAsia="方正仿宋_GBK" w:cs="宋体"/>
          <w:b/>
          <w:bCs/>
          <w:szCs w:val="21"/>
          <w:highlight w:val="none"/>
          <w:lang w:val="en-US" w:eastAsia="zh-CN"/>
        </w:rPr>
        <w:t>（一）变电所低压成套配电柜深度保养</w:t>
      </w:r>
    </w:p>
    <w:p w14:paraId="7CA46F22">
      <w:pPr>
        <w:spacing w:line="360" w:lineRule="auto"/>
        <w:ind w:firstLine="420" w:firstLineChars="200"/>
        <w:rPr>
          <w:rFonts w:hint="eastAsia" w:ascii="Times New Roman" w:hAnsi="Times New Roman" w:eastAsia="方正仿宋_GBK" w:cs="宋体"/>
          <w:b/>
          <w:bCs/>
          <w:szCs w:val="21"/>
          <w:highlight w:val="none"/>
          <w:lang w:val="en-US" w:eastAsia="zh-CN"/>
        </w:rPr>
      </w:pPr>
      <w:r>
        <w:rPr>
          <w:rFonts w:hint="eastAsia" w:ascii="Times New Roman" w:hAnsi="Times New Roman" w:eastAsia="方正仿宋_GBK" w:cs="宋体"/>
          <w:b/>
          <w:bCs/>
          <w:szCs w:val="21"/>
          <w:highlight w:val="none"/>
          <w:lang w:val="en-US" w:eastAsia="zh-CN"/>
        </w:rPr>
        <w:t>1、母排</w:t>
      </w:r>
    </w:p>
    <w:p w14:paraId="2163D20C">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1.1检查主母排及引下母排各连接螺栓有无缺少，发热或锈蚀现象。</w:t>
      </w:r>
    </w:p>
    <w:p w14:paraId="0C4C3CB5">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1.2检查主母排及引下母排各连接螺栓是否松动并紧固（紧固完在螺丝上用记号笔标记位置便于下次查看是否松动）。</w:t>
      </w:r>
    </w:p>
    <w:p w14:paraId="72556631">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1.3清洁主</w:t>
      </w:r>
      <w:r>
        <w:rPr>
          <w:rFonts w:hint="eastAsia" w:ascii="Times New Roman" w:hAnsi="Times New Roman" w:eastAsia="方正仿宋_GBK" w:cs="宋体"/>
          <w:szCs w:val="21"/>
          <w:highlight w:val="none"/>
        </w:rPr>
        <w:t>母排及引下</w:t>
      </w:r>
      <w:r>
        <w:rPr>
          <w:rFonts w:hint="eastAsia" w:ascii="Times New Roman" w:hAnsi="Times New Roman" w:eastAsia="方正仿宋_GBK" w:cs="宋体"/>
          <w:szCs w:val="21"/>
          <w:highlight w:val="none"/>
          <w:lang w:val="en-US" w:eastAsia="zh-CN"/>
        </w:rPr>
        <w:t>母排</w:t>
      </w:r>
    </w:p>
    <w:p w14:paraId="171805CF">
      <w:pPr>
        <w:spacing w:line="360" w:lineRule="auto"/>
        <w:ind w:firstLine="420" w:firstLineChars="200"/>
        <w:rPr>
          <w:rFonts w:hint="eastAsia" w:ascii="Times New Roman" w:hAnsi="Times New Roman" w:eastAsia="方正仿宋_GBK" w:cs="宋体"/>
          <w:b/>
          <w:bCs/>
          <w:szCs w:val="21"/>
          <w:highlight w:val="none"/>
          <w:lang w:val="en-US" w:eastAsia="zh-CN"/>
        </w:rPr>
      </w:pPr>
      <w:r>
        <w:rPr>
          <w:rFonts w:hint="eastAsia" w:ascii="Times New Roman" w:hAnsi="Times New Roman" w:eastAsia="方正仿宋_GBK" w:cs="宋体"/>
          <w:b/>
          <w:bCs/>
          <w:szCs w:val="21"/>
          <w:highlight w:val="none"/>
          <w:lang w:val="en-US" w:eastAsia="zh-CN"/>
        </w:rPr>
        <w:t>2、低压抽屉柜（停电后抽出抽屉柜，保养完恢复）</w:t>
      </w:r>
    </w:p>
    <w:p w14:paraId="0697DB6D">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2.1清扫柜内各部件及柜体(无明显灰尘、油污等)</w:t>
      </w:r>
    </w:p>
    <w:p w14:paraId="760ACA45">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2.2检查熔断器是否正常（万用表或验电笔测量熔断器输入端和输出端对外壳电压判断）</w:t>
      </w:r>
    </w:p>
    <w:p w14:paraId="4DF38873">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2.3检查各接点接触是否良好（先紧固螺丝，紧固完可以在螺丝上用记号笔标记位置便于下次查看是否松动，后轻摇或轻拉导线检查是否接触良好）</w:t>
      </w:r>
    </w:p>
    <w:p w14:paraId="6EE66E71">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2.4检查电流排、汇流排、引线、接线端子无过热、腐蚀；</w:t>
      </w:r>
    </w:p>
    <w:p w14:paraId="40023CA2">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2.5控制器开关位置是否正常（合闸位、分闸位、故障位）都能有效</w:t>
      </w:r>
    </w:p>
    <w:p w14:paraId="70F2D8C5">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2.6检查柜门及附件（指示灯状态完好、仪表指示正常等）；</w:t>
      </w:r>
    </w:p>
    <w:p w14:paraId="5537376E">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2.7检查紧固件是否松动，接线是否牢固，支撑件是否破损，对固定件进行清理、除锈</w:t>
      </w:r>
    </w:p>
    <w:p w14:paraId="24372058">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2.8漏电开关，热继电器，时间继电器中间继电器，多功能表等进行检查，校验</w:t>
      </w:r>
    </w:p>
    <w:p w14:paraId="7C121974">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2.9紧固柜内开关螺丝</w:t>
      </w:r>
    </w:p>
    <w:p w14:paraId="2DDD82A1">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2.10检查电操机构、开关把手处于良好状态（分合正常）。</w:t>
      </w:r>
    </w:p>
    <w:p w14:paraId="5A4B9230">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2.11检查一次插件（动静触头）、二次插件有无锈蚀、松动、烧毁现象，一次插件导电膏是否缺失（若缺少添加导电膏）</w:t>
      </w:r>
    </w:p>
    <w:p w14:paraId="099054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2.12检查出线端子有无发热变色并紧固（紧固完在螺丝上用记号笔标记位置便于下次查看是否松动）。</w:t>
      </w:r>
    </w:p>
    <w:p w14:paraId="054BAE20">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方正仿宋_GBK"/>
          <w:highlight w:val="none"/>
          <w:lang w:val="en-US" w:eastAsia="zh-CN"/>
        </w:rPr>
      </w:pPr>
      <w:r>
        <w:rPr>
          <w:rFonts w:hint="eastAsia" w:ascii="Times New Roman" w:hAnsi="Times New Roman" w:eastAsia="方正仿宋_GBK" w:cs="宋体"/>
          <w:szCs w:val="21"/>
          <w:highlight w:val="none"/>
          <w:lang w:val="en-US" w:eastAsia="zh-CN"/>
        </w:rPr>
        <w:t>2.13</w:t>
      </w:r>
      <w:r>
        <w:rPr>
          <w:rFonts w:hint="eastAsia" w:ascii="Times New Roman" w:hAnsi="Times New Roman" w:eastAsia="方正仿宋_GBK" w:cs="宋体"/>
          <w:szCs w:val="21"/>
          <w:highlight w:val="none"/>
        </w:rPr>
        <w:t>检查抽屉</w:t>
      </w:r>
      <w:r>
        <w:rPr>
          <w:rFonts w:hint="eastAsia" w:ascii="Times New Roman" w:hAnsi="Times New Roman" w:eastAsia="方正仿宋_GBK" w:cs="宋体"/>
          <w:szCs w:val="21"/>
          <w:highlight w:val="none"/>
          <w:lang w:val="en-US" w:eastAsia="zh-CN"/>
        </w:rPr>
        <w:t>柜</w:t>
      </w:r>
      <w:r>
        <w:rPr>
          <w:rFonts w:hint="eastAsia" w:ascii="Times New Roman" w:hAnsi="Times New Roman" w:eastAsia="方正仿宋_GBK" w:cs="宋体"/>
          <w:szCs w:val="21"/>
          <w:highlight w:val="none"/>
        </w:rPr>
        <w:t>推拉是否灵活，有无卡阻现象</w:t>
      </w:r>
      <w:r>
        <w:rPr>
          <w:rFonts w:hint="eastAsia" w:ascii="Times New Roman" w:hAnsi="Times New Roman" w:eastAsia="方正仿宋_GBK" w:cs="宋体"/>
          <w:szCs w:val="21"/>
          <w:highlight w:val="none"/>
          <w:lang w:eastAsia="zh-CN"/>
        </w:rPr>
        <w:t>。</w:t>
      </w:r>
    </w:p>
    <w:p w14:paraId="68970D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方正仿宋_GBK" w:cs="宋体"/>
          <w:b/>
          <w:bCs/>
          <w:szCs w:val="21"/>
          <w:highlight w:val="none"/>
          <w:lang w:val="en-US" w:eastAsia="zh-CN"/>
        </w:rPr>
      </w:pPr>
      <w:r>
        <w:rPr>
          <w:rFonts w:hint="eastAsia" w:ascii="Times New Roman" w:hAnsi="Times New Roman" w:eastAsia="方正仿宋_GBK" w:cs="宋体"/>
          <w:b/>
          <w:bCs/>
          <w:szCs w:val="21"/>
          <w:highlight w:val="none"/>
          <w:lang w:val="en-US" w:eastAsia="zh-CN"/>
        </w:rPr>
        <w:t>3、ATS（双电源切换开关柜）维护保养</w:t>
      </w:r>
    </w:p>
    <w:p w14:paraId="5B3C26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方正仿宋_GBK"/>
          <w:highlight w:val="none"/>
        </w:rPr>
      </w:pPr>
      <w:r>
        <w:rPr>
          <w:rFonts w:hint="eastAsia" w:ascii="Times New Roman" w:hAnsi="Times New Roman" w:eastAsia="方正仿宋_GBK" w:cs="宋体"/>
          <w:szCs w:val="21"/>
          <w:highlight w:val="none"/>
        </w:rPr>
        <w:t>3</w:t>
      </w:r>
      <w:r>
        <w:rPr>
          <w:rFonts w:ascii="Times New Roman" w:hAnsi="Times New Roman" w:eastAsia="方正仿宋_GBK" w:cs="宋体"/>
          <w:szCs w:val="21"/>
          <w:highlight w:val="none"/>
        </w:rPr>
        <w:t>.1</w:t>
      </w:r>
      <w:r>
        <w:rPr>
          <w:rFonts w:hint="eastAsia" w:ascii="Times New Roman" w:hAnsi="Times New Roman" w:eastAsia="方正仿宋_GBK"/>
          <w:highlight w:val="none"/>
        </w:rPr>
        <w:t>停电检查</w:t>
      </w:r>
    </w:p>
    <w:p w14:paraId="3CCF30D3">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3.1.1关掉ATS的正常电源及应急电源</w:t>
      </w:r>
    </w:p>
    <w:p w14:paraId="6E40D88F">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3.1.2打开舱门并进行验电并将ATS摇至隔离位置；</w:t>
      </w:r>
    </w:p>
    <w:p w14:paraId="0BA72AE8">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3.1.3开关紧固、触头、限位开关等检查。</w:t>
      </w:r>
    </w:p>
    <w:p w14:paraId="14477B66">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3.2盘柜内清洁：用抹布擦拭机柜内外面，使用真空吸尘器清除舱内及其屏顶上的灰尘，用工业酒精擦拭消除顽固斑渍，用专用除锈防锈剂清除设备锈蚀处。</w:t>
      </w:r>
    </w:p>
    <w:p w14:paraId="6FA1C754">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3.3、机构及连接检查</w:t>
      </w:r>
    </w:p>
    <w:p w14:paraId="45DCC6CC">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 xml:space="preserve">3.3.1拆开相关盖板； </w:t>
      </w:r>
    </w:p>
    <w:p w14:paraId="5B88EE0A">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3.3.2检查所有限位开关的合分性能，消除脱落或松动现象；</w:t>
      </w:r>
    </w:p>
    <w:p w14:paraId="50EE7784">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3.3.3检查一次接线母排连接导电性及螺栓紧固；</w:t>
      </w:r>
    </w:p>
    <w:p w14:paraId="0DB976CE">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3.3.4检查二次控制线的连接及紧固；</w:t>
      </w:r>
    </w:p>
    <w:p w14:paraId="4B4DE0A4">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3.3.5润滑机械传动部分并紧固；</w:t>
      </w:r>
    </w:p>
    <w:p w14:paraId="289582CB">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3.3.6检查机械连锁装置性能的可靠性。</w:t>
      </w:r>
    </w:p>
    <w:p w14:paraId="41C3F44F">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3.4手动操作检查</w:t>
      </w:r>
    </w:p>
    <w:p w14:paraId="485B8281">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3.4.1将DS选择开关打到禁止位置；</w:t>
      </w:r>
    </w:p>
    <w:p w14:paraId="6A3DDB26">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3.4.2用ATS操作手柄将ATS打到应急侧、用ATS操作手柄将ATS打回正常侧；</w:t>
      </w:r>
    </w:p>
    <w:p w14:paraId="28837B3C">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3.4.3若整个操作过程流畅无卡阻， 则手动操作合格。</w:t>
      </w:r>
    </w:p>
    <w:p w14:paraId="3B0C45EE">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3.5主备触头检查</w:t>
      </w:r>
    </w:p>
    <w:p w14:paraId="3E6FE6B2">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3.5.1将ATS开关合至S2侧，检查S1 A、B、C、N触头及灭弧罩健康情况；</w:t>
      </w:r>
    </w:p>
    <w:p w14:paraId="0526F6BD">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3.5.2将ATS开关合至S1侧，检查S2 A、B、C、N触头及灭弧罩健康情况；</w:t>
      </w:r>
    </w:p>
    <w:p w14:paraId="7BA863EE">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3.6、电动操作检查</w:t>
      </w:r>
    </w:p>
    <w:p w14:paraId="5D2773BA">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3.6.1将ATS推入试验位置、DS选择开关打到自动位置；</w:t>
      </w:r>
    </w:p>
    <w:p w14:paraId="69DA6C98">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 xml:space="preserve">3.6.2恢复发电机启动信号线； </w:t>
      </w:r>
    </w:p>
    <w:p w14:paraId="5B8CBEC1">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 xml:space="preserve">3.6.3闭合正常电源断路器； </w:t>
      </w:r>
    </w:p>
    <w:p w14:paraId="2FB55986">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 xml:space="preserve">3.6.4闭合发电机侧断路器； </w:t>
      </w:r>
    </w:p>
    <w:p w14:paraId="6B8002B0">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 xml:space="preserve">3.6.5闭合正常回路断路器、应急回路断路器； </w:t>
      </w:r>
    </w:p>
    <w:p w14:paraId="1BC238F2">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3.6.6断开正常回路断路器，检查发电机是否正常启动，是否定时自动切换到应急侧；</w:t>
      </w:r>
    </w:p>
    <w:p w14:paraId="38DE3561">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3.6.7闭合正常回路断路器，检查是否定时自动切换到正常侧，发电机是否停止运转。</w:t>
      </w:r>
    </w:p>
    <w:p w14:paraId="0F5B660E">
      <w:pPr>
        <w:spacing w:line="360" w:lineRule="auto"/>
        <w:ind w:firstLine="420" w:firstLineChars="200"/>
        <w:rPr>
          <w:rFonts w:hint="eastAsia" w:ascii="Times New Roman" w:hAnsi="Times New Roman" w:eastAsia="方正仿宋_GBK" w:cs="宋体"/>
          <w:b/>
          <w:bCs/>
          <w:szCs w:val="21"/>
          <w:highlight w:val="none"/>
          <w:lang w:val="en-US" w:eastAsia="zh-CN"/>
        </w:rPr>
      </w:pPr>
      <w:r>
        <w:rPr>
          <w:rFonts w:hint="eastAsia" w:ascii="Times New Roman" w:hAnsi="Times New Roman" w:eastAsia="方正仿宋_GBK" w:cs="宋体"/>
          <w:b/>
          <w:bCs/>
          <w:szCs w:val="21"/>
          <w:highlight w:val="none"/>
          <w:lang w:val="en-US" w:eastAsia="zh-CN"/>
        </w:rPr>
        <w:t>3.6.8执行以上步骤时，同时检查控制器的定值是否与实际动作相符</w:t>
      </w:r>
    </w:p>
    <w:p w14:paraId="623B40EB">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3.7、旁路操作检查</w:t>
      </w:r>
    </w:p>
    <w:p w14:paraId="4450BAE6">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3.7.1检查ATS处于正常电源侧位且DS为自动模式；</w:t>
      </w:r>
    </w:p>
    <w:p w14:paraId="4F864B12">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3.7.2将开关DS打到禁止位置；检查屏内及控制器相关指示灯是否正常；</w:t>
      </w:r>
    </w:p>
    <w:p w14:paraId="0230C696">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3.7.3将旁路开关打到正常电源侧，检查控制器中正常电源及其位置、面板旁路指示灯是否正常；</w:t>
      </w:r>
    </w:p>
    <w:p w14:paraId="4CB3189F">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 xml:space="preserve">3.7.4将旁路开关打到中间位置,检查指示灯是否正常； </w:t>
      </w:r>
    </w:p>
    <w:p w14:paraId="1E095407">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3.7.5将ATS电源切换到应急侧；将旁路开关打到应急电源侧，检查控制器中应急电源及其位置、面板旁路指示灯是否正常；</w:t>
      </w:r>
    </w:p>
    <w:p w14:paraId="5F435A35">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3.7.6将旁路开关打到中间位置,检查指示灯是否正常；</w:t>
      </w:r>
    </w:p>
    <w:p w14:paraId="35A3DFD3">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 xml:space="preserve">3.7.7将DS开关打到AUTO位置；  </w:t>
      </w:r>
    </w:p>
    <w:p w14:paraId="74E4C1BA">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3.7.8将ATS电源切换到正常电源侧；</w:t>
      </w:r>
    </w:p>
    <w:p w14:paraId="2D44D7E9">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3.7.8检查屏内及控制器上的指示灯是否正常。</w:t>
      </w:r>
    </w:p>
    <w:p w14:paraId="1D363670">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3.8、恢复送电</w:t>
      </w:r>
    </w:p>
    <w:p w14:paraId="27565A9B">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3.8.1所有防护装置和操控元件是否复位；</w:t>
      </w:r>
    </w:p>
    <w:p w14:paraId="1FA38FE2">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3.8.2全面检查舱内是否有遗留物；</w:t>
      </w:r>
    </w:p>
    <w:p w14:paraId="6931ED22">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3.8.3检查ATS &amp; DS是否到位、电源及指示灯是否正常；</w:t>
      </w:r>
    </w:p>
    <w:p w14:paraId="5212AECF">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3.8.4恢复正常运行方式；</w:t>
      </w:r>
    </w:p>
    <w:p w14:paraId="1EFA3914">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3.8.5复电后断电测试和软件测试是否顺畅。</w:t>
      </w:r>
    </w:p>
    <w:p w14:paraId="036268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方正仿宋_GBK" w:cs="宋体"/>
          <w:b/>
          <w:bCs/>
          <w:szCs w:val="21"/>
          <w:highlight w:val="none"/>
          <w:lang w:val="en-US" w:eastAsia="zh-CN"/>
        </w:rPr>
      </w:pPr>
      <w:r>
        <w:rPr>
          <w:rFonts w:hint="eastAsia" w:ascii="Times New Roman" w:hAnsi="Times New Roman" w:eastAsia="方正仿宋_GBK" w:cs="宋体"/>
          <w:b/>
          <w:bCs/>
          <w:szCs w:val="21"/>
          <w:highlight w:val="none"/>
          <w:lang w:val="en-US" w:eastAsia="zh-CN"/>
        </w:rPr>
        <w:t>4、打扫变电所卫生。</w:t>
      </w:r>
    </w:p>
    <w:p w14:paraId="7DA8D5C8">
      <w:pPr>
        <w:spacing w:line="360" w:lineRule="auto"/>
        <w:ind w:firstLine="210" w:firstLineChars="100"/>
        <w:rPr>
          <w:rFonts w:hint="eastAsia" w:ascii="Times New Roman" w:hAnsi="Times New Roman" w:eastAsia="方正仿宋_GBK" w:cs="宋体"/>
          <w:b/>
          <w:bCs/>
          <w:szCs w:val="21"/>
          <w:highlight w:val="none"/>
          <w:lang w:val="en-US" w:eastAsia="zh-CN"/>
        </w:rPr>
      </w:pPr>
      <w:r>
        <w:rPr>
          <w:rFonts w:hint="eastAsia" w:ascii="Times New Roman" w:hAnsi="Times New Roman" w:eastAsia="方正仿宋_GBK" w:cs="宋体"/>
          <w:b/>
          <w:bCs/>
          <w:szCs w:val="21"/>
          <w:highlight w:val="none"/>
          <w:lang w:val="en-US" w:eastAsia="zh-CN"/>
        </w:rPr>
        <w:t>（二）落地配电柜深度保养</w:t>
      </w:r>
    </w:p>
    <w:p w14:paraId="7C6508ED">
      <w:pPr>
        <w:spacing w:line="360" w:lineRule="auto"/>
        <w:ind w:firstLine="420" w:firstLineChars="200"/>
        <w:rPr>
          <w:rFonts w:hint="eastAsia" w:ascii="Times New Roman" w:hAnsi="Times New Roman" w:eastAsia="方正仿宋_GBK" w:cs="宋体"/>
          <w:szCs w:val="21"/>
          <w:highlight w:val="none"/>
        </w:rPr>
      </w:pPr>
      <w:r>
        <w:rPr>
          <w:rFonts w:hint="eastAsia" w:ascii="Times New Roman" w:hAnsi="Times New Roman" w:eastAsia="方正仿宋_GBK" w:cs="宋体"/>
          <w:szCs w:val="21"/>
          <w:highlight w:val="none"/>
          <w:lang w:val="en-US" w:eastAsia="zh-CN"/>
        </w:rPr>
        <w:t>1、</w:t>
      </w:r>
      <w:r>
        <w:rPr>
          <w:rFonts w:hint="eastAsia" w:ascii="Times New Roman" w:hAnsi="Times New Roman" w:eastAsia="方正仿宋_GBK" w:cs="宋体"/>
          <w:szCs w:val="21"/>
          <w:highlight w:val="none"/>
        </w:rPr>
        <w:t>断电清扫柜内各部分(无明显灰尘、油污等)</w:t>
      </w:r>
    </w:p>
    <w:p w14:paraId="0E53B948">
      <w:pPr>
        <w:spacing w:line="360" w:lineRule="auto"/>
        <w:ind w:firstLine="420" w:firstLineChars="200"/>
        <w:rPr>
          <w:rFonts w:hint="eastAsia" w:ascii="Times New Roman" w:hAnsi="Times New Roman" w:eastAsia="方正仿宋_GBK" w:cs="宋体"/>
          <w:szCs w:val="21"/>
          <w:highlight w:val="none"/>
        </w:rPr>
      </w:pPr>
      <w:r>
        <w:rPr>
          <w:rFonts w:hint="eastAsia" w:ascii="Times New Roman" w:hAnsi="Times New Roman" w:eastAsia="方正仿宋_GBK" w:cs="宋体"/>
          <w:szCs w:val="21"/>
          <w:highlight w:val="none"/>
          <w:lang w:val="en-US" w:eastAsia="zh-CN"/>
        </w:rPr>
        <w:t>2、</w:t>
      </w:r>
      <w:r>
        <w:rPr>
          <w:rFonts w:hint="eastAsia" w:ascii="Times New Roman" w:hAnsi="Times New Roman" w:eastAsia="方正仿宋_GBK" w:cs="宋体"/>
          <w:szCs w:val="21"/>
          <w:highlight w:val="none"/>
        </w:rPr>
        <w:t>检查熔断器是否正常（万用表或验电笔测量熔断器输入端和输出端对外壳电压判断）</w:t>
      </w:r>
    </w:p>
    <w:p w14:paraId="6C6A6DC7">
      <w:pPr>
        <w:spacing w:line="360" w:lineRule="auto"/>
        <w:ind w:firstLine="420" w:firstLineChars="200"/>
        <w:rPr>
          <w:rFonts w:hint="eastAsia" w:ascii="Times New Roman" w:hAnsi="Times New Roman" w:eastAsia="方正仿宋_GBK" w:cs="宋体"/>
          <w:szCs w:val="21"/>
          <w:highlight w:val="none"/>
        </w:rPr>
      </w:pPr>
      <w:r>
        <w:rPr>
          <w:rFonts w:hint="eastAsia" w:ascii="Times New Roman" w:hAnsi="Times New Roman" w:eastAsia="方正仿宋_GBK" w:cs="宋体"/>
          <w:szCs w:val="21"/>
          <w:highlight w:val="none"/>
          <w:lang w:val="en-US" w:eastAsia="zh-CN"/>
        </w:rPr>
        <w:t>3、</w:t>
      </w:r>
      <w:r>
        <w:rPr>
          <w:rFonts w:hint="eastAsia" w:ascii="Times New Roman" w:hAnsi="Times New Roman" w:eastAsia="方正仿宋_GBK" w:cs="宋体"/>
          <w:szCs w:val="21"/>
          <w:highlight w:val="none"/>
        </w:rPr>
        <w:t>检查各接点接触是否良好（先紧固螺丝，紧固完可以在螺丝上用记号笔标记位置便于下次查看是否松动，后轻摇或轻拉导线检查是否接触良好）</w:t>
      </w:r>
    </w:p>
    <w:p w14:paraId="76B1EFE7">
      <w:pPr>
        <w:spacing w:line="360" w:lineRule="auto"/>
        <w:ind w:firstLine="420" w:firstLineChars="200"/>
        <w:rPr>
          <w:rFonts w:hint="eastAsia" w:ascii="Times New Roman" w:hAnsi="Times New Roman" w:eastAsia="方正仿宋_GBK" w:cs="宋体"/>
          <w:szCs w:val="21"/>
          <w:highlight w:val="none"/>
        </w:rPr>
      </w:pPr>
      <w:r>
        <w:rPr>
          <w:rFonts w:hint="eastAsia" w:ascii="Times New Roman" w:hAnsi="Times New Roman" w:eastAsia="方正仿宋_GBK" w:cs="宋体"/>
          <w:szCs w:val="21"/>
          <w:highlight w:val="none"/>
          <w:lang w:val="en-US" w:eastAsia="zh-CN"/>
        </w:rPr>
        <w:t>4、</w:t>
      </w:r>
      <w:r>
        <w:rPr>
          <w:rFonts w:hint="eastAsia" w:ascii="Times New Roman" w:hAnsi="Times New Roman" w:eastAsia="方正仿宋_GBK" w:cs="宋体"/>
          <w:szCs w:val="21"/>
          <w:highlight w:val="none"/>
        </w:rPr>
        <w:t>检</w:t>
      </w:r>
      <w:r>
        <w:rPr>
          <w:rFonts w:hint="eastAsia" w:ascii="Times New Roman" w:hAnsi="Times New Roman" w:eastAsia="方正仿宋_GBK" w:cs="宋体"/>
          <w:szCs w:val="21"/>
          <w:highlight w:val="none"/>
          <w:lang w:val="en-US" w:eastAsia="zh-CN"/>
        </w:rPr>
        <w:t>查</w:t>
      </w:r>
      <w:r>
        <w:rPr>
          <w:rFonts w:hint="eastAsia" w:ascii="Times New Roman" w:hAnsi="Times New Roman" w:eastAsia="方正仿宋_GBK" w:cs="宋体"/>
          <w:szCs w:val="21"/>
          <w:highlight w:val="none"/>
        </w:rPr>
        <w:t>柜壳接地情况（先用万用表测量零排和地排之间的电压，再测量接地和地排是否导通）</w:t>
      </w:r>
    </w:p>
    <w:p w14:paraId="2D98E8C4">
      <w:pPr>
        <w:spacing w:line="360" w:lineRule="auto"/>
        <w:ind w:firstLine="420" w:firstLineChars="200"/>
        <w:rPr>
          <w:rFonts w:hint="eastAsia" w:ascii="Times New Roman" w:hAnsi="Times New Roman" w:eastAsia="方正仿宋_GBK" w:cs="宋体"/>
          <w:szCs w:val="21"/>
          <w:highlight w:val="none"/>
        </w:rPr>
      </w:pPr>
      <w:r>
        <w:rPr>
          <w:rFonts w:hint="eastAsia" w:ascii="Times New Roman" w:hAnsi="Times New Roman" w:eastAsia="方正仿宋_GBK" w:cs="宋体"/>
          <w:szCs w:val="21"/>
          <w:highlight w:val="none"/>
          <w:lang w:val="en-US" w:eastAsia="zh-CN"/>
        </w:rPr>
        <w:t>5、</w:t>
      </w:r>
      <w:r>
        <w:rPr>
          <w:rFonts w:hint="eastAsia" w:ascii="Times New Roman" w:hAnsi="Times New Roman" w:eastAsia="方正仿宋_GBK" w:cs="宋体"/>
          <w:szCs w:val="21"/>
          <w:highlight w:val="none"/>
        </w:rPr>
        <w:t>检</w:t>
      </w:r>
      <w:r>
        <w:rPr>
          <w:rFonts w:hint="eastAsia" w:ascii="Times New Roman" w:hAnsi="Times New Roman" w:eastAsia="方正仿宋_GBK" w:cs="宋体"/>
          <w:szCs w:val="21"/>
          <w:highlight w:val="none"/>
          <w:lang w:val="en-US" w:eastAsia="zh-CN"/>
        </w:rPr>
        <w:t>查</w:t>
      </w:r>
      <w:r>
        <w:rPr>
          <w:rFonts w:hint="eastAsia" w:ascii="Times New Roman" w:hAnsi="Times New Roman" w:eastAsia="方正仿宋_GBK" w:cs="宋体"/>
          <w:szCs w:val="21"/>
          <w:highlight w:val="none"/>
        </w:rPr>
        <w:t>互感器二次侧接地情况（拆开互感器外壳，先测量互感器有无电压，后测量黄绿色导线二次侧对地是否导通）</w:t>
      </w:r>
    </w:p>
    <w:p w14:paraId="25235221">
      <w:pPr>
        <w:spacing w:line="360" w:lineRule="auto"/>
        <w:ind w:firstLine="420" w:firstLineChars="200"/>
        <w:rPr>
          <w:rFonts w:hint="eastAsia" w:ascii="Times New Roman" w:hAnsi="Times New Roman" w:eastAsia="方正仿宋_GBK" w:cs="宋体"/>
          <w:szCs w:val="21"/>
          <w:highlight w:val="none"/>
        </w:rPr>
      </w:pPr>
      <w:r>
        <w:rPr>
          <w:rFonts w:hint="eastAsia" w:ascii="Times New Roman" w:hAnsi="Times New Roman" w:eastAsia="方正仿宋_GBK" w:cs="宋体"/>
          <w:szCs w:val="21"/>
          <w:highlight w:val="none"/>
          <w:lang w:val="en-US" w:eastAsia="zh-CN"/>
        </w:rPr>
        <w:t>6、</w:t>
      </w:r>
      <w:r>
        <w:rPr>
          <w:rFonts w:hint="eastAsia" w:ascii="Times New Roman" w:hAnsi="Times New Roman" w:eastAsia="方正仿宋_GBK" w:cs="宋体"/>
          <w:szCs w:val="21"/>
          <w:highlight w:val="none"/>
        </w:rPr>
        <w:t>检查灭弧是否完好（除ABB、ME开关以外，其他开关不检查触头）</w:t>
      </w:r>
    </w:p>
    <w:p w14:paraId="42A9CB67">
      <w:pPr>
        <w:spacing w:line="360" w:lineRule="auto"/>
        <w:ind w:firstLine="420" w:firstLineChars="200"/>
        <w:rPr>
          <w:rFonts w:hint="eastAsia" w:ascii="Times New Roman" w:hAnsi="Times New Roman" w:eastAsia="方正仿宋_GBK" w:cs="宋体"/>
          <w:szCs w:val="21"/>
          <w:highlight w:val="none"/>
        </w:rPr>
      </w:pPr>
      <w:r>
        <w:rPr>
          <w:rFonts w:hint="eastAsia" w:ascii="Times New Roman" w:hAnsi="Times New Roman" w:eastAsia="方正仿宋_GBK" w:cs="宋体"/>
          <w:szCs w:val="21"/>
          <w:highlight w:val="none"/>
          <w:lang w:val="en-US" w:eastAsia="zh-CN"/>
        </w:rPr>
        <w:t>7、</w:t>
      </w:r>
      <w:r>
        <w:rPr>
          <w:rFonts w:hint="eastAsia" w:ascii="Times New Roman" w:hAnsi="Times New Roman" w:eastAsia="方正仿宋_GBK" w:cs="宋体"/>
          <w:szCs w:val="21"/>
          <w:highlight w:val="none"/>
        </w:rPr>
        <w:t>柜内主回路热成像检测，检查电流排、汇流排、引线、接线端子无过热、腐蚀；</w:t>
      </w:r>
    </w:p>
    <w:p w14:paraId="36BEA2F5">
      <w:pPr>
        <w:spacing w:line="360" w:lineRule="auto"/>
        <w:ind w:firstLine="420" w:firstLineChars="200"/>
        <w:rPr>
          <w:rFonts w:hint="eastAsia" w:ascii="Times New Roman" w:hAnsi="Times New Roman" w:eastAsia="方正仿宋_GBK" w:cs="宋体"/>
          <w:szCs w:val="21"/>
          <w:highlight w:val="none"/>
        </w:rPr>
      </w:pPr>
      <w:r>
        <w:rPr>
          <w:rFonts w:hint="eastAsia" w:ascii="Times New Roman" w:hAnsi="Times New Roman" w:eastAsia="方正仿宋_GBK" w:cs="宋体"/>
          <w:szCs w:val="21"/>
          <w:highlight w:val="none"/>
          <w:lang w:val="en-US" w:eastAsia="zh-CN"/>
        </w:rPr>
        <w:t>8、</w:t>
      </w:r>
      <w:r>
        <w:rPr>
          <w:rFonts w:hint="eastAsia" w:ascii="Times New Roman" w:hAnsi="Times New Roman" w:eastAsia="方正仿宋_GBK" w:cs="宋体"/>
          <w:szCs w:val="21"/>
          <w:highlight w:val="none"/>
        </w:rPr>
        <w:t>本体主回路绝缘检测（测量相间电压）；</w:t>
      </w:r>
    </w:p>
    <w:p w14:paraId="637FC8A7">
      <w:pPr>
        <w:spacing w:line="360" w:lineRule="auto"/>
        <w:ind w:firstLine="420" w:firstLineChars="200"/>
        <w:rPr>
          <w:rFonts w:hint="eastAsia" w:ascii="Times New Roman" w:hAnsi="Times New Roman" w:eastAsia="方正仿宋_GBK" w:cs="宋体"/>
          <w:szCs w:val="21"/>
          <w:highlight w:val="none"/>
        </w:rPr>
      </w:pPr>
      <w:r>
        <w:rPr>
          <w:rFonts w:hint="eastAsia" w:ascii="Times New Roman" w:hAnsi="Times New Roman" w:eastAsia="方正仿宋_GBK" w:cs="宋体"/>
          <w:szCs w:val="21"/>
          <w:highlight w:val="none"/>
          <w:lang w:val="en-US" w:eastAsia="zh-CN"/>
        </w:rPr>
        <w:t>9、</w:t>
      </w:r>
      <w:r>
        <w:rPr>
          <w:rFonts w:hint="eastAsia" w:ascii="Times New Roman" w:hAnsi="Times New Roman" w:eastAsia="方正仿宋_GBK" w:cs="宋体"/>
          <w:szCs w:val="21"/>
          <w:highlight w:val="none"/>
        </w:rPr>
        <w:t>柜体风扇性能检查（如柜体有风扇，则检查风扇是否正常）；</w:t>
      </w:r>
    </w:p>
    <w:p w14:paraId="05CB31E7">
      <w:pPr>
        <w:spacing w:line="360" w:lineRule="auto"/>
        <w:ind w:firstLine="420" w:firstLineChars="200"/>
        <w:rPr>
          <w:rFonts w:hint="eastAsia" w:ascii="Times New Roman" w:hAnsi="Times New Roman" w:eastAsia="方正仿宋_GBK" w:cs="宋体"/>
          <w:szCs w:val="21"/>
          <w:highlight w:val="none"/>
        </w:rPr>
      </w:pPr>
      <w:r>
        <w:rPr>
          <w:rFonts w:hint="eastAsia" w:ascii="Times New Roman" w:hAnsi="Times New Roman" w:eastAsia="方正仿宋_GBK" w:cs="宋体"/>
          <w:szCs w:val="21"/>
          <w:highlight w:val="none"/>
          <w:lang w:val="en-US" w:eastAsia="zh-CN"/>
        </w:rPr>
        <w:t>10、</w:t>
      </w:r>
      <w:r>
        <w:rPr>
          <w:rFonts w:hint="eastAsia" w:ascii="Times New Roman" w:hAnsi="Times New Roman" w:eastAsia="方正仿宋_GBK" w:cs="宋体"/>
          <w:szCs w:val="21"/>
          <w:highlight w:val="none"/>
        </w:rPr>
        <w:t>控制器开关位置是否正常（合闸位、分闸位、故障位）都能有效</w:t>
      </w:r>
    </w:p>
    <w:p w14:paraId="1570E406">
      <w:pPr>
        <w:spacing w:line="360" w:lineRule="auto"/>
        <w:ind w:firstLine="420" w:firstLineChars="200"/>
        <w:rPr>
          <w:rFonts w:hint="eastAsia" w:ascii="Times New Roman" w:hAnsi="Times New Roman" w:eastAsia="方正仿宋_GBK" w:cs="宋体"/>
          <w:szCs w:val="21"/>
          <w:highlight w:val="none"/>
        </w:rPr>
      </w:pPr>
      <w:r>
        <w:rPr>
          <w:rFonts w:hint="eastAsia" w:ascii="Times New Roman" w:hAnsi="Times New Roman" w:eastAsia="方正仿宋_GBK" w:cs="宋体"/>
          <w:szCs w:val="21"/>
          <w:highlight w:val="none"/>
          <w:lang w:val="en-US" w:eastAsia="zh-CN"/>
        </w:rPr>
        <w:t>11、</w:t>
      </w:r>
      <w:r>
        <w:rPr>
          <w:rFonts w:hint="eastAsia" w:ascii="Times New Roman" w:hAnsi="Times New Roman" w:eastAsia="方正仿宋_GBK" w:cs="宋体"/>
          <w:szCs w:val="21"/>
          <w:highlight w:val="none"/>
        </w:rPr>
        <w:t>检查柜门及附件（指示灯状态完好、仪表指示正常等）；</w:t>
      </w:r>
    </w:p>
    <w:p w14:paraId="3209805E">
      <w:pPr>
        <w:spacing w:line="360" w:lineRule="auto"/>
        <w:ind w:firstLine="420" w:firstLineChars="200"/>
        <w:rPr>
          <w:rFonts w:hint="eastAsia" w:ascii="Times New Roman" w:hAnsi="Times New Roman" w:eastAsia="方正仿宋_GBK" w:cs="宋体"/>
          <w:szCs w:val="21"/>
          <w:highlight w:val="none"/>
        </w:rPr>
      </w:pPr>
      <w:r>
        <w:rPr>
          <w:rFonts w:hint="eastAsia" w:ascii="Times New Roman" w:hAnsi="Times New Roman" w:eastAsia="方正仿宋_GBK" w:cs="宋体"/>
          <w:szCs w:val="21"/>
          <w:highlight w:val="none"/>
          <w:lang w:val="en-US" w:eastAsia="zh-CN"/>
        </w:rPr>
        <w:t>12、</w:t>
      </w:r>
      <w:r>
        <w:rPr>
          <w:rFonts w:hint="eastAsia" w:ascii="Times New Roman" w:hAnsi="Times New Roman" w:eastAsia="方正仿宋_GBK" w:cs="宋体"/>
          <w:szCs w:val="21"/>
          <w:highlight w:val="none"/>
        </w:rPr>
        <w:t>检查紧固件是否松动，检查支撑件是否破损，对固定件进行清理、除锈</w:t>
      </w:r>
    </w:p>
    <w:p w14:paraId="560E0AAB">
      <w:pPr>
        <w:spacing w:line="360" w:lineRule="auto"/>
        <w:ind w:firstLine="420" w:firstLineChars="200"/>
        <w:rPr>
          <w:rFonts w:hint="eastAsia" w:ascii="Times New Roman" w:hAnsi="Times New Roman" w:eastAsia="方正仿宋_GBK" w:cs="宋体"/>
          <w:szCs w:val="21"/>
          <w:highlight w:val="none"/>
        </w:rPr>
      </w:pPr>
      <w:r>
        <w:rPr>
          <w:rFonts w:hint="eastAsia" w:ascii="Times New Roman" w:hAnsi="Times New Roman" w:eastAsia="方正仿宋_GBK" w:cs="宋体"/>
          <w:szCs w:val="21"/>
          <w:highlight w:val="none"/>
          <w:lang w:val="en-US" w:eastAsia="zh-CN"/>
        </w:rPr>
        <w:t>13、</w:t>
      </w:r>
      <w:r>
        <w:rPr>
          <w:rFonts w:hint="eastAsia" w:ascii="Times New Roman" w:hAnsi="Times New Roman" w:eastAsia="方正仿宋_GBK" w:cs="宋体"/>
          <w:szCs w:val="21"/>
          <w:highlight w:val="none"/>
        </w:rPr>
        <w:t>漏电开关，热继电器，时间继电器中间继电器，多功能表等进行检查，校验</w:t>
      </w:r>
    </w:p>
    <w:p w14:paraId="420B7952">
      <w:pPr>
        <w:spacing w:line="360" w:lineRule="auto"/>
        <w:ind w:firstLine="420" w:firstLineChars="200"/>
        <w:rPr>
          <w:rFonts w:hint="eastAsia" w:ascii="Times New Roman" w:hAnsi="Times New Roman" w:eastAsia="方正仿宋_GBK" w:cs="宋体"/>
          <w:szCs w:val="21"/>
          <w:highlight w:val="none"/>
        </w:rPr>
      </w:pPr>
      <w:r>
        <w:rPr>
          <w:rFonts w:hint="eastAsia" w:ascii="Times New Roman" w:hAnsi="Times New Roman" w:eastAsia="方正仿宋_GBK" w:cs="宋体"/>
          <w:szCs w:val="21"/>
          <w:highlight w:val="none"/>
          <w:lang w:val="en-US" w:eastAsia="zh-CN"/>
        </w:rPr>
        <w:t>14、</w:t>
      </w:r>
      <w:r>
        <w:rPr>
          <w:rFonts w:hint="eastAsia" w:ascii="Times New Roman" w:hAnsi="Times New Roman" w:eastAsia="方正仿宋_GBK" w:cs="宋体"/>
          <w:szCs w:val="21"/>
          <w:highlight w:val="none"/>
        </w:rPr>
        <w:t>在断电的情况下，紧固进线开关螺丝（紧固完在螺丝上用记号笔标记位置便于下次查看是否松动）</w:t>
      </w:r>
    </w:p>
    <w:p w14:paraId="32BC6657">
      <w:pPr>
        <w:spacing w:line="360" w:lineRule="auto"/>
        <w:ind w:firstLine="420" w:firstLineChars="200"/>
        <w:rPr>
          <w:rFonts w:hint="eastAsia" w:ascii="Times New Roman" w:hAnsi="Times New Roman" w:eastAsia="方正仿宋_GBK" w:cs="宋体"/>
          <w:szCs w:val="21"/>
          <w:highlight w:val="none"/>
        </w:rPr>
      </w:pPr>
      <w:r>
        <w:rPr>
          <w:rFonts w:hint="eastAsia" w:ascii="Times New Roman" w:hAnsi="Times New Roman" w:eastAsia="方正仿宋_GBK" w:cs="宋体"/>
          <w:szCs w:val="21"/>
          <w:highlight w:val="none"/>
          <w:lang w:val="en-US" w:eastAsia="zh-CN"/>
        </w:rPr>
        <w:t>15、</w:t>
      </w:r>
      <w:r>
        <w:rPr>
          <w:rFonts w:hint="eastAsia" w:ascii="Times New Roman" w:hAnsi="Times New Roman" w:eastAsia="方正仿宋_GBK" w:cs="宋体"/>
          <w:szCs w:val="21"/>
          <w:highlight w:val="none"/>
        </w:rPr>
        <w:t>打扫配电房室内卫生</w:t>
      </w:r>
    </w:p>
    <w:p w14:paraId="587C1A07">
      <w:pPr>
        <w:spacing w:line="360" w:lineRule="auto"/>
        <w:ind w:firstLine="210" w:firstLineChars="100"/>
        <w:rPr>
          <w:rFonts w:hint="eastAsia" w:ascii="Times New Roman" w:hAnsi="Times New Roman" w:eastAsia="方正仿宋_GBK" w:cs="宋体"/>
          <w:b/>
          <w:bCs/>
          <w:szCs w:val="21"/>
          <w:highlight w:val="none"/>
          <w:lang w:val="en-US" w:eastAsia="zh-CN"/>
        </w:rPr>
      </w:pPr>
      <w:r>
        <w:rPr>
          <w:rFonts w:hint="eastAsia" w:ascii="Times New Roman" w:hAnsi="Times New Roman" w:eastAsia="方正仿宋_GBK" w:cs="宋体"/>
          <w:b/>
          <w:bCs/>
          <w:szCs w:val="21"/>
          <w:highlight w:val="none"/>
          <w:lang w:val="en-US" w:eastAsia="zh-CN"/>
        </w:rPr>
        <w:t>（三）乙方需提供详细的项目维保方案。</w:t>
      </w:r>
    </w:p>
    <w:p w14:paraId="4301873F">
      <w:pPr>
        <w:spacing w:line="360" w:lineRule="auto"/>
        <w:ind w:firstLine="420" w:firstLineChars="200"/>
        <w:rPr>
          <w:rFonts w:hint="eastAsia" w:ascii="Times New Roman" w:hAnsi="Times New Roman" w:eastAsia="方正仿宋_GBK" w:cs="宋体"/>
          <w:szCs w:val="21"/>
          <w:highlight w:val="none"/>
          <w:lang w:val="en-US" w:eastAsia="zh-CN"/>
        </w:rPr>
      </w:pPr>
      <w:r>
        <w:rPr>
          <w:rFonts w:hint="eastAsia" w:ascii="Times New Roman" w:hAnsi="Times New Roman" w:eastAsia="方正仿宋_GBK" w:cs="宋体"/>
          <w:szCs w:val="21"/>
          <w:highlight w:val="none"/>
          <w:lang w:val="en-US" w:eastAsia="zh-CN"/>
        </w:rPr>
        <w:t>因本项目需停电保养且保养窗口期均是在夜航结束后进行，乙方需充分考虑。</w:t>
      </w:r>
    </w:p>
    <w:p w14:paraId="5BD45C42">
      <w:pPr>
        <w:spacing w:line="360" w:lineRule="auto"/>
        <w:ind w:firstLine="210" w:firstLineChars="100"/>
        <w:rPr>
          <w:rFonts w:hint="eastAsia" w:ascii="Times New Roman" w:hAnsi="Times New Roman" w:eastAsia="方正仿宋_GBK" w:cs="宋体"/>
          <w:b/>
          <w:bCs/>
          <w:szCs w:val="21"/>
          <w:highlight w:val="none"/>
          <w:lang w:val="en-US" w:eastAsia="zh-CN"/>
        </w:rPr>
      </w:pPr>
      <w:r>
        <w:rPr>
          <w:rFonts w:hint="eastAsia" w:ascii="Times New Roman" w:hAnsi="Times New Roman" w:eastAsia="方正仿宋_GBK" w:cs="宋体"/>
          <w:b/>
          <w:bCs/>
          <w:szCs w:val="21"/>
          <w:highlight w:val="none"/>
          <w:lang w:val="en-US" w:eastAsia="zh-CN"/>
        </w:rPr>
        <w:t>（四）配件要求</w:t>
      </w:r>
    </w:p>
    <w:p w14:paraId="0DDB8591">
      <w:pPr>
        <w:spacing w:line="360" w:lineRule="auto"/>
        <w:ind w:firstLine="420" w:firstLineChars="200"/>
        <w:rPr>
          <w:rFonts w:ascii="Times New Roman" w:hAnsi="Times New Roman" w:eastAsia="方正仿宋_GBK" w:cs="宋体"/>
          <w:color w:val="C0504D"/>
          <w:szCs w:val="21"/>
          <w:highlight w:val="none"/>
        </w:rPr>
      </w:pPr>
      <w:r>
        <w:rPr>
          <w:rFonts w:hint="eastAsia" w:ascii="Times New Roman" w:hAnsi="Times New Roman" w:eastAsia="方正仿宋_GBK" w:cs="宋体"/>
          <w:szCs w:val="21"/>
          <w:highlight w:val="none"/>
          <w:lang w:val="en-US" w:eastAsia="zh-CN"/>
        </w:rPr>
        <w:t>1、乙方</w:t>
      </w:r>
      <w:r>
        <w:rPr>
          <w:rFonts w:hint="eastAsia" w:ascii="Times New Roman" w:hAnsi="Times New Roman" w:eastAsia="方正仿宋_GBK" w:cs="宋体"/>
          <w:szCs w:val="21"/>
          <w:highlight w:val="none"/>
        </w:rPr>
        <w:t>应能提供满足本项目所有设备维修所需的配件。</w:t>
      </w:r>
    </w:p>
    <w:p w14:paraId="009C60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方正仿宋_GBK" w:cs="宋体"/>
          <w:color w:val="auto"/>
          <w:sz w:val="21"/>
          <w:szCs w:val="21"/>
          <w:highlight w:val="none"/>
        </w:rPr>
      </w:pPr>
      <w:r>
        <w:rPr>
          <w:rFonts w:hint="eastAsia" w:ascii="Times New Roman" w:hAnsi="Times New Roman" w:eastAsia="方正仿宋_GBK" w:cs="宋体"/>
          <w:color w:val="auto"/>
          <w:sz w:val="21"/>
          <w:szCs w:val="21"/>
          <w:highlight w:val="none"/>
          <w:lang w:val="en-US" w:eastAsia="zh-CN"/>
        </w:rPr>
        <w:t>2、乙方维保配电柜时，若有电气设备损坏或故障</w:t>
      </w:r>
      <w:r>
        <w:rPr>
          <w:rFonts w:hint="eastAsia" w:ascii="Times New Roman" w:hAnsi="Times New Roman" w:eastAsia="方正仿宋_GBK" w:cs="宋体"/>
          <w:color w:val="auto"/>
          <w:sz w:val="21"/>
          <w:szCs w:val="21"/>
          <w:highlight w:val="none"/>
        </w:rPr>
        <w:t>需要</w:t>
      </w:r>
      <w:r>
        <w:rPr>
          <w:rFonts w:hint="eastAsia" w:ascii="Times New Roman" w:hAnsi="Times New Roman" w:eastAsia="方正仿宋_GBK" w:cs="宋体"/>
          <w:color w:val="auto"/>
          <w:sz w:val="21"/>
          <w:szCs w:val="21"/>
          <w:highlight w:val="none"/>
          <w:lang w:val="en-US" w:eastAsia="zh-CN"/>
        </w:rPr>
        <w:t>维修</w:t>
      </w:r>
      <w:r>
        <w:rPr>
          <w:rFonts w:hint="eastAsia" w:ascii="Times New Roman" w:hAnsi="Times New Roman" w:eastAsia="方正仿宋_GBK" w:cs="宋体"/>
          <w:color w:val="auto"/>
          <w:sz w:val="21"/>
          <w:szCs w:val="21"/>
          <w:highlight w:val="none"/>
        </w:rPr>
        <w:t>更换</w:t>
      </w:r>
      <w:r>
        <w:rPr>
          <w:rFonts w:hint="eastAsia" w:ascii="Times New Roman" w:hAnsi="Times New Roman" w:eastAsia="方正仿宋_GBK" w:cs="宋体"/>
          <w:color w:val="auto"/>
          <w:sz w:val="21"/>
          <w:szCs w:val="21"/>
          <w:highlight w:val="none"/>
          <w:lang w:val="en-US" w:eastAsia="zh-CN"/>
        </w:rPr>
        <w:t>时，乙方须与甲方进行沟通，甲方可自行购买或根据乙方配件</w:t>
      </w:r>
      <w:r>
        <w:rPr>
          <w:rFonts w:hint="eastAsia" w:ascii="Times New Roman" w:hAnsi="Times New Roman" w:eastAsia="方正仿宋_GBK" w:cs="宋体"/>
          <w:color w:val="auto"/>
          <w:sz w:val="21"/>
          <w:szCs w:val="21"/>
          <w:highlight w:val="none"/>
        </w:rPr>
        <w:t>报价</w:t>
      </w:r>
      <w:r>
        <w:rPr>
          <w:rFonts w:hint="eastAsia" w:ascii="Times New Roman" w:hAnsi="Times New Roman" w:eastAsia="方正仿宋_GBK" w:cs="宋体"/>
          <w:color w:val="auto"/>
          <w:sz w:val="21"/>
          <w:szCs w:val="21"/>
          <w:highlight w:val="none"/>
          <w:lang w:val="en-US" w:eastAsia="zh-CN"/>
        </w:rPr>
        <w:t>委托乙方购买，乙方均须负责免费更换、安装、调试</w:t>
      </w:r>
      <w:r>
        <w:rPr>
          <w:rFonts w:hint="eastAsia" w:ascii="Times New Roman" w:hAnsi="Times New Roman" w:eastAsia="方正仿宋_GBK" w:cs="宋体"/>
          <w:color w:val="auto"/>
          <w:sz w:val="21"/>
          <w:szCs w:val="21"/>
          <w:highlight w:val="none"/>
        </w:rPr>
        <w:t>。</w:t>
      </w:r>
    </w:p>
    <w:p w14:paraId="15DBB026">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方正仿宋_GBK"/>
          <w:highlight w:val="none"/>
          <w:lang w:val="en-US" w:eastAsia="zh-CN"/>
        </w:rPr>
      </w:pPr>
      <w:r>
        <w:rPr>
          <w:rFonts w:hint="eastAsia" w:ascii="Times New Roman" w:hAnsi="Times New Roman" w:eastAsia="方正仿宋_GBK"/>
          <w:highlight w:val="none"/>
          <w:lang w:val="en-US" w:eastAsia="zh-CN"/>
        </w:rPr>
        <w:t>3、</w:t>
      </w:r>
      <w:r>
        <w:rPr>
          <w:rFonts w:hint="eastAsia" w:ascii="Times New Roman" w:hAnsi="Times New Roman" w:eastAsia="方正仿宋_GBK" w:cs="宋体"/>
          <w:color w:val="auto"/>
          <w:sz w:val="21"/>
          <w:szCs w:val="21"/>
          <w:highlight w:val="none"/>
        </w:rPr>
        <w:t>合同期内，</w:t>
      </w:r>
      <w:r>
        <w:rPr>
          <w:rFonts w:hint="eastAsia" w:ascii="Times New Roman" w:hAnsi="Times New Roman" w:eastAsia="方正仿宋_GBK" w:cs="宋体"/>
          <w:color w:val="auto"/>
          <w:sz w:val="21"/>
          <w:szCs w:val="21"/>
          <w:highlight w:val="none"/>
          <w:lang w:val="en-US" w:eastAsia="zh-CN"/>
        </w:rPr>
        <w:t>甲方</w:t>
      </w:r>
      <w:r>
        <w:rPr>
          <w:rFonts w:hint="eastAsia" w:ascii="Times New Roman" w:hAnsi="Times New Roman" w:eastAsia="方正仿宋_GBK" w:cs="宋体"/>
          <w:color w:val="auto"/>
          <w:sz w:val="21"/>
          <w:szCs w:val="21"/>
          <w:highlight w:val="none"/>
        </w:rPr>
        <w:t>需要更换的配件、材料、零部件等</w:t>
      </w:r>
      <w:r>
        <w:rPr>
          <w:rFonts w:hint="eastAsia" w:ascii="Times New Roman" w:hAnsi="Times New Roman" w:eastAsia="方正仿宋_GBK" w:cs="宋体"/>
          <w:color w:val="auto"/>
          <w:sz w:val="21"/>
          <w:szCs w:val="21"/>
          <w:highlight w:val="none"/>
          <w:lang w:val="en-US" w:eastAsia="zh-CN"/>
        </w:rPr>
        <w:t>总费用低于500元时</w:t>
      </w:r>
      <w:r>
        <w:rPr>
          <w:rFonts w:hint="eastAsia" w:ascii="Times New Roman" w:hAnsi="Times New Roman" w:eastAsia="方正仿宋_GBK" w:cs="宋体"/>
          <w:color w:val="auto"/>
          <w:sz w:val="21"/>
          <w:szCs w:val="21"/>
          <w:highlight w:val="none"/>
        </w:rPr>
        <w:t>，</w:t>
      </w:r>
      <w:r>
        <w:rPr>
          <w:rFonts w:hint="eastAsia" w:ascii="Times New Roman" w:hAnsi="Times New Roman" w:eastAsia="方正仿宋_GBK" w:cs="宋体"/>
          <w:color w:val="auto"/>
          <w:sz w:val="21"/>
          <w:szCs w:val="21"/>
          <w:highlight w:val="none"/>
          <w:lang w:val="en-US" w:eastAsia="zh-CN"/>
        </w:rPr>
        <w:t>乙方需</w:t>
      </w:r>
      <w:r>
        <w:rPr>
          <w:rFonts w:hint="eastAsia" w:ascii="Times New Roman" w:hAnsi="Times New Roman" w:eastAsia="方正仿宋_GBK" w:cs="宋体"/>
          <w:color w:val="auto"/>
          <w:sz w:val="21"/>
          <w:szCs w:val="21"/>
          <w:highlight w:val="none"/>
        </w:rPr>
        <w:t>免费提供并</w:t>
      </w:r>
      <w:r>
        <w:rPr>
          <w:rFonts w:hint="eastAsia" w:ascii="Times New Roman" w:hAnsi="Times New Roman" w:eastAsia="方正仿宋_GBK" w:cs="宋体"/>
          <w:color w:val="auto"/>
          <w:sz w:val="21"/>
          <w:szCs w:val="21"/>
          <w:highlight w:val="none"/>
          <w:lang w:val="en-US" w:eastAsia="zh-CN"/>
        </w:rPr>
        <w:t>维修。</w:t>
      </w:r>
    </w:p>
    <w:p w14:paraId="3412CB75">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方正仿宋_GBK" w:cs="宋体"/>
          <w:color w:val="auto"/>
          <w:kern w:val="2"/>
          <w:sz w:val="21"/>
          <w:szCs w:val="21"/>
          <w:highlight w:val="none"/>
          <w:lang w:val="en-US" w:eastAsia="zh-CN" w:bidi="ar-SA"/>
        </w:rPr>
      </w:pPr>
      <w:r>
        <w:rPr>
          <w:rFonts w:hint="eastAsia" w:ascii="Times New Roman" w:hAnsi="Times New Roman" w:eastAsia="方正仿宋_GBK" w:cs="宋体"/>
          <w:color w:val="auto"/>
          <w:kern w:val="2"/>
          <w:sz w:val="21"/>
          <w:szCs w:val="21"/>
          <w:highlight w:val="none"/>
          <w:lang w:val="en-US" w:eastAsia="zh-CN" w:bidi="ar-SA"/>
        </w:rPr>
        <w:t>4、乙方所提供、更换的配件，应为未使用过的、新的原厂配件。如用国产、进口件替代原厂件，必须经过甲</w:t>
      </w:r>
      <w:r>
        <w:rPr>
          <w:rFonts w:hint="default" w:ascii="Times New Roman" w:hAnsi="Times New Roman" w:eastAsia="方正仿宋_GBK" w:cs="宋体"/>
          <w:color w:val="auto"/>
          <w:kern w:val="2"/>
          <w:sz w:val="21"/>
          <w:szCs w:val="21"/>
          <w:highlight w:val="none"/>
          <w:lang w:eastAsia="zh-CN" w:bidi="ar-SA"/>
        </w:rPr>
        <w:t>方</w:t>
      </w:r>
      <w:r>
        <w:rPr>
          <w:rFonts w:hint="eastAsia" w:ascii="Times New Roman" w:hAnsi="Times New Roman" w:eastAsia="方正仿宋_GBK" w:cs="宋体"/>
          <w:color w:val="auto"/>
          <w:kern w:val="2"/>
          <w:sz w:val="21"/>
          <w:szCs w:val="21"/>
          <w:highlight w:val="none"/>
          <w:lang w:val="en-US" w:eastAsia="zh-CN" w:bidi="ar-SA"/>
        </w:rPr>
        <w:t>同意，并附维修质量承诺书。</w:t>
      </w:r>
    </w:p>
    <w:p w14:paraId="6100FC02">
      <w:pPr>
        <w:spacing w:line="360" w:lineRule="auto"/>
        <w:ind w:firstLine="210" w:firstLineChars="100"/>
        <w:rPr>
          <w:rFonts w:hint="eastAsia" w:ascii="Times New Roman" w:hAnsi="Times New Roman" w:eastAsia="方正仿宋_GBK" w:cs="宋体"/>
          <w:b/>
          <w:bCs/>
          <w:szCs w:val="21"/>
          <w:highlight w:val="none"/>
          <w:lang w:val="en-US" w:eastAsia="zh-CN"/>
        </w:rPr>
      </w:pPr>
      <w:r>
        <w:rPr>
          <w:rFonts w:hint="eastAsia" w:ascii="Times New Roman" w:hAnsi="Times New Roman" w:eastAsia="方正仿宋_GBK" w:cs="宋体"/>
          <w:b/>
          <w:bCs/>
          <w:szCs w:val="21"/>
          <w:highlight w:val="none"/>
          <w:lang w:val="en-US" w:eastAsia="zh-CN"/>
        </w:rPr>
        <w:t>（五）维保人员要求</w:t>
      </w:r>
    </w:p>
    <w:p w14:paraId="1A7427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方正仿宋_GBK" w:cs="宋体"/>
          <w:color w:val="auto"/>
          <w:sz w:val="21"/>
          <w:szCs w:val="21"/>
          <w:highlight w:val="none"/>
          <w:lang w:val="en-US" w:eastAsia="zh-CN"/>
        </w:rPr>
      </w:pPr>
      <w:r>
        <w:rPr>
          <w:rFonts w:hint="eastAsia" w:ascii="Times New Roman" w:hAnsi="Times New Roman" w:eastAsia="方正仿宋_GBK" w:cs="宋体"/>
          <w:color w:val="auto"/>
          <w:sz w:val="21"/>
          <w:szCs w:val="21"/>
          <w:highlight w:val="none"/>
          <w:lang w:val="en-US" w:eastAsia="zh-CN"/>
        </w:rPr>
        <w:t>1、乙方需至少配备一名具有资深设备维保工作管理经验的管理人员且工作年限不少于10年。</w:t>
      </w:r>
    </w:p>
    <w:p w14:paraId="56FB77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方正仿宋_GBK" w:cs="宋体"/>
          <w:color w:val="auto"/>
          <w:sz w:val="21"/>
          <w:szCs w:val="21"/>
          <w:highlight w:val="none"/>
          <w:lang w:val="en-US" w:eastAsia="zh-CN"/>
        </w:rPr>
      </w:pPr>
      <w:r>
        <w:rPr>
          <w:rFonts w:hint="eastAsia" w:ascii="Times New Roman" w:hAnsi="Times New Roman" w:eastAsia="方正仿宋_GBK" w:cs="宋体"/>
          <w:color w:val="auto"/>
          <w:sz w:val="21"/>
          <w:szCs w:val="21"/>
          <w:highlight w:val="none"/>
          <w:lang w:val="en-US" w:eastAsia="zh-CN"/>
        </w:rPr>
        <w:t>2、乙方须提供本次项目人员（不少于4人）特种作业操作证（低压电工作业）（提供复印件并加盖公章）。</w:t>
      </w:r>
    </w:p>
    <w:p w14:paraId="137505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方正仿宋_GBK" w:cs="宋体"/>
          <w:color w:val="auto"/>
          <w:sz w:val="21"/>
          <w:szCs w:val="21"/>
          <w:highlight w:val="none"/>
          <w:lang w:val="en-US" w:eastAsia="zh-CN"/>
        </w:rPr>
      </w:pPr>
      <w:r>
        <w:rPr>
          <w:rFonts w:hint="eastAsia" w:ascii="Times New Roman" w:hAnsi="Times New Roman" w:eastAsia="方正仿宋_GBK" w:cs="宋体"/>
          <w:color w:val="auto"/>
          <w:sz w:val="21"/>
          <w:szCs w:val="21"/>
          <w:highlight w:val="none"/>
          <w:lang w:val="en-US" w:eastAsia="zh-CN"/>
        </w:rPr>
        <w:t>3、ATS（双电源切换开关柜）维护保养人员需为原厂（施耐德或GE）技术人员</w:t>
      </w:r>
    </w:p>
    <w:p w14:paraId="32A619F7">
      <w:pPr>
        <w:spacing w:line="360" w:lineRule="auto"/>
        <w:ind w:firstLine="210" w:firstLineChars="100"/>
        <w:rPr>
          <w:rFonts w:hint="eastAsia" w:ascii="Times New Roman" w:hAnsi="Times New Roman" w:eastAsia="方正仿宋_GBK" w:cs="宋体"/>
          <w:b/>
          <w:bCs/>
          <w:szCs w:val="21"/>
          <w:highlight w:val="none"/>
          <w:lang w:val="en-US" w:eastAsia="zh-CN"/>
        </w:rPr>
      </w:pPr>
      <w:r>
        <w:rPr>
          <w:rFonts w:hint="eastAsia" w:ascii="Times New Roman" w:hAnsi="Times New Roman" w:eastAsia="方正仿宋_GBK" w:cs="宋体"/>
          <w:b/>
          <w:bCs/>
          <w:szCs w:val="21"/>
          <w:highlight w:val="none"/>
          <w:lang w:val="en-US" w:eastAsia="zh-CN"/>
        </w:rPr>
        <w:t>（六）总体服务要求</w:t>
      </w:r>
    </w:p>
    <w:p w14:paraId="74E194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Times New Roman" w:hAnsi="Times New Roman" w:eastAsia="方正仿宋_GBK" w:cs="宋体"/>
          <w:szCs w:val="21"/>
          <w:highlight w:val="none"/>
        </w:rPr>
      </w:pPr>
      <w:r>
        <w:rPr>
          <w:rFonts w:hint="eastAsia" w:ascii="Times New Roman" w:hAnsi="Times New Roman" w:eastAsia="方正仿宋_GBK" w:cs="宋体"/>
          <w:szCs w:val="21"/>
          <w:highlight w:val="none"/>
          <w:lang w:val="en-US" w:eastAsia="zh-CN"/>
        </w:rPr>
        <w:t>1、项目</w:t>
      </w:r>
      <w:r>
        <w:rPr>
          <w:rFonts w:hint="eastAsia" w:ascii="Times New Roman" w:hAnsi="Times New Roman" w:eastAsia="方正仿宋_GBK" w:cs="宋体"/>
          <w:szCs w:val="21"/>
          <w:highlight w:val="none"/>
        </w:rPr>
        <w:t>施工时间由</w:t>
      </w:r>
      <w:r>
        <w:rPr>
          <w:rFonts w:hint="eastAsia" w:ascii="Times New Roman" w:hAnsi="Times New Roman" w:eastAsia="方正仿宋_GBK" w:cs="宋体"/>
          <w:szCs w:val="21"/>
          <w:highlight w:val="none"/>
          <w:lang w:val="en-US" w:eastAsia="zh-CN"/>
        </w:rPr>
        <w:t>甲方</w:t>
      </w:r>
      <w:r>
        <w:rPr>
          <w:rFonts w:hint="eastAsia" w:ascii="Times New Roman" w:hAnsi="Times New Roman" w:eastAsia="方正仿宋_GBK" w:cs="宋体"/>
          <w:szCs w:val="21"/>
          <w:highlight w:val="none"/>
        </w:rPr>
        <w:t>安排，</w:t>
      </w:r>
      <w:r>
        <w:rPr>
          <w:rFonts w:hint="eastAsia" w:ascii="Times New Roman" w:hAnsi="Times New Roman" w:eastAsia="方正仿宋_GBK" w:cs="宋体"/>
          <w:szCs w:val="21"/>
          <w:highlight w:val="none"/>
          <w:lang w:val="en-US" w:eastAsia="zh-CN"/>
        </w:rPr>
        <w:t>乙方</w:t>
      </w:r>
      <w:r>
        <w:rPr>
          <w:rFonts w:hint="eastAsia" w:ascii="Times New Roman" w:hAnsi="Times New Roman" w:eastAsia="方正仿宋_GBK" w:cs="宋体"/>
          <w:szCs w:val="21"/>
          <w:highlight w:val="none"/>
        </w:rPr>
        <w:t>须提前与</w:t>
      </w:r>
      <w:r>
        <w:rPr>
          <w:rFonts w:hint="eastAsia" w:ascii="Times New Roman" w:hAnsi="Times New Roman" w:eastAsia="方正仿宋_GBK" w:cs="宋体"/>
          <w:szCs w:val="21"/>
          <w:highlight w:val="none"/>
          <w:lang w:val="en-US" w:eastAsia="zh-CN"/>
        </w:rPr>
        <w:t>甲方</w:t>
      </w:r>
      <w:r>
        <w:rPr>
          <w:rFonts w:hint="eastAsia" w:ascii="Times New Roman" w:hAnsi="Times New Roman" w:eastAsia="方正仿宋_GBK" w:cs="宋体"/>
          <w:szCs w:val="21"/>
          <w:highlight w:val="none"/>
        </w:rPr>
        <w:t>沟通确定施工时间。</w:t>
      </w:r>
    </w:p>
    <w:p w14:paraId="554E24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Times New Roman" w:hAnsi="Times New Roman" w:eastAsia="方正仿宋_GBK" w:cs="宋体"/>
          <w:szCs w:val="21"/>
          <w:highlight w:val="none"/>
        </w:rPr>
      </w:pPr>
      <w:r>
        <w:rPr>
          <w:rFonts w:hint="eastAsia" w:ascii="Times New Roman" w:hAnsi="Times New Roman" w:eastAsia="方正仿宋_GBK" w:cs="宋体"/>
          <w:szCs w:val="21"/>
          <w:highlight w:val="none"/>
          <w:lang w:val="en-US" w:eastAsia="zh-CN"/>
        </w:rPr>
        <w:t>2、</w:t>
      </w:r>
      <w:r>
        <w:rPr>
          <w:rFonts w:hint="eastAsia" w:ascii="Times New Roman" w:hAnsi="Times New Roman" w:eastAsia="方正仿宋_GBK" w:cs="宋体"/>
          <w:szCs w:val="21"/>
          <w:highlight w:val="none"/>
        </w:rPr>
        <w:t>因该项目为机场停机坪内小型改造施工，故</w:t>
      </w:r>
      <w:r>
        <w:rPr>
          <w:rFonts w:hint="eastAsia" w:ascii="Times New Roman" w:hAnsi="Times New Roman" w:eastAsia="方正仿宋_GBK" w:cs="宋体"/>
          <w:szCs w:val="21"/>
          <w:highlight w:val="none"/>
          <w:lang w:val="en-US" w:eastAsia="zh-CN"/>
        </w:rPr>
        <w:t>乙方</w:t>
      </w:r>
      <w:r>
        <w:rPr>
          <w:rFonts w:hint="eastAsia" w:ascii="Times New Roman" w:hAnsi="Times New Roman" w:eastAsia="方正仿宋_GBK" w:cs="宋体"/>
          <w:szCs w:val="21"/>
          <w:highlight w:val="none"/>
        </w:rPr>
        <w:t>须按照</w:t>
      </w:r>
      <w:r>
        <w:rPr>
          <w:rFonts w:hint="eastAsia" w:ascii="Times New Roman" w:hAnsi="Times New Roman" w:eastAsia="方正仿宋_GBK" w:cs="宋体"/>
          <w:szCs w:val="21"/>
          <w:highlight w:val="none"/>
          <w:lang w:val="en-US" w:eastAsia="zh-CN"/>
        </w:rPr>
        <w:t>甲方</w:t>
      </w:r>
      <w:r>
        <w:rPr>
          <w:rFonts w:hint="eastAsia" w:ascii="Times New Roman" w:hAnsi="Times New Roman" w:eastAsia="方正仿宋_GBK" w:cs="宋体"/>
          <w:szCs w:val="21"/>
          <w:highlight w:val="none"/>
        </w:rPr>
        <w:t>要求提前提供各项材料证明，配合</w:t>
      </w:r>
      <w:r>
        <w:rPr>
          <w:rFonts w:hint="eastAsia" w:ascii="Times New Roman" w:hAnsi="Times New Roman" w:eastAsia="方正仿宋_GBK" w:cs="宋体"/>
          <w:szCs w:val="21"/>
          <w:highlight w:val="none"/>
          <w:lang w:val="en-US" w:eastAsia="zh-CN"/>
        </w:rPr>
        <w:t>甲方</w:t>
      </w:r>
      <w:r>
        <w:rPr>
          <w:rFonts w:hint="eastAsia" w:ascii="Times New Roman" w:hAnsi="Times New Roman" w:eastAsia="方正仿宋_GBK" w:cs="宋体"/>
          <w:szCs w:val="21"/>
          <w:highlight w:val="none"/>
        </w:rPr>
        <w:t>办理禁区通行证，费用由</w:t>
      </w:r>
      <w:r>
        <w:rPr>
          <w:rFonts w:hint="eastAsia" w:ascii="Times New Roman" w:hAnsi="Times New Roman" w:eastAsia="方正仿宋_GBK" w:cs="宋体"/>
          <w:szCs w:val="21"/>
          <w:highlight w:val="none"/>
          <w:lang w:val="en-US" w:eastAsia="zh-CN"/>
        </w:rPr>
        <w:t>乙方</w:t>
      </w:r>
      <w:r>
        <w:rPr>
          <w:rFonts w:hint="eastAsia" w:ascii="Times New Roman" w:hAnsi="Times New Roman" w:eastAsia="方正仿宋_GBK" w:cs="宋体"/>
          <w:szCs w:val="21"/>
          <w:highlight w:val="none"/>
        </w:rPr>
        <w:t>自理。</w:t>
      </w:r>
    </w:p>
    <w:p w14:paraId="53D8B2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Times New Roman" w:hAnsi="Times New Roman" w:eastAsia="方正仿宋_GBK" w:cs="宋体"/>
          <w:szCs w:val="21"/>
          <w:highlight w:val="none"/>
        </w:rPr>
      </w:pPr>
      <w:r>
        <w:rPr>
          <w:rFonts w:hint="eastAsia" w:ascii="Times New Roman" w:hAnsi="Times New Roman" w:eastAsia="方正仿宋_GBK" w:cs="宋体"/>
          <w:szCs w:val="21"/>
          <w:highlight w:val="none"/>
          <w:lang w:val="en-US" w:eastAsia="zh-CN"/>
        </w:rPr>
        <w:t>3、乙方</w:t>
      </w:r>
      <w:r>
        <w:rPr>
          <w:rFonts w:hint="eastAsia" w:ascii="Times New Roman" w:hAnsi="Times New Roman" w:eastAsia="方正仿宋_GBK" w:cs="宋体"/>
          <w:szCs w:val="21"/>
          <w:highlight w:val="none"/>
        </w:rPr>
        <w:t>须按照机场的相关规定办理施工手续，所需办理材料由</w:t>
      </w:r>
      <w:r>
        <w:rPr>
          <w:rFonts w:hint="eastAsia" w:ascii="Times New Roman" w:hAnsi="Times New Roman" w:eastAsia="方正仿宋_GBK" w:cs="宋体"/>
          <w:szCs w:val="21"/>
          <w:highlight w:val="none"/>
          <w:lang w:val="en-US" w:eastAsia="zh-CN"/>
        </w:rPr>
        <w:t>乙方</w:t>
      </w:r>
      <w:r>
        <w:rPr>
          <w:rFonts w:hint="eastAsia" w:ascii="Times New Roman" w:hAnsi="Times New Roman" w:eastAsia="方正仿宋_GBK" w:cs="宋体"/>
          <w:szCs w:val="21"/>
          <w:highlight w:val="none"/>
        </w:rPr>
        <w:t>提前准备好。</w:t>
      </w:r>
    </w:p>
    <w:p w14:paraId="4FA31E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Times New Roman" w:hAnsi="Times New Roman" w:eastAsia="方正仿宋_GBK" w:cs="宋体"/>
          <w:szCs w:val="21"/>
          <w:highlight w:val="none"/>
        </w:rPr>
      </w:pPr>
      <w:r>
        <w:rPr>
          <w:rFonts w:hint="eastAsia" w:ascii="Times New Roman" w:hAnsi="Times New Roman" w:eastAsia="方正仿宋_GBK" w:cs="宋体"/>
          <w:szCs w:val="21"/>
          <w:highlight w:val="none"/>
          <w:lang w:val="en-US" w:eastAsia="zh-CN"/>
        </w:rPr>
        <w:t>4、乙方</w:t>
      </w:r>
      <w:r>
        <w:rPr>
          <w:rFonts w:hint="eastAsia" w:ascii="Times New Roman" w:hAnsi="Times New Roman" w:eastAsia="方正仿宋_GBK" w:cs="宋体"/>
          <w:szCs w:val="21"/>
          <w:highlight w:val="none"/>
        </w:rPr>
        <w:t>施工时应须严格执行安全操作规程，加强安全防护，</w:t>
      </w:r>
      <w:r>
        <w:rPr>
          <w:rFonts w:hint="eastAsia" w:ascii="Times New Roman" w:hAnsi="Times New Roman" w:eastAsia="方正仿宋_GBK" w:cs="宋体"/>
          <w:highlight w:val="none"/>
        </w:rPr>
        <w:t>充分保障双方人员、设备的安全</w:t>
      </w:r>
      <w:r>
        <w:rPr>
          <w:rFonts w:hint="eastAsia" w:ascii="Times New Roman" w:hAnsi="Times New Roman" w:eastAsia="方正仿宋_GBK" w:cs="宋体"/>
          <w:highlight w:val="none"/>
          <w:lang w:eastAsia="zh-CN"/>
        </w:rPr>
        <w:t>，</w:t>
      </w:r>
      <w:r>
        <w:rPr>
          <w:rFonts w:hint="eastAsia" w:ascii="Times New Roman" w:hAnsi="Times New Roman" w:eastAsia="方正仿宋_GBK" w:cs="宋体"/>
          <w:szCs w:val="21"/>
          <w:highlight w:val="none"/>
        </w:rPr>
        <w:t>出现安全责任事故和任何经济损失，均由</w:t>
      </w:r>
      <w:r>
        <w:rPr>
          <w:rFonts w:hint="eastAsia" w:ascii="Times New Roman" w:hAnsi="Times New Roman" w:eastAsia="方正仿宋_GBK" w:cs="宋体"/>
          <w:szCs w:val="21"/>
          <w:highlight w:val="none"/>
          <w:lang w:val="en-US" w:eastAsia="zh-CN"/>
        </w:rPr>
        <w:t>乙方</w:t>
      </w:r>
      <w:r>
        <w:rPr>
          <w:rFonts w:hint="eastAsia" w:ascii="Times New Roman" w:hAnsi="Times New Roman" w:eastAsia="方正仿宋_GBK" w:cs="宋体"/>
          <w:szCs w:val="21"/>
          <w:highlight w:val="none"/>
        </w:rPr>
        <w:t>承担。</w:t>
      </w:r>
    </w:p>
    <w:p w14:paraId="47E667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Times New Roman" w:hAnsi="Times New Roman" w:eastAsia="方正仿宋_GBK" w:cs="宋体"/>
          <w:szCs w:val="21"/>
          <w:highlight w:val="none"/>
        </w:rPr>
      </w:pPr>
      <w:r>
        <w:rPr>
          <w:rFonts w:hint="eastAsia" w:ascii="Times New Roman" w:hAnsi="Times New Roman" w:eastAsia="方正仿宋_GBK" w:cs="宋体"/>
          <w:szCs w:val="21"/>
          <w:highlight w:val="none"/>
          <w:lang w:val="en-US" w:eastAsia="zh-CN"/>
        </w:rPr>
        <w:t>5、</w:t>
      </w:r>
      <w:r>
        <w:rPr>
          <w:rFonts w:hint="eastAsia" w:ascii="Times New Roman" w:hAnsi="Times New Roman" w:eastAsia="方正仿宋_GBK" w:cs="宋体"/>
          <w:szCs w:val="21"/>
          <w:highlight w:val="none"/>
        </w:rPr>
        <w:t>该项目</w:t>
      </w:r>
      <w:r>
        <w:rPr>
          <w:rFonts w:hint="eastAsia" w:ascii="Times New Roman" w:hAnsi="Times New Roman" w:eastAsia="方正仿宋_GBK" w:cs="宋体"/>
          <w:szCs w:val="21"/>
          <w:highlight w:val="none"/>
          <w:lang w:val="en-US" w:eastAsia="zh-CN"/>
        </w:rPr>
        <w:t>部分</w:t>
      </w:r>
      <w:r>
        <w:rPr>
          <w:rFonts w:hint="eastAsia" w:ascii="Times New Roman" w:hAnsi="Times New Roman" w:eastAsia="方正仿宋_GBK" w:cs="宋体"/>
          <w:szCs w:val="21"/>
          <w:highlight w:val="none"/>
        </w:rPr>
        <w:t>施工区域在停机坪上，</w:t>
      </w:r>
      <w:r>
        <w:rPr>
          <w:rFonts w:hint="eastAsia" w:ascii="Times New Roman" w:hAnsi="Times New Roman" w:eastAsia="方正仿宋_GBK" w:cs="宋体"/>
          <w:szCs w:val="21"/>
          <w:highlight w:val="none"/>
          <w:lang w:val="en-US" w:eastAsia="zh-CN"/>
        </w:rPr>
        <w:t>乙方</w:t>
      </w:r>
      <w:r>
        <w:rPr>
          <w:rFonts w:hint="eastAsia" w:ascii="Times New Roman" w:hAnsi="Times New Roman" w:eastAsia="方正仿宋_GBK" w:cs="宋体"/>
          <w:szCs w:val="21"/>
          <w:highlight w:val="none"/>
        </w:rPr>
        <w:t>施工人员的反光服等安全防护用品必须穿戴整齐。</w:t>
      </w:r>
    </w:p>
    <w:p w14:paraId="7133F2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Times New Roman" w:hAnsi="Times New Roman" w:eastAsia="方正仿宋_GBK" w:cs="宋体"/>
          <w:szCs w:val="21"/>
          <w:highlight w:val="none"/>
        </w:rPr>
      </w:pPr>
      <w:r>
        <w:rPr>
          <w:rFonts w:hint="eastAsia" w:ascii="Times New Roman" w:hAnsi="Times New Roman" w:eastAsia="方正仿宋_GBK" w:cs="宋体"/>
          <w:szCs w:val="21"/>
          <w:highlight w:val="none"/>
          <w:lang w:val="en-US" w:eastAsia="zh-CN"/>
        </w:rPr>
        <w:t>6、</w:t>
      </w:r>
      <w:r>
        <w:rPr>
          <w:rFonts w:hint="eastAsia" w:ascii="Times New Roman" w:hAnsi="Times New Roman" w:eastAsia="方正仿宋_GBK" w:cs="宋体"/>
          <w:szCs w:val="21"/>
          <w:highlight w:val="none"/>
        </w:rPr>
        <w:t>在配电间施工时产生的废弃物，由</w:t>
      </w:r>
      <w:r>
        <w:rPr>
          <w:rFonts w:hint="eastAsia" w:ascii="Times New Roman" w:hAnsi="Times New Roman" w:eastAsia="方正仿宋_GBK" w:cs="宋体"/>
          <w:szCs w:val="21"/>
          <w:highlight w:val="none"/>
          <w:lang w:val="en-US" w:eastAsia="zh-CN"/>
        </w:rPr>
        <w:t>乙方</w:t>
      </w:r>
      <w:r>
        <w:rPr>
          <w:rFonts w:hint="eastAsia" w:ascii="Times New Roman" w:hAnsi="Times New Roman" w:eastAsia="方正仿宋_GBK" w:cs="宋体"/>
          <w:szCs w:val="21"/>
          <w:highlight w:val="none"/>
        </w:rPr>
        <w:t>组织人员和车辆及时清理、打扫、保证现场环境清洁。</w:t>
      </w:r>
    </w:p>
    <w:p w14:paraId="644516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Times New Roman" w:hAnsi="Times New Roman" w:eastAsia="方正仿宋_GBK" w:cs="宋体"/>
          <w:szCs w:val="21"/>
          <w:highlight w:val="none"/>
        </w:rPr>
      </w:pPr>
      <w:r>
        <w:rPr>
          <w:rFonts w:hint="eastAsia" w:ascii="Times New Roman" w:hAnsi="Times New Roman" w:eastAsia="方正仿宋_GBK" w:cs="宋体"/>
          <w:szCs w:val="21"/>
          <w:highlight w:val="none"/>
          <w:lang w:val="en-US" w:eastAsia="zh-CN"/>
        </w:rPr>
        <w:t>7、</w:t>
      </w:r>
      <w:r>
        <w:rPr>
          <w:rFonts w:hint="eastAsia" w:ascii="Times New Roman" w:hAnsi="Times New Roman" w:eastAsia="方正仿宋_GBK" w:cs="宋体"/>
          <w:szCs w:val="21"/>
          <w:highlight w:val="none"/>
        </w:rPr>
        <w:t>各项电气施工安装严格遵守国家《建筑电气</w:t>
      </w:r>
      <w:r>
        <w:rPr>
          <w:rFonts w:hint="eastAsia" w:ascii="Times New Roman" w:hAnsi="Times New Roman" w:eastAsia="方正仿宋_GBK" w:cs="宋体"/>
          <w:szCs w:val="21"/>
          <w:highlight w:val="none"/>
          <w:lang w:val="en-US" w:eastAsia="zh-CN"/>
        </w:rPr>
        <w:t>工程施工质量验收</w:t>
      </w:r>
      <w:r>
        <w:rPr>
          <w:rFonts w:hint="eastAsia" w:ascii="Times New Roman" w:hAnsi="Times New Roman" w:eastAsia="方正仿宋_GBK" w:cs="宋体"/>
          <w:szCs w:val="21"/>
          <w:highlight w:val="none"/>
        </w:rPr>
        <w:t>规范》要求、作业必须严格执行有关法规、标准、规范和各项安全管理规定，并服从</w:t>
      </w:r>
      <w:r>
        <w:rPr>
          <w:rFonts w:hint="eastAsia" w:ascii="Times New Roman" w:hAnsi="Times New Roman" w:eastAsia="方正仿宋_GBK" w:cs="宋体"/>
          <w:szCs w:val="21"/>
          <w:highlight w:val="none"/>
          <w:lang w:val="en-US" w:eastAsia="zh-CN"/>
        </w:rPr>
        <w:t>甲方</w:t>
      </w:r>
      <w:r>
        <w:rPr>
          <w:rFonts w:hint="eastAsia" w:ascii="Times New Roman" w:hAnsi="Times New Roman" w:eastAsia="方正仿宋_GBK" w:cs="宋体"/>
          <w:szCs w:val="21"/>
          <w:highlight w:val="none"/>
        </w:rPr>
        <w:t>的现场管理。因</w:t>
      </w:r>
      <w:r>
        <w:rPr>
          <w:rFonts w:hint="eastAsia" w:ascii="Times New Roman" w:hAnsi="Times New Roman" w:eastAsia="方正仿宋_GBK" w:cs="宋体"/>
          <w:szCs w:val="21"/>
          <w:highlight w:val="none"/>
          <w:lang w:val="en-US" w:eastAsia="zh-CN"/>
        </w:rPr>
        <w:t>乙方</w:t>
      </w:r>
      <w:r>
        <w:rPr>
          <w:rFonts w:hint="eastAsia" w:ascii="Times New Roman" w:hAnsi="Times New Roman" w:eastAsia="方正仿宋_GBK" w:cs="宋体"/>
          <w:szCs w:val="21"/>
          <w:highlight w:val="none"/>
        </w:rPr>
        <w:t>造成的任何损失由</w:t>
      </w:r>
      <w:r>
        <w:rPr>
          <w:rFonts w:hint="eastAsia" w:ascii="Times New Roman" w:hAnsi="Times New Roman" w:eastAsia="方正仿宋_GBK" w:cs="宋体"/>
          <w:szCs w:val="21"/>
          <w:highlight w:val="none"/>
          <w:lang w:val="en-US" w:eastAsia="zh-CN"/>
        </w:rPr>
        <w:t>乙方</w:t>
      </w:r>
      <w:r>
        <w:rPr>
          <w:rFonts w:hint="eastAsia" w:ascii="Times New Roman" w:hAnsi="Times New Roman" w:eastAsia="方正仿宋_GBK" w:cs="宋体"/>
          <w:szCs w:val="21"/>
          <w:highlight w:val="none"/>
        </w:rPr>
        <w:t>负责全额赔偿。</w:t>
      </w:r>
    </w:p>
    <w:p w14:paraId="48A69115">
      <w:pPr>
        <w:spacing w:line="360" w:lineRule="auto"/>
        <w:ind w:firstLine="420" w:firstLineChars="200"/>
        <w:outlineLvl w:val="0"/>
        <w:rPr>
          <w:rFonts w:ascii="Times New Roman" w:hAnsi="Times New Roman" w:eastAsia="方正仿宋_GBK" w:cs="仿宋"/>
          <w:b/>
          <w:bCs/>
          <w:szCs w:val="21"/>
          <w:highlight w:val="none"/>
        </w:rPr>
      </w:pPr>
      <w:r>
        <w:rPr>
          <w:rFonts w:hint="eastAsia" w:ascii="Times New Roman" w:hAnsi="Times New Roman" w:eastAsia="方正仿宋_GBK" w:cs="仿宋"/>
          <w:b/>
          <w:bCs/>
          <w:szCs w:val="21"/>
          <w:highlight w:val="none"/>
          <w:lang w:val="en-US" w:eastAsia="zh-CN"/>
        </w:rPr>
        <w:t>三</w:t>
      </w:r>
      <w:r>
        <w:rPr>
          <w:rFonts w:hint="eastAsia" w:ascii="Times New Roman" w:hAnsi="Times New Roman" w:eastAsia="方正仿宋_GBK" w:cs="仿宋"/>
          <w:b/>
          <w:bCs/>
          <w:szCs w:val="21"/>
          <w:highlight w:val="none"/>
        </w:rPr>
        <w:t>、工期及质保</w:t>
      </w:r>
    </w:p>
    <w:p w14:paraId="4FDD761B">
      <w:pPr>
        <w:spacing w:line="360" w:lineRule="auto"/>
        <w:ind w:firstLine="420" w:firstLineChars="200"/>
        <w:rPr>
          <w:rFonts w:hint="eastAsia" w:ascii="Times New Roman" w:hAnsi="Times New Roman" w:eastAsia="方正仿宋_GBK" w:cs="仿宋"/>
          <w:szCs w:val="21"/>
          <w:highlight w:val="none"/>
          <w:lang w:eastAsia="zh-CN"/>
        </w:rPr>
      </w:pPr>
      <w:r>
        <w:rPr>
          <w:rFonts w:hint="default" w:ascii="Times New Roman" w:hAnsi="Times New Roman" w:eastAsia="方正仿宋_GBK" w:cs="仿宋"/>
          <w:szCs w:val="21"/>
          <w:highlight w:val="none"/>
        </w:rPr>
        <w:t>1.</w:t>
      </w:r>
      <w:r>
        <w:rPr>
          <w:rFonts w:hint="eastAsia" w:ascii="Times New Roman" w:hAnsi="Times New Roman" w:eastAsia="方正仿宋_GBK" w:cs="仿宋"/>
          <w:szCs w:val="21"/>
          <w:highlight w:val="none"/>
        </w:rPr>
        <w:t>本项目工期为：按</w:t>
      </w:r>
      <w:r>
        <w:rPr>
          <w:rFonts w:hint="eastAsia" w:ascii="Times New Roman" w:hAnsi="Times New Roman" w:eastAsia="方正仿宋_GBK" w:cs="仿宋"/>
          <w:szCs w:val="21"/>
          <w:highlight w:val="none"/>
          <w:lang w:val="en-US" w:eastAsia="zh-CN"/>
        </w:rPr>
        <w:t>甲方</w:t>
      </w:r>
      <w:r>
        <w:rPr>
          <w:rFonts w:hint="eastAsia" w:ascii="Times New Roman" w:hAnsi="Times New Roman" w:eastAsia="方正仿宋_GBK" w:cs="仿宋"/>
          <w:szCs w:val="21"/>
          <w:highlight w:val="none"/>
        </w:rPr>
        <w:t>要求 (自</w:t>
      </w:r>
      <w:r>
        <w:rPr>
          <w:rFonts w:hint="eastAsia" w:ascii="Times New Roman" w:hAnsi="Times New Roman" w:eastAsia="方正仿宋_GBK" w:cs="仿宋"/>
          <w:szCs w:val="21"/>
          <w:highlight w:val="none"/>
          <w:lang w:val="en-US" w:eastAsia="zh-CN"/>
        </w:rPr>
        <w:t>甲方</w:t>
      </w:r>
      <w:r>
        <w:rPr>
          <w:rFonts w:hint="eastAsia" w:ascii="Times New Roman" w:hAnsi="Times New Roman" w:eastAsia="方正仿宋_GBK" w:cs="仿宋"/>
          <w:szCs w:val="21"/>
          <w:highlight w:val="none"/>
        </w:rPr>
        <w:t>批准日起</w:t>
      </w:r>
      <w:r>
        <w:rPr>
          <w:rFonts w:hint="eastAsia" w:ascii="Times New Roman" w:hAnsi="Times New Roman" w:eastAsia="方正仿宋_GBK" w:cs="仿宋"/>
          <w:szCs w:val="21"/>
          <w:highlight w:val="none"/>
          <w:lang w:val="en-US" w:eastAsia="zh-CN"/>
        </w:rPr>
        <w:t>300</w:t>
      </w:r>
      <w:r>
        <w:rPr>
          <w:rFonts w:hint="eastAsia" w:ascii="Times New Roman" w:hAnsi="Times New Roman" w:eastAsia="方正仿宋_GBK" w:cs="仿宋"/>
          <w:szCs w:val="21"/>
          <w:highlight w:val="none"/>
        </w:rPr>
        <w:t>个</w:t>
      </w:r>
      <w:r>
        <w:rPr>
          <w:rFonts w:hint="eastAsia" w:ascii="Times New Roman" w:hAnsi="Times New Roman" w:eastAsia="方正仿宋_GBK" w:cs="仿宋"/>
          <w:szCs w:val="21"/>
          <w:highlight w:val="none"/>
          <w:lang w:val="en-US" w:eastAsia="zh-CN"/>
        </w:rPr>
        <w:t>日历日</w:t>
      </w:r>
      <w:r>
        <w:rPr>
          <w:rFonts w:hint="eastAsia" w:ascii="Times New Roman" w:hAnsi="Times New Roman" w:eastAsia="方正仿宋_GBK" w:cs="仿宋"/>
          <w:szCs w:val="21"/>
          <w:highlight w:val="none"/>
        </w:rPr>
        <w:t>)完成</w:t>
      </w:r>
      <w:r>
        <w:rPr>
          <w:rFonts w:hint="eastAsia" w:ascii="Times New Roman" w:hAnsi="Times New Roman" w:eastAsia="方正仿宋_GBK" w:cs="仿宋"/>
          <w:szCs w:val="21"/>
          <w:highlight w:val="none"/>
          <w:lang w:eastAsia="zh-CN"/>
        </w:rPr>
        <w:t>。</w:t>
      </w:r>
    </w:p>
    <w:p w14:paraId="6868A7F9">
      <w:pPr>
        <w:pStyle w:val="2"/>
        <w:rPr>
          <w:rFonts w:hint="default"/>
          <w:lang w:val="en-US"/>
        </w:rPr>
      </w:pPr>
      <w:r>
        <w:rPr>
          <w:rFonts w:hint="eastAsia" w:ascii="Times New Roman" w:hAnsi="Times New Roman" w:eastAsia="方正仿宋_GBK" w:cs="仿宋"/>
          <w:szCs w:val="21"/>
          <w:highlight w:val="none"/>
          <w:lang w:val="en-US" w:eastAsia="zh-CN"/>
        </w:rPr>
        <w:t xml:space="preserve">    2.乙方提供的配件从更换使用之日起一年质保。</w:t>
      </w:r>
    </w:p>
    <w:p w14:paraId="5D56CFF9">
      <w:pPr>
        <w:spacing w:line="360" w:lineRule="auto"/>
        <w:rPr>
          <w:highlight w:val="none"/>
        </w:rPr>
      </w:pPr>
    </w:p>
    <w:p w14:paraId="4148E176">
      <w:pPr>
        <w:spacing w:line="360" w:lineRule="auto"/>
        <w:rPr>
          <w:rFonts w:hint="eastAsia" w:ascii="宋体" w:hAnsi="Courier New" w:eastAsia="宋体" w:cs="Times New Roman"/>
          <w:kern w:val="2"/>
          <w:sz w:val="21"/>
          <w:szCs w:val="21"/>
          <w:highlight w:val="none"/>
          <w:lang w:val="en-US" w:eastAsia="zh-CN" w:bidi="ar-SA"/>
        </w:rPr>
      </w:pPr>
      <w:r>
        <w:rPr>
          <w:rFonts w:hint="eastAsia"/>
          <w:highlight w:val="none"/>
          <w:lang w:val="en-US" w:eastAsia="zh-CN"/>
        </w:rPr>
        <w:br w:type="page"/>
      </w:r>
      <w:r>
        <w:rPr>
          <w:rFonts w:hint="eastAsia" w:ascii="宋体" w:hAnsi="Courier New" w:eastAsia="宋体" w:cs="Times New Roman"/>
          <w:b/>
          <w:bCs/>
          <w:kern w:val="2"/>
          <w:sz w:val="21"/>
          <w:szCs w:val="21"/>
          <w:highlight w:val="none"/>
          <w:lang w:val="en-US" w:eastAsia="zh-CN" w:bidi="ar-SA"/>
        </w:rPr>
        <w:t xml:space="preserve">合同附件3 </w:t>
      </w:r>
    </w:p>
    <w:p w14:paraId="31D2E7A0">
      <w:pPr>
        <w:widowControl/>
        <w:jc w:val="center"/>
        <w:rPr>
          <w:rFonts w:ascii="宋体" w:hAnsi="宋体" w:eastAsia="宋体"/>
          <w:bCs/>
          <w:sz w:val="44"/>
          <w:szCs w:val="44"/>
        </w:rPr>
      </w:pPr>
      <w:r>
        <w:rPr>
          <w:rFonts w:ascii="宋体" w:hAnsi="宋体" w:eastAsia="宋体"/>
          <w:bCs/>
          <w:sz w:val="44"/>
          <w:szCs w:val="44"/>
        </w:rPr>
        <w:t>安全协议</w:t>
      </w:r>
    </w:p>
    <w:p w14:paraId="7EB93D32">
      <w:pPr>
        <w:widowControl/>
        <w:jc w:val="left"/>
        <w:rPr>
          <w:rFonts w:ascii="宋体" w:hAnsi="宋体" w:eastAsia="宋体"/>
          <w:sz w:val="24"/>
          <w:szCs w:val="21"/>
        </w:rPr>
      </w:pPr>
    </w:p>
    <w:p w14:paraId="75D19065">
      <w:pPr>
        <w:widowControl/>
        <w:jc w:val="left"/>
        <w:rPr>
          <w:rFonts w:hint="eastAsia" w:ascii="宋体" w:hAnsi="宋体" w:eastAsia="宋体"/>
          <w:sz w:val="21"/>
          <w:szCs w:val="21"/>
          <w:lang w:eastAsia="zh-CN"/>
        </w:rPr>
      </w:pPr>
      <w:r>
        <w:rPr>
          <w:rFonts w:hint="eastAsia" w:ascii="宋体" w:hAnsi="宋体" w:eastAsia="宋体"/>
          <w:sz w:val="21"/>
          <w:szCs w:val="21"/>
          <w:lang w:eastAsia="zh-CN"/>
        </w:rPr>
        <w:t>总</w:t>
      </w:r>
      <w:r>
        <w:rPr>
          <w:rFonts w:ascii="宋体" w:hAnsi="宋体" w:eastAsia="宋体"/>
          <w:sz w:val="21"/>
          <w:szCs w:val="21"/>
        </w:rPr>
        <w:t>包</w:t>
      </w:r>
      <w:r>
        <w:rPr>
          <w:rFonts w:hint="eastAsia" w:ascii="宋体" w:hAnsi="宋体" w:eastAsia="宋体"/>
          <w:sz w:val="21"/>
          <w:szCs w:val="21"/>
          <w:lang w:eastAsia="zh-CN"/>
        </w:rPr>
        <w:t>单位</w:t>
      </w:r>
      <w:r>
        <w:rPr>
          <w:rFonts w:ascii="宋体" w:hAnsi="宋体" w:eastAsia="宋体"/>
          <w:sz w:val="21"/>
          <w:szCs w:val="21"/>
        </w:rPr>
        <w:t>（甲方）：</w:t>
      </w:r>
      <w:r>
        <w:rPr>
          <w:rFonts w:hint="eastAsia" w:ascii="宋体" w:hAnsi="宋体" w:eastAsia="宋体"/>
          <w:sz w:val="21"/>
          <w:szCs w:val="21"/>
          <w:u w:val="single"/>
        </w:rPr>
        <w:t>南京禄口国际机场空港科技有限公司</w:t>
      </w:r>
    </w:p>
    <w:p w14:paraId="2D7102D9">
      <w:pPr>
        <w:widowControl/>
        <w:jc w:val="left"/>
        <w:rPr>
          <w:rFonts w:ascii="宋体" w:hAnsi="宋体" w:eastAsia="宋体"/>
          <w:sz w:val="21"/>
          <w:szCs w:val="21"/>
        </w:rPr>
      </w:pPr>
      <w:r>
        <w:rPr>
          <w:rFonts w:hint="eastAsia" w:ascii="宋体" w:hAnsi="宋体" w:eastAsia="宋体"/>
          <w:sz w:val="21"/>
          <w:szCs w:val="21"/>
          <w:lang w:eastAsia="zh-CN"/>
        </w:rPr>
        <w:t>分</w:t>
      </w:r>
      <w:r>
        <w:rPr>
          <w:rFonts w:hint="eastAsia" w:ascii="宋体" w:hAnsi="宋体" w:eastAsia="宋体"/>
          <w:sz w:val="21"/>
          <w:szCs w:val="21"/>
          <w:lang w:val="en-US" w:eastAsia="zh-CN"/>
        </w:rPr>
        <w:t xml:space="preserve"> </w:t>
      </w:r>
      <w:r>
        <w:rPr>
          <w:rFonts w:ascii="宋体" w:hAnsi="宋体" w:eastAsia="宋体"/>
          <w:sz w:val="21"/>
          <w:szCs w:val="21"/>
        </w:rPr>
        <w:t>包</w:t>
      </w:r>
      <w:r>
        <w:rPr>
          <w:rFonts w:hint="eastAsia" w:ascii="宋体" w:hAnsi="宋体" w:eastAsia="宋体"/>
          <w:sz w:val="21"/>
          <w:szCs w:val="21"/>
          <w:lang w:val="en-US" w:eastAsia="zh-CN"/>
        </w:rPr>
        <w:t xml:space="preserve"> </w:t>
      </w:r>
      <w:r>
        <w:rPr>
          <w:rFonts w:ascii="宋体" w:hAnsi="宋体" w:eastAsia="宋体"/>
          <w:sz w:val="21"/>
          <w:szCs w:val="21"/>
        </w:rPr>
        <w:t>人（乙方）：</w:t>
      </w:r>
    </w:p>
    <w:p w14:paraId="6E628650">
      <w:pPr>
        <w:widowControl/>
        <w:ind w:firstLine="420" w:firstLineChars="200"/>
        <w:jc w:val="left"/>
        <w:rPr>
          <w:rFonts w:ascii="宋体" w:hAnsi="宋体" w:eastAsia="宋体"/>
          <w:sz w:val="21"/>
          <w:szCs w:val="21"/>
        </w:rPr>
      </w:pPr>
      <w:r>
        <w:rPr>
          <w:rFonts w:ascii="宋体" w:hAnsi="宋体" w:eastAsia="宋体"/>
          <w:sz w:val="21"/>
          <w:szCs w:val="21"/>
        </w:rPr>
        <w:t>为了贯彻落实“安全第一、预防为主”的安全工作方针，创造安全</w:t>
      </w:r>
      <w:r>
        <w:rPr>
          <w:rFonts w:ascii="宋体" w:hAnsi="宋体" w:eastAsia="宋体"/>
          <w:spacing w:val="-30"/>
          <w:sz w:val="21"/>
          <w:szCs w:val="21"/>
        </w:rPr>
        <w:t>、</w:t>
      </w:r>
      <w:r>
        <w:rPr>
          <w:rFonts w:ascii="宋体" w:hAnsi="宋体" w:eastAsia="宋体"/>
          <w:sz w:val="21"/>
          <w:szCs w:val="21"/>
        </w:rPr>
        <w:t>高效的施工环境,严格执行国家和地方有关安全生产、劳动保护的法律法规和</w:t>
      </w:r>
      <w:r>
        <w:rPr>
          <w:rFonts w:hint="eastAsia" w:ascii="宋体" w:hAnsi="宋体" w:eastAsia="宋体"/>
          <w:sz w:val="21"/>
          <w:szCs w:val="21"/>
          <w:lang w:eastAsia="zh-CN"/>
        </w:rPr>
        <w:t>东部机场集团有限公司</w:t>
      </w:r>
      <w:r>
        <w:rPr>
          <w:rFonts w:ascii="宋体" w:hAnsi="宋体" w:eastAsia="宋体"/>
          <w:sz w:val="21"/>
          <w:szCs w:val="21"/>
        </w:rPr>
        <w:t>各项安全生产管理制度，强化安全生产管理，落实安全生产责任制，规范作业安全管理，保障安全生产和作业单位切身利益，经双方协商一致，特签订本协议。</w:t>
      </w:r>
    </w:p>
    <w:p w14:paraId="17B2406D">
      <w:pPr>
        <w:widowControl/>
        <w:jc w:val="left"/>
        <w:rPr>
          <w:rFonts w:ascii="宋体" w:hAnsi="宋体" w:eastAsia="宋体"/>
          <w:b/>
          <w:sz w:val="21"/>
          <w:szCs w:val="21"/>
        </w:rPr>
      </w:pPr>
      <w:r>
        <w:rPr>
          <w:rFonts w:ascii="宋体" w:hAnsi="宋体" w:eastAsia="宋体"/>
          <w:b/>
          <w:sz w:val="21"/>
          <w:szCs w:val="21"/>
        </w:rPr>
        <w:t>一、作业（施工、经营）项目</w:t>
      </w:r>
    </w:p>
    <w:p w14:paraId="652CAF40">
      <w:pPr>
        <w:widowControl/>
        <w:jc w:val="left"/>
        <w:textAlignment w:val="center"/>
        <w:rPr>
          <w:rFonts w:hint="eastAsia" w:ascii="宋体" w:hAnsi="宋体" w:eastAsia="宋体"/>
          <w:sz w:val="21"/>
          <w:szCs w:val="21"/>
          <w:lang w:eastAsia="zh-CN"/>
        </w:rPr>
      </w:pPr>
      <w:r>
        <w:rPr>
          <w:rFonts w:ascii="宋体" w:hAnsi="宋体" w:eastAsia="宋体"/>
          <w:sz w:val="21"/>
          <w:szCs w:val="21"/>
        </w:rPr>
        <w:t>项目名称：</w:t>
      </w:r>
      <w:r>
        <w:rPr>
          <w:rFonts w:hint="eastAsia" w:ascii="宋体" w:hAnsi="宋体" w:eastAsia="宋体"/>
          <w:sz w:val="21"/>
          <w:szCs w:val="21"/>
          <w:u w:val="single"/>
        </w:rPr>
        <w:t>南京机场1号航站楼低压成套配电柜委外保养项目</w:t>
      </w:r>
    </w:p>
    <w:p w14:paraId="7E1CD00C">
      <w:pPr>
        <w:widowControl/>
        <w:jc w:val="left"/>
        <w:textAlignment w:val="center"/>
        <w:rPr>
          <w:rFonts w:hint="default" w:ascii="宋体" w:hAnsi="宋体" w:eastAsia="宋体"/>
          <w:sz w:val="21"/>
          <w:szCs w:val="21"/>
          <w:u w:val="single"/>
          <w:lang w:val="en-US" w:eastAsia="zh-CN"/>
        </w:rPr>
      </w:pPr>
      <w:r>
        <w:rPr>
          <w:rFonts w:ascii="宋体" w:hAnsi="宋体" w:eastAsia="宋体"/>
          <w:sz w:val="21"/>
          <w:szCs w:val="21"/>
        </w:rPr>
        <w:t>项目负责人：</w:t>
      </w:r>
      <w:r>
        <w:rPr>
          <w:rFonts w:hint="eastAsia" w:ascii="宋体" w:hAnsi="宋体" w:eastAsia="宋体"/>
          <w:sz w:val="21"/>
          <w:szCs w:val="21"/>
          <w:lang w:val="en-US" w:eastAsia="zh-CN"/>
        </w:rPr>
        <w:t>xxx</w:t>
      </w:r>
    </w:p>
    <w:p w14:paraId="41A0CAA0">
      <w:pPr>
        <w:tabs>
          <w:tab w:val="left" w:pos="480"/>
        </w:tabs>
        <w:jc w:val="left"/>
        <w:rPr>
          <w:rFonts w:ascii="宋体" w:hAnsi="宋体" w:eastAsia="宋体"/>
          <w:sz w:val="21"/>
          <w:szCs w:val="21"/>
          <w:u w:val="single"/>
        </w:rPr>
      </w:pPr>
      <w:r>
        <w:rPr>
          <w:rFonts w:ascii="宋体" w:hAnsi="宋体" w:eastAsia="宋体"/>
          <w:sz w:val="21"/>
          <w:szCs w:val="21"/>
        </w:rPr>
        <w:t>项目部地点：</w:t>
      </w:r>
      <w:r>
        <w:rPr>
          <w:rFonts w:hint="eastAsia" w:ascii="宋体" w:hAnsi="宋体" w:eastAsia="宋体"/>
          <w:sz w:val="21"/>
          <w:szCs w:val="21"/>
          <w:u w:val="single"/>
        </w:rPr>
        <w:t>南京禄口国际机场内</w:t>
      </w:r>
    </w:p>
    <w:p w14:paraId="5D30643A">
      <w:pPr>
        <w:jc w:val="left"/>
        <w:rPr>
          <w:rFonts w:ascii="宋体" w:hAnsi="宋体" w:eastAsia="宋体"/>
          <w:sz w:val="21"/>
          <w:szCs w:val="21"/>
          <w:u w:val="single"/>
        </w:rPr>
      </w:pPr>
      <w:r>
        <w:rPr>
          <w:rFonts w:ascii="宋体" w:hAnsi="宋体" w:eastAsia="宋体"/>
          <w:sz w:val="21"/>
          <w:szCs w:val="21"/>
        </w:rPr>
        <w:t>作业内容：</w:t>
      </w:r>
      <w:r>
        <w:rPr>
          <w:rFonts w:hint="eastAsia" w:ascii="宋体" w:hAnsi="宋体" w:eastAsia="宋体"/>
          <w:sz w:val="21"/>
          <w:szCs w:val="21"/>
          <w:u w:val="single"/>
        </w:rPr>
        <w:t>参考《南京机场1号航站楼低压成套配电柜委外保养项目合同》中“</w:t>
      </w:r>
      <w:r>
        <w:rPr>
          <w:rFonts w:hint="eastAsia" w:ascii="宋体" w:hAnsi="宋体" w:eastAsia="宋体"/>
          <w:sz w:val="21"/>
          <w:szCs w:val="21"/>
          <w:u w:val="single"/>
          <w:lang w:eastAsia="zh-CN"/>
        </w:rPr>
        <w:t>四、项目内容及要求</w:t>
      </w:r>
      <w:r>
        <w:rPr>
          <w:rFonts w:hint="eastAsia" w:ascii="宋体" w:hAnsi="宋体" w:eastAsia="宋体"/>
          <w:sz w:val="21"/>
          <w:szCs w:val="21"/>
          <w:u w:val="single"/>
        </w:rPr>
        <w:t>”中的内容</w:t>
      </w:r>
    </w:p>
    <w:p w14:paraId="494339E3">
      <w:pPr>
        <w:tabs>
          <w:tab w:val="left" w:pos="480"/>
        </w:tabs>
        <w:jc w:val="left"/>
        <w:rPr>
          <w:rFonts w:ascii="宋体" w:hAnsi="宋体" w:eastAsia="宋体"/>
          <w:sz w:val="21"/>
          <w:szCs w:val="21"/>
          <w:u w:val="single"/>
        </w:rPr>
      </w:pPr>
      <w:r>
        <w:rPr>
          <w:rFonts w:ascii="宋体" w:hAnsi="宋体" w:eastAsia="宋体"/>
          <w:sz w:val="21"/>
          <w:szCs w:val="21"/>
        </w:rPr>
        <w:t>作业范围：</w:t>
      </w:r>
      <w:r>
        <w:rPr>
          <w:rFonts w:hint="eastAsia" w:ascii="宋体" w:hAnsi="宋体" w:eastAsia="宋体"/>
          <w:sz w:val="21"/>
          <w:szCs w:val="21"/>
          <w:u w:val="single"/>
        </w:rPr>
        <w:t>参考《南京机场1号航站楼低压成套配电柜委外保养项目合同》中“</w:t>
      </w:r>
      <w:r>
        <w:rPr>
          <w:rFonts w:hint="eastAsia" w:ascii="宋体" w:hAnsi="宋体" w:eastAsia="宋体"/>
          <w:sz w:val="21"/>
          <w:szCs w:val="21"/>
          <w:u w:val="single"/>
          <w:lang w:eastAsia="zh-CN"/>
        </w:rPr>
        <w:t>四、项目内容及要求</w:t>
      </w:r>
      <w:r>
        <w:rPr>
          <w:rFonts w:hint="eastAsia" w:ascii="宋体" w:hAnsi="宋体" w:eastAsia="宋体"/>
          <w:sz w:val="21"/>
          <w:szCs w:val="21"/>
          <w:u w:val="single"/>
        </w:rPr>
        <w:t>”中的内容</w:t>
      </w:r>
    </w:p>
    <w:p w14:paraId="3E7DABAB">
      <w:pPr>
        <w:tabs>
          <w:tab w:val="left" w:pos="480"/>
        </w:tabs>
        <w:jc w:val="left"/>
        <w:rPr>
          <w:rFonts w:ascii="宋体" w:hAnsi="宋体" w:eastAsia="宋体"/>
          <w:sz w:val="21"/>
          <w:szCs w:val="21"/>
        </w:rPr>
      </w:pPr>
      <w:r>
        <w:rPr>
          <w:rFonts w:ascii="宋体" w:hAnsi="宋体" w:eastAsia="宋体"/>
          <w:sz w:val="21"/>
          <w:szCs w:val="21"/>
        </w:rPr>
        <w:t>作业期限：</w:t>
      </w:r>
      <w:r>
        <w:rPr>
          <w:rFonts w:hint="eastAsia" w:ascii="宋体" w:hAnsi="宋体" w:eastAsia="宋体"/>
          <w:sz w:val="21"/>
          <w:szCs w:val="21"/>
          <w:u w:val="single"/>
        </w:rPr>
        <w:t>参考《南京机场1号航站楼低压成套配电柜委外保养项目合同》中“</w:t>
      </w:r>
      <w:r>
        <w:rPr>
          <w:rFonts w:hint="eastAsia" w:ascii="宋体" w:hAnsi="宋体" w:eastAsia="宋体"/>
          <w:sz w:val="21"/>
          <w:szCs w:val="21"/>
          <w:u w:val="single"/>
          <w:lang w:eastAsia="zh-CN"/>
        </w:rPr>
        <w:t>二、项目金额及维保期限</w:t>
      </w:r>
      <w:r>
        <w:rPr>
          <w:rFonts w:hint="eastAsia" w:ascii="宋体" w:hAnsi="宋体" w:eastAsia="宋体"/>
          <w:sz w:val="21"/>
          <w:szCs w:val="21"/>
          <w:u w:val="single"/>
        </w:rPr>
        <w:t>”中的内容</w:t>
      </w:r>
    </w:p>
    <w:p w14:paraId="0C2A545E">
      <w:pPr>
        <w:widowControl/>
        <w:jc w:val="left"/>
        <w:rPr>
          <w:rFonts w:ascii="宋体" w:hAnsi="宋体" w:eastAsia="宋体"/>
          <w:b/>
          <w:sz w:val="21"/>
          <w:szCs w:val="21"/>
        </w:rPr>
      </w:pPr>
      <w:r>
        <w:rPr>
          <w:rFonts w:ascii="宋体" w:hAnsi="宋体" w:eastAsia="宋体"/>
          <w:b/>
          <w:sz w:val="21"/>
          <w:szCs w:val="21"/>
        </w:rPr>
        <w:t>二、安全目标</w:t>
      </w:r>
    </w:p>
    <w:p w14:paraId="26C45197">
      <w:pPr>
        <w:widowControl/>
        <w:jc w:val="left"/>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w:t>
      </w:r>
      <w:r>
        <w:rPr>
          <w:rFonts w:ascii="宋体" w:hAnsi="宋体" w:eastAsia="宋体"/>
          <w:sz w:val="21"/>
          <w:szCs w:val="21"/>
        </w:rPr>
        <w:t>杜绝发生各类安全事故；</w:t>
      </w:r>
    </w:p>
    <w:p w14:paraId="1FAB75B5">
      <w:pPr>
        <w:widowControl/>
        <w:jc w:val="left"/>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w:t>
      </w:r>
      <w:r>
        <w:rPr>
          <w:rFonts w:ascii="宋体" w:hAnsi="宋体" w:eastAsia="宋体"/>
          <w:sz w:val="21"/>
          <w:szCs w:val="21"/>
        </w:rPr>
        <w:t>杜绝发生火灾事故；</w:t>
      </w:r>
    </w:p>
    <w:p w14:paraId="23D3723D">
      <w:pPr>
        <w:widowControl/>
        <w:jc w:val="left"/>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w:t>
      </w:r>
      <w:r>
        <w:rPr>
          <w:rFonts w:ascii="宋体" w:hAnsi="宋体" w:eastAsia="宋体"/>
          <w:sz w:val="21"/>
          <w:szCs w:val="21"/>
        </w:rPr>
        <w:t>杜绝发生治安事件；</w:t>
      </w:r>
    </w:p>
    <w:p w14:paraId="3CBF561B">
      <w:pPr>
        <w:widowControl/>
        <w:jc w:val="left"/>
        <w:rPr>
          <w:rFonts w:ascii="宋体" w:hAnsi="宋体" w:eastAsia="宋体"/>
          <w:sz w:val="21"/>
          <w:szCs w:val="21"/>
        </w:rPr>
      </w:pPr>
      <w:r>
        <w:rPr>
          <w:rFonts w:ascii="宋体" w:hAnsi="宋体" w:eastAsia="宋体"/>
          <w:sz w:val="21"/>
          <w:szCs w:val="21"/>
        </w:rPr>
        <w:t>4</w:t>
      </w:r>
      <w:r>
        <w:rPr>
          <w:rFonts w:hint="eastAsia" w:ascii="宋体" w:hAnsi="宋体" w:eastAsia="宋体"/>
          <w:sz w:val="21"/>
          <w:szCs w:val="21"/>
        </w:rPr>
        <w:t>．</w:t>
      </w:r>
      <w:r>
        <w:rPr>
          <w:rFonts w:ascii="宋体" w:hAnsi="宋体" w:eastAsia="宋体"/>
          <w:sz w:val="21"/>
          <w:szCs w:val="21"/>
        </w:rPr>
        <w:t>杜绝严重违章违纪行为。</w:t>
      </w:r>
    </w:p>
    <w:p w14:paraId="261B179F">
      <w:pPr>
        <w:widowControl/>
        <w:jc w:val="left"/>
        <w:rPr>
          <w:rFonts w:ascii="宋体" w:hAnsi="宋体" w:eastAsia="宋体"/>
          <w:b/>
          <w:bCs/>
          <w:sz w:val="21"/>
          <w:szCs w:val="21"/>
        </w:rPr>
      </w:pPr>
      <w:r>
        <w:rPr>
          <w:rFonts w:ascii="宋体" w:hAnsi="宋体" w:eastAsia="宋体"/>
          <w:b/>
          <w:bCs/>
          <w:sz w:val="21"/>
          <w:szCs w:val="21"/>
        </w:rPr>
        <w:t>三、甲方职责</w:t>
      </w:r>
    </w:p>
    <w:p w14:paraId="34429637">
      <w:pPr>
        <w:widowControl/>
        <w:jc w:val="left"/>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w:t>
      </w:r>
      <w:r>
        <w:rPr>
          <w:rFonts w:ascii="宋体" w:hAnsi="宋体" w:eastAsia="宋体"/>
          <w:sz w:val="21"/>
          <w:szCs w:val="21"/>
        </w:rPr>
        <w:t>严格遵守国家有关安全生产的法律法规，认真执行工程承包合同中的有关安全要求。</w:t>
      </w:r>
    </w:p>
    <w:p w14:paraId="32FD92E5">
      <w:pPr>
        <w:widowControl/>
        <w:jc w:val="left"/>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w:t>
      </w:r>
      <w:r>
        <w:rPr>
          <w:rFonts w:ascii="宋体" w:hAnsi="宋体" w:eastAsia="宋体"/>
          <w:sz w:val="21"/>
          <w:szCs w:val="21"/>
        </w:rPr>
        <w:t>按照“安全第一、预防为主”和坚持“管生产必须管安全”的原则进行安全生产管理。</w:t>
      </w:r>
    </w:p>
    <w:p w14:paraId="38D3C5BD">
      <w:pPr>
        <w:widowControl/>
        <w:jc w:val="left"/>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w:t>
      </w:r>
      <w:r>
        <w:rPr>
          <w:rFonts w:ascii="宋体" w:hAnsi="宋体" w:eastAsia="宋体"/>
          <w:sz w:val="21"/>
          <w:szCs w:val="21"/>
        </w:rPr>
        <w:t>定期召开安全生产会，及时传达政府、行业主管部门及机场有关安全生产的精神。</w:t>
      </w:r>
    </w:p>
    <w:p w14:paraId="31B2A314">
      <w:pPr>
        <w:widowControl/>
        <w:jc w:val="left"/>
        <w:rPr>
          <w:rFonts w:ascii="宋体" w:hAnsi="宋体" w:eastAsia="宋体"/>
          <w:sz w:val="21"/>
          <w:szCs w:val="21"/>
        </w:rPr>
      </w:pPr>
      <w:r>
        <w:rPr>
          <w:rFonts w:ascii="宋体" w:hAnsi="宋体" w:eastAsia="宋体"/>
          <w:sz w:val="21"/>
          <w:szCs w:val="21"/>
        </w:rPr>
        <w:t>4</w:t>
      </w:r>
      <w:r>
        <w:rPr>
          <w:rFonts w:hint="eastAsia" w:ascii="宋体" w:hAnsi="宋体" w:eastAsia="宋体"/>
          <w:sz w:val="21"/>
          <w:szCs w:val="21"/>
        </w:rPr>
        <w:t>．</w:t>
      </w:r>
      <w:r>
        <w:rPr>
          <w:rFonts w:ascii="宋体" w:hAnsi="宋体" w:eastAsia="宋体"/>
          <w:sz w:val="21"/>
          <w:szCs w:val="21"/>
        </w:rPr>
        <w:t>组织对乙方施工现场安全生产检查，监督乙方，及时处理发现的各种安全隐患。</w:t>
      </w:r>
    </w:p>
    <w:p w14:paraId="54749F51">
      <w:pPr>
        <w:widowControl/>
        <w:jc w:val="left"/>
        <w:rPr>
          <w:rFonts w:ascii="宋体" w:hAnsi="宋体" w:eastAsia="宋体"/>
          <w:b/>
          <w:bCs/>
          <w:sz w:val="21"/>
          <w:szCs w:val="21"/>
        </w:rPr>
      </w:pPr>
      <w:r>
        <w:rPr>
          <w:rFonts w:ascii="宋体" w:hAnsi="宋体" w:eastAsia="宋体"/>
          <w:b/>
          <w:bCs/>
          <w:sz w:val="21"/>
          <w:szCs w:val="21"/>
        </w:rPr>
        <w:t>四、乙方职责</w:t>
      </w:r>
    </w:p>
    <w:p w14:paraId="43662E80">
      <w:pPr>
        <w:widowControl/>
        <w:jc w:val="left"/>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w:t>
      </w:r>
      <w:r>
        <w:rPr>
          <w:rFonts w:ascii="宋体" w:hAnsi="宋体" w:eastAsia="宋体"/>
          <w:sz w:val="21"/>
          <w:szCs w:val="21"/>
        </w:rPr>
        <w:t>严格遵守国务院第393号令《建设工程安全生产管理条例》中有关安全生产的规定，认真执行工程承包合同中的有关安全要求。施工期间，严格按甲方的要求，依照《建筑施工安全检查标准》（JGJ 59-2011），明确安全责任，做好施工组织设计和施工安全技术交底，服从甲方相关部门的日常管理和检查。</w:t>
      </w:r>
    </w:p>
    <w:p w14:paraId="757BB4C5">
      <w:pPr>
        <w:widowControl/>
        <w:jc w:val="left"/>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w:t>
      </w:r>
      <w:r>
        <w:rPr>
          <w:rFonts w:ascii="宋体" w:hAnsi="宋体" w:eastAsia="宋体"/>
          <w:sz w:val="21"/>
          <w:szCs w:val="21"/>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和总结。</w:t>
      </w:r>
    </w:p>
    <w:p w14:paraId="7F91FC80">
      <w:pPr>
        <w:widowControl/>
        <w:jc w:val="left"/>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w:t>
      </w:r>
      <w:r>
        <w:rPr>
          <w:rFonts w:ascii="宋体" w:hAnsi="宋体" w:eastAsia="宋体"/>
          <w:sz w:val="21"/>
          <w:szCs w:val="21"/>
        </w:rPr>
        <w:t>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 1％～3％配备安全员，专职负责所有员工的安全和治安保卫工作及预防事故的发生。安全机构人员有权按有关规定发布指令，并采取保护性措施防止事故发生。</w:t>
      </w:r>
    </w:p>
    <w:p w14:paraId="5C629A23">
      <w:pPr>
        <w:widowControl/>
        <w:jc w:val="left"/>
        <w:rPr>
          <w:rFonts w:ascii="宋体" w:hAnsi="宋体" w:eastAsia="宋体"/>
          <w:sz w:val="21"/>
          <w:szCs w:val="21"/>
        </w:rPr>
      </w:pPr>
      <w:r>
        <w:rPr>
          <w:rFonts w:ascii="宋体" w:hAnsi="宋体" w:eastAsia="宋体"/>
          <w:sz w:val="21"/>
          <w:szCs w:val="21"/>
        </w:rPr>
        <w:t>4</w:t>
      </w:r>
      <w:r>
        <w:rPr>
          <w:rFonts w:hint="eastAsia" w:ascii="宋体" w:hAnsi="宋体" w:eastAsia="宋体"/>
          <w:sz w:val="21"/>
          <w:szCs w:val="21"/>
        </w:rPr>
        <w:t>．</w:t>
      </w:r>
      <w:r>
        <w:rPr>
          <w:rFonts w:ascii="宋体" w:hAnsi="宋体" w:eastAsia="宋体"/>
          <w:sz w:val="21"/>
          <w:szCs w:val="21"/>
        </w:rPr>
        <w:t>乙方在任何时候都应采取各种合理的预防措施，防止其员工发生任何违法、违禁、暴力或妨碍治安的行为。</w:t>
      </w:r>
    </w:p>
    <w:p w14:paraId="0BEDC2AE">
      <w:pPr>
        <w:widowControl/>
        <w:jc w:val="left"/>
        <w:rPr>
          <w:rFonts w:ascii="宋体" w:hAnsi="宋体" w:eastAsia="宋体"/>
          <w:sz w:val="21"/>
          <w:szCs w:val="21"/>
        </w:rPr>
      </w:pPr>
      <w:r>
        <w:rPr>
          <w:rFonts w:ascii="宋体" w:hAnsi="宋体" w:eastAsia="宋体"/>
          <w:sz w:val="21"/>
          <w:szCs w:val="21"/>
        </w:rPr>
        <w:t>5</w:t>
      </w:r>
      <w:r>
        <w:rPr>
          <w:rFonts w:hint="eastAsia" w:ascii="宋体" w:hAnsi="宋体" w:eastAsia="宋体"/>
          <w:sz w:val="21"/>
          <w:szCs w:val="21"/>
        </w:rPr>
        <w:t>．</w:t>
      </w:r>
      <w:r>
        <w:rPr>
          <w:rFonts w:ascii="宋体" w:hAnsi="宋体" w:eastAsia="宋体"/>
          <w:sz w:val="21"/>
          <w:szCs w:val="21"/>
        </w:rPr>
        <w:t>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0502B3F1">
      <w:pPr>
        <w:widowControl/>
        <w:jc w:val="left"/>
        <w:rPr>
          <w:rFonts w:ascii="宋体" w:hAnsi="宋体" w:eastAsia="宋体"/>
          <w:sz w:val="21"/>
          <w:szCs w:val="21"/>
        </w:rPr>
      </w:pPr>
      <w:r>
        <w:rPr>
          <w:rFonts w:ascii="宋体" w:hAnsi="宋体" w:eastAsia="宋体"/>
          <w:sz w:val="21"/>
          <w:szCs w:val="21"/>
        </w:rPr>
        <w:t>6</w:t>
      </w:r>
      <w:r>
        <w:rPr>
          <w:rFonts w:hint="eastAsia" w:ascii="宋体" w:hAnsi="宋体" w:eastAsia="宋体"/>
          <w:sz w:val="21"/>
          <w:szCs w:val="21"/>
        </w:rPr>
        <w:t>．</w:t>
      </w:r>
      <w:r>
        <w:rPr>
          <w:rFonts w:ascii="宋体" w:hAnsi="宋体" w:eastAsia="宋体"/>
          <w:sz w:val="21"/>
          <w:szCs w:val="21"/>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39D19BC0">
      <w:pPr>
        <w:widowControl/>
        <w:jc w:val="left"/>
        <w:rPr>
          <w:rFonts w:ascii="宋体" w:hAnsi="宋体" w:eastAsia="宋体"/>
          <w:sz w:val="21"/>
          <w:szCs w:val="21"/>
        </w:rPr>
      </w:pPr>
      <w:r>
        <w:rPr>
          <w:rFonts w:ascii="宋体" w:hAnsi="宋体" w:eastAsia="宋体"/>
          <w:sz w:val="21"/>
          <w:szCs w:val="21"/>
        </w:rPr>
        <w:t>7</w:t>
      </w:r>
      <w:r>
        <w:rPr>
          <w:rFonts w:hint="eastAsia" w:ascii="宋体" w:hAnsi="宋体" w:eastAsia="宋体"/>
          <w:sz w:val="21"/>
          <w:szCs w:val="21"/>
        </w:rPr>
        <w:t>．</w:t>
      </w:r>
      <w:r>
        <w:rPr>
          <w:rFonts w:ascii="宋体" w:hAnsi="宋体" w:eastAsia="宋体"/>
          <w:sz w:val="21"/>
          <w:szCs w:val="21"/>
        </w:rPr>
        <w:t>操作人员上岗必须按规定穿戴防护用品。施工负责人和安全检查员应随时检查劳动防护用品的穿戴情况，不按规定穿戴防护用品的人员不得上岗。</w:t>
      </w:r>
    </w:p>
    <w:p w14:paraId="0FD785E1">
      <w:pPr>
        <w:widowControl/>
        <w:jc w:val="left"/>
        <w:rPr>
          <w:rFonts w:ascii="宋体" w:hAnsi="宋体" w:eastAsia="宋体"/>
          <w:sz w:val="21"/>
          <w:szCs w:val="21"/>
        </w:rPr>
      </w:pPr>
      <w:r>
        <w:rPr>
          <w:rFonts w:ascii="宋体" w:hAnsi="宋体" w:eastAsia="宋体"/>
          <w:sz w:val="21"/>
          <w:szCs w:val="21"/>
        </w:rPr>
        <w:t>8</w:t>
      </w:r>
      <w:r>
        <w:rPr>
          <w:rFonts w:hint="eastAsia" w:ascii="宋体" w:hAnsi="宋体" w:eastAsia="宋体"/>
          <w:sz w:val="21"/>
          <w:szCs w:val="21"/>
        </w:rPr>
        <w:t>．</w:t>
      </w:r>
      <w:r>
        <w:rPr>
          <w:rFonts w:ascii="宋体" w:hAnsi="宋体" w:eastAsia="宋体"/>
          <w:sz w:val="21"/>
          <w:szCs w:val="21"/>
        </w:rPr>
        <w:t>所有施工机具设备和高空作业的设备均应定期检查，并有安全员的签字记录，保证其经常处于完好状态；不合格的机具、设备和劳动保护用品严禁使用。</w:t>
      </w:r>
    </w:p>
    <w:p w14:paraId="644B98EA">
      <w:pPr>
        <w:widowControl/>
        <w:jc w:val="left"/>
        <w:rPr>
          <w:rFonts w:ascii="宋体" w:hAnsi="宋体" w:eastAsia="宋体"/>
          <w:sz w:val="21"/>
          <w:szCs w:val="21"/>
        </w:rPr>
      </w:pPr>
      <w:r>
        <w:rPr>
          <w:rFonts w:ascii="宋体" w:hAnsi="宋体" w:eastAsia="宋体"/>
          <w:sz w:val="21"/>
          <w:szCs w:val="21"/>
        </w:rPr>
        <w:t>9</w:t>
      </w:r>
      <w:r>
        <w:rPr>
          <w:rFonts w:hint="eastAsia" w:ascii="宋体" w:hAnsi="宋体" w:eastAsia="宋体"/>
          <w:sz w:val="21"/>
          <w:szCs w:val="21"/>
        </w:rPr>
        <w:t>．</w:t>
      </w:r>
      <w:r>
        <w:rPr>
          <w:rFonts w:ascii="宋体" w:hAnsi="宋体" w:eastAsia="宋体"/>
          <w:sz w:val="21"/>
          <w:szCs w:val="21"/>
        </w:rPr>
        <w:t>施工中采用新技术、新工艺、新设备、新材料时，必须制定相应的安全技术措施，施工现场必须具有相关的安全标志牌。</w:t>
      </w:r>
    </w:p>
    <w:p w14:paraId="43705BB5">
      <w:pPr>
        <w:widowControl/>
        <w:jc w:val="left"/>
        <w:rPr>
          <w:rFonts w:ascii="宋体" w:hAnsi="宋体" w:eastAsia="宋体"/>
          <w:sz w:val="21"/>
          <w:szCs w:val="21"/>
        </w:rPr>
      </w:pPr>
      <w:r>
        <w:rPr>
          <w:rFonts w:ascii="宋体" w:hAnsi="宋体" w:eastAsia="宋体"/>
          <w:sz w:val="21"/>
          <w:szCs w:val="21"/>
        </w:rPr>
        <w:t>10</w:t>
      </w:r>
      <w:r>
        <w:rPr>
          <w:rFonts w:hint="eastAsia" w:ascii="宋体" w:hAnsi="宋体" w:eastAsia="宋体"/>
          <w:sz w:val="21"/>
          <w:szCs w:val="21"/>
        </w:rPr>
        <w:t>．</w:t>
      </w:r>
      <w:r>
        <w:rPr>
          <w:rFonts w:ascii="宋体" w:hAnsi="宋体" w:eastAsia="宋体"/>
          <w:sz w:val="21"/>
          <w:szCs w:val="21"/>
        </w:rPr>
        <w:t>施工作业地点位于控制区内的，操作人员须提前办理相应控制区通行证，进入控制区应主动佩戴，并接受安检人员的检查。</w:t>
      </w:r>
    </w:p>
    <w:p w14:paraId="78CCF5C2">
      <w:pPr>
        <w:widowControl/>
        <w:jc w:val="left"/>
        <w:rPr>
          <w:rFonts w:ascii="宋体" w:hAnsi="宋体" w:eastAsia="宋体"/>
          <w:sz w:val="21"/>
          <w:szCs w:val="21"/>
        </w:rPr>
      </w:pPr>
      <w:r>
        <w:rPr>
          <w:rFonts w:ascii="宋体" w:hAnsi="宋体" w:eastAsia="宋体"/>
          <w:sz w:val="21"/>
          <w:szCs w:val="21"/>
        </w:rPr>
        <w:t>11</w:t>
      </w:r>
      <w:r>
        <w:rPr>
          <w:rFonts w:hint="eastAsia" w:ascii="宋体" w:hAnsi="宋体" w:eastAsia="宋体"/>
          <w:sz w:val="21"/>
          <w:szCs w:val="21"/>
        </w:rPr>
        <w:t>．</w:t>
      </w:r>
      <w:r>
        <w:rPr>
          <w:rFonts w:ascii="宋体" w:hAnsi="宋体" w:eastAsia="宋体"/>
          <w:sz w:val="21"/>
          <w:szCs w:val="21"/>
        </w:rPr>
        <w:t>乙方必须按照本工程项目特点，组织制定本工程实施中的生产安全事故应急救援预案；如果发生安全事故，应及时上报甲方及政府有关部门并严肃处理相关责任人。</w:t>
      </w:r>
    </w:p>
    <w:p w14:paraId="48F2CCA8">
      <w:pPr>
        <w:widowControl/>
        <w:tabs>
          <w:tab w:val="left" w:pos="0"/>
        </w:tabs>
        <w:jc w:val="left"/>
        <w:rPr>
          <w:rFonts w:ascii="宋体" w:hAnsi="宋体" w:eastAsia="宋体"/>
          <w:sz w:val="21"/>
          <w:szCs w:val="21"/>
        </w:rPr>
      </w:pPr>
      <w:r>
        <w:rPr>
          <w:rFonts w:ascii="宋体" w:hAnsi="宋体" w:eastAsia="宋体"/>
          <w:sz w:val="21"/>
          <w:szCs w:val="21"/>
        </w:rPr>
        <w:t>12</w:t>
      </w:r>
      <w:r>
        <w:rPr>
          <w:rFonts w:hint="eastAsia" w:ascii="宋体" w:hAnsi="宋体" w:eastAsia="宋体"/>
          <w:sz w:val="21"/>
          <w:szCs w:val="21"/>
        </w:rPr>
        <w:t>．</w:t>
      </w:r>
      <w:r>
        <w:rPr>
          <w:rFonts w:ascii="宋体" w:hAnsi="宋体" w:eastAsia="宋体"/>
          <w:sz w:val="21"/>
          <w:szCs w:val="21"/>
        </w:rPr>
        <w:t>因乙方责任造成的甲方一切损失和负面影响，由乙方全部承担。</w:t>
      </w:r>
    </w:p>
    <w:p w14:paraId="317F6C62">
      <w:pPr>
        <w:widowControl/>
        <w:tabs>
          <w:tab w:val="left" w:pos="0"/>
        </w:tabs>
        <w:jc w:val="left"/>
        <w:rPr>
          <w:rFonts w:ascii="宋体" w:hAnsi="宋体" w:eastAsia="宋体"/>
          <w:sz w:val="21"/>
          <w:szCs w:val="21"/>
        </w:rPr>
      </w:pPr>
      <w:r>
        <w:rPr>
          <w:rFonts w:ascii="宋体" w:hAnsi="宋体" w:eastAsia="宋体"/>
          <w:sz w:val="21"/>
          <w:szCs w:val="21"/>
        </w:rPr>
        <w:t>13</w:t>
      </w:r>
      <w:r>
        <w:rPr>
          <w:rFonts w:hint="eastAsia" w:ascii="宋体" w:hAnsi="宋体" w:eastAsia="宋体"/>
          <w:sz w:val="21"/>
          <w:szCs w:val="21"/>
        </w:rPr>
        <w:t>．</w:t>
      </w:r>
      <w:r>
        <w:rPr>
          <w:rFonts w:ascii="宋体" w:hAnsi="宋体" w:eastAsia="宋体"/>
          <w:sz w:val="21"/>
          <w:szCs w:val="21"/>
        </w:rPr>
        <w:t>发生对甲方造成影响的事故，乙方必须立即向甲方报告。报告的内容主要有：时间、地点、事故性质、人员伤亡、初步处理情况及报告人的单位、姓名、电话号码等，事故的损失按责论处。</w:t>
      </w:r>
    </w:p>
    <w:p w14:paraId="1DB35717">
      <w:pPr>
        <w:widowControl/>
        <w:tabs>
          <w:tab w:val="left" w:pos="0"/>
        </w:tabs>
        <w:jc w:val="left"/>
        <w:rPr>
          <w:rFonts w:ascii="宋体" w:hAnsi="宋体" w:eastAsia="宋体"/>
          <w:sz w:val="21"/>
          <w:szCs w:val="21"/>
        </w:rPr>
      </w:pPr>
      <w:r>
        <w:rPr>
          <w:rFonts w:ascii="宋体" w:hAnsi="宋体" w:eastAsia="宋体"/>
          <w:sz w:val="21"/>
          <w:szCs w:val="21"/>
        </w:rPr>
        <w:t>14</w:t>
      </w:r>
      <w:r>
        <w:rPr>
          <w:rFonts w:hint="eastAsia" w:ascii="宋体" w:hAnsi="宋体" w:eastAsia="宋体"/>
          <w:sz w:val="21"/>
          <w:szCs w:val="21"/>
        </w:rPr>
        <w:t>．</w:t>
      </w:r>
      <w:r>
        <w:rPr>
          <w:rFonts w:ascii="宋体" w:hAnsi="宋体" w:eastAsia="宋体"/>
          <w:sz w:val="21"/>
          <w:szCs w:val="21"/>
        </w:rPr>
        <w:t>乙方在进场施工前，应给现场施工作业的每个员工购买意外伤害保险。</w:t>
      </w:r>
    </w:p>
    <w:p w14:paraId="198362B8">
      <w:pPr>
        <w:widowControl/>
        <w:jc w:val="left"/>
        <w:rPr>
          <w:rFonts w:ascii="宋体" w:hAnsi="宋体" w:eastAsia="宋体"/>
          <w:b/>
          <w:sz w:val="21"/>
          <w:szCs w:val="21"/>
        </w:rPr>
      </w:pPr>
      <w:r>
        <w:rPr>
          <w:rFonts w:ascii="宋体" w:hAnsi="宋体" w:eastAsia="宋体"/>
          <w:b/>
          <w:sz w:val="21"/>
          <w:szCs w:val="21"/>
        </w:rPr>
        <w:t>五、治安消防工作要求</w:t>
      </w:r>
    </w:p>
    <w:p w14:paraId="1B9C46C3">
      <w:pPr>
        <w:widowControl/>
        <w:jc w:val="left"/>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w:t>
      </w:r>
      <w:r>
        <w:rPr>
          <w:rFonts w:ascii="宋体" w:hAnsi="宋体" w:eastAsia="宋体"/>
          <w:sz w:val="21"/>
          <w:szCs w:val="21"/>
        </w:rPr>
        <w:t>乙方必须认真遵守国家和地方的有关法律、法规。</w:t>
      </w:r>
    </w:p>
    <w:p w14:paraId="133800E6">
      <w:pPr>
        <w:widowControl/>
        <w:jc w:val="left"/>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w:t>
      </w:r>
      <w:r>
        <w:rPr>
          <w:rFonts w:ascii="宋体" w:hAnsi="宋体" w:eastAsia="宋体"/>
          <w:sz w:val="21"/>
          <w:szCs w:val="21"/>
        </w:rPr>
        <w:t>乙方须配备至少一名专（兼）职治安消防管理人员，负责本作业区域的治安消</w:t>
      </w:r>
      <w:r>
        <w:rPr>
          <w:rFonts w:hint="eastAsia" w:ascii="宋体" w:hAnsi="宋体" w:eastAsia="宋体"/>
          <w:sz w:val="21"/>
          <w:szCs w:val="21"/>
          <w:lang w:eastAsia="zh-CN"/>
        </w:rPr>
        <w:t>防</w:t>
      </w:r>
      <w:r>
        <w:rPr>
          <w:rFonts w:ascii="宋体" w:hAnsi="宋体" w:eastAsia="宋体"/>
          <w:sz w:val="21"/>
          <w:szCs w:val="21"/>
        </w:rPr>
        <w:t>工作；</w:t>
      </w:r>
    </w:p>
    <w:p w14:paraId="4303B63E">
      <w:pPr>
        <w:widowControl/>
        <w:jc w:val="left"/>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w:t>
      </w:r>
      <w:r>
        <w:rPr>
          <w:rFonts w:ascii="宋体" w:hAnsi="宋体" w:eastAsia="宋体"/>
          <w:sz w:val="21"/>
          <w:szCs w:val="21"/>
        </w:rPr>
        <w:t>因乙方责任造成影响的案件如：火灾、治安事件等，事故经济责任、事故法律责任以及事故的善后处理均由乙方独自承担，因此给甲方造成的经济损失由乙方全部承担。</w:t>
      </w:r>
    </w:p>
    <w:p w14:paraId="34B5A164">
      <w:pPr>
        <w:widowControl/>
        <w:jc w:val="left"/>
        <w:rPr>
          <w:rFonts w:ascii="宋体" w:hAnsi="宋体" w:eastAsia="宋体"/>
          <w:b/>
          <w:sz w:val="21"/>
          <w:szCs w:val="21"/>
        </w:rPr>
      </w:pPr>
      <w:r>
        <w:rPr>
          <w:rFonts w:hint="eastAsia" w:ascii="宋体" w:hAnsi="宋体" w:eastAsia="宋体"/>
          <w:b/>
          <w:sz w:val="21"/>
          <w:szCs w:val="21"/>
        </w:rPr>
        <w:t>六</w:t>
      </w:r>
      <w:r>
        <w:rPr>
          <w:rFonts w:ascii="宋体" w:hAnsi="宋体" w:eastAsia="宋体"/>
          <w:b/>
          <w:sz w:val="21"/>
          <w:szCs w:val="21"/>
        </w:rPr>
        <w:t>、争议的处理</w:t>
      </w:r>
    </w:p>
    <w:p w14:paraId="70CF0BB1">
      <w:pPr>
        <w:widowControl/>
        <w:jc w:val="left"/>
        <w:rPr>
          <w:rFonts w:ascii="宋体" w:hAnsi="宋体" w:eastAsia="宋体"/>
          <w:sz w:val="21"/>
          <w:szCs w:val="21"/>
        </w:rPr>
      </w:pPr>
      <w:r>
        <w:rPr>
          <w:rFonts w:ascii="宋体" w:hAnsi="宋体" w:eastAsia="宋体"/>
          <w:sz w:val="21"/>
          <w:szCs w:val="21"/>
        </w:rPr>
        <w:t>协议双方发生争议时，可以通过协商解决，协商不成的可以按司法程序向甲方所在地人民法院起诉。</w:t>
      </w:r>
    </w:p>
    <w:p w14:paraId="0B3077C0">
      <w:pPr>
        <w:widowControl/>
        <w:jc w:val="left"/>
        <w:rPr>
          <w:rFonts w:ascii="宋体" w:hAnsi="宋体" w:eastAsia="宋体"/>
          <w:b/>
          <w:sz w:val="21"/>
          <w:szCs w:val="21"/>
        </w:rPr>
      </w:pPr>
      <w:r>
        <w:rPr>
          <w:rFonts w:hint="eastAsia" w:ascii="宋体" w:hAnsi="宋体" w:eastAsia="宋体"/>
          <w:b/>
          <w:sz w:val="21"/>
          <w:szCs w:val="21"/>
        </w:rPr>
        <w:t>七</w:t>
      </w:r>
      <w:r>
        <w:rPr>
          <w:rFonts w:ascii="宋体" w:hAnsi="宋体" w:eastAsia="宋体"/>
          <w:b/>
          <w:sz w:val="21"/>
          <w:szCs w:val="21"/>
        </w:rPr>
        <w:t>、其他补充条款</w:t>
      </w:r>
    </w:p>
    <w:p w14:paraId="3AAFCB22">
      <w:pPr>
        <w:widowControl/>
        <w:jc w:val="left"/>
        <w:rPr>
          <w:rFonts w:ascii="宋体" w:hAnsi="宋体" w:eastAsia="宋体"/>
          <w:sz w:val="21"/>
          <w:szCs w:val="21"/>
        </w:rPr>
      </w:pPr>
      <w:r>
        <w:rPr>
          <w:rFonts w:hint="eastAsia" w:ascii="宋体" w:hAnsi="宋体" w:eastAsia="宋体"/>
          <w:sz w:val="21"/>
          <w:szCs w:val="21"/>
        </w:rPr>
        <w:t>本合同一式</w:t>
      </w:r>
      <w:r>
        <w:rPr>
          <w:rFonts w:hint="eastAsia" w:ascii="宋体" w:hAnsi="宋体" w:eastAsia="宋体"/>
          <w:sz w:val="21"/>
          <w:szCs w:val="21"/>
          <w:lang w:eastAsia="zh-CN"/>
        </w:rPr>
        <w:t>肆</w:t>
      </w:r>
      <w:r>
        <w:rPr>
          <w:rFonts w:hint="eastAsia" w:ascii="宋体" w:hAnsi="宋体" w:eastAsia="宋体"/>
          <w:sz w:val="21"/>
          <w:szCs w:val="21"/>
        </w:rPr>
        <w:t>份，甲方持</w:t>
      </w:r>
      <w:r>
        <w:rPr>
          <w:rFonts w:hint="eastAsia" w:ascii="宋体" w:hAnsi="宋体" w:eastAsia="宋体"/>
          <w:sz w:val="21"/>
          <w:szCs w:val="21"/>
          <w:lang w:eastAsia="zh-CN"/>
        </w:rPr>
        <w:t>贰</w:t>
      </w:r>
      <w:r>
        <w:rPr>
          <w:rFonts w:hint="eastAsia" w:ascii="宋体" w:hAnsi="宋体" w:eastAsia="宋体"/>
          <w:sz w:val="21"/>
          <w:szCs w:val="21"/>
        </w:rPr>
        <w:t>份，乙方持</w:t>
      </w:r>
      <w:r>
        <w:rPr>
          <w:rFonts w:hint="eastAsia" w:ascii="宋体" w:hAnsi="宋体" w:eastAsia="宋体"/>
          <w:sz w:val="21"/>
          <w:szCs w:val="21"/>
          <w:lang w:eastAsia="zh-CN"/>
        </w:rPr>
        <w:t>贰</w:t>
      </w:r>
      <w:r>
        <w:rPr>
          <w:rFonts w:hint="eastAsia" w:ascii="宋体" w:hAnsi="宋体" w:eastAsia="宋体"/>
          <w:sz w:val="21"/>
          <w:szCs w:val="21"/>
        </w:rPr>
        <w:t>份，具有同等效力。</w:t>
      </w:r>
      <w:r>
        <w:rPr>
          <w:rFonts w:ascii="宋体" w:hAnsi="宋体" w:eastAsia="宋体"/>
          <w:sz w:val="21"/>
          <w:szCs w:val="21"/>
        </w:rPr>
        <w:t>由双方法定或授权代表签署与加盖公章后生效，全部工程竣工验收后失效。</w:t>
      </w:r>
    </w:p>
    <w:p w14:paraId="5FBD43CD">
      <w:pPr>
        <w:widowControl/>
        <w:ind w:left="6480" w:hanging="5670" w:hangingChars="2700"/>
        <w:jc w:val="left"/>
        <w:rPr>
          <w:rFonts w:ascii="宋体" w:hAnsi="宋体" w:eastAsia="宋体"/>
          <w:sz w:val="21"/>
          <w:szCs w:val="21"/>
        </w:rPr>
      </w:pPr>
    </w:p>
    <w:p w14:paraId="430F5889">
      <w:pPr>
        <w:widowControl/>
        <w:jc w:val="left"/>
        <w:rPr>
          <w:rFonts w:hint="eastAsia" w:ascii="宋体" w:hAnsi="宋体" w:eastAsia="宋体"/>
          <w:sz w:val="21"/>
          <w:szCs w:val="21"/>
          <w:lang w:eastAsia="zh-CN"/>
        </w:rPr>
      </w:pPr>
      <w:r>
        <w:rPr>
          <w:rFonts w:ascii="宋体" w:hAnsi="宋体" w:eastAsia="宋体"/>
          <w:sz w:val="21"/>
          <w:szCs w:val="21"/>
        </w:rPr>
        <w:t>甲方</w:t>
      </w:r>
      <w:r>
        <w:rPr>
          <w:rFonts w:hint="eastAsia" w:ascii="宋体" w:hAnsi="宋体" w:eastAsia="宋体"/>
          <w:sz w:val="21"/>
          <w:szCs w:val="21"/>
        </w:rPr>
        <w:t>(</w:t>
      </w:r>
      <w:r>
        <w:rPr>
          <w:rFonts w:ascii="宋体" w:hAnsi="宋体" w:eastAsia="宋体"/>
          <w:sz w:val="21"/>
          <w:szCs w:val="21"/>
        </w:rPr>
        <w:t>章</w:t>
      </w:r>
      <w:r>
        <w:rPr>
          <w:rFonts w:hint="eastAsia" w:ascii="宋体" w:hAnsi="宋体" w:eastAsia="宋体"/>
          <w:sz w:val="21"/>
          <w:szCs w:val="21"/>
        </w:rPr>
        <w:t>):</w:t>
      </w:r>
      <w:r>
        <w:rPr>
          <w:rFonts w:hint="eastAsia" w:ascii="宋体" w:hAnsi="宋体" w:eastAsia="宋体"/>
          <w:sz w:val="21"/>
          <w:szCs w:val="21"/>
          <w:lang w:eastAsia="zh-CN"/>
        </w:rPr>
        <w:t>南京禄口国际机场空港科技有限公司</w:t>
      </w:r>
      <w:r>
        <w:rPr>
          <w:rFonts w:hint="eastAsia" w:ascii="宋体" w:hAnsi="宋体" w:eastAsia="宋体"/>
          <w:sz w:val="21"/>
          <w:szCs w:val="21"/>
        </w:rPr>
        <w:t xml:space="preserve"> </w:t>
      </w:r>
      <w:r>
        <w:rPr>
          <w:rFonts w:hint="eastAsia" w:ascii="宋体" w:hAnsi="宋体" w:eastAsia="宋体"/>
          <w:sz w:val="21"/>
          <w:szCs w:val="21"/>
          <w:lang w:val="en-US" w:eastAsia="zh-CN"/>
        </w:rPr>
        <w:t xml:space="preserve"> </w:t>
      </w:r>
      <w:r>
        <w:rPr>
          <w:rFonts w:hint="eastAsia" w:ascii="宋体" w:hAnsi="宋体" w:eastAsia="宋体"/>
          <w:sz w:val="21"/>
          <w:szCs w:val="21"/>
        </w:rPr>
        <w:t xml:space="preserve"> </w:t>
      </w:r>
      <w:r>
        <w:rPr>
          <w:rFonts w:hint="eastAsia" w:ascii="宋体" w:hAnsi="宋体" w:eastAsia="宋体"/>
          <w:sz w:val="21"/>
          <w:szCs w:val="21"/>
          <w:lang w:val="en-US" w:eastAsia="zh-CN"/>
        </w:rPr>
        <w:t xml:space="preserve">              </w:t>
      </w:r>
      <w:r>
        <w:rPr>
          <w:rFonts w:ascii="宋体" w:hAnsi="宋体" w:eastAsia="宋体"/>
          <w:sz w:val="21"/>
          <w:szCs w:val="21"/>
        </w:rPr>
        <w:t>乙方</w:t>
      </w:r>
      <w:r>
        <w:rPr>
          <w:rFonts w:hint="eastAsia" w:ascii="宋体" w:hAnsi="宋体" w:eastAsia="宋体"/>
          <w:sz w:val="21"/>
          <w:szCs w:val="21"/>
        </w:rPr>
        <w:t>(</w:t>
      </w:r>
      <w:r>
        <w:rPr>
          <w:rFonts w:ascii="宋体" w:hAnsi="宋体" w:eastAsia="宋体"/>
          <w:sz w:val="21"/>
          <w:szCs w:val="21"/>
        </w:rPr>
        <w:t>章</w:t>
      </w:r>
      <w:r>
        <w:rPr>
          <w:rFonts w:hint="eastAsia" w:ascii="宋体" w:hAnsi="宋体" w:eastAsia="宋体"/>
          <w:sz w:val="21"/>
          <w:szCs w:val="21"/>
        </w:rPr>
        <w:t>)：</w:t>
      </w:r>
    </w:p>
    <w:p w14:paraId="7863A8E0">
      <w:pPr>
        <w:widowControl/>
        <w:jc w:val="left"/>
        <w:rPr>
          <w:rFonts w:ascii="宋体" w:hAnsi="宋体" w:eastAsia="宋体"/>
          <w:sz w:val="21"/>
          <w:szCs w:val="21"/>
        </w:rPr>
      </w:pPr>
    </w:p>
    <w:p w14:paraId="48600F20">
      <w:pPr>
        <w:widowControl/>
        <w:jc w:val="left"/>
        <w:rPr>
          <w:rFonts w:ascii="宋体" w:hAnsi="宋体" w:eastAsia="宋体"/>
          <w:sz w:val="21"/>
          <w:szCs w:val="21"/>
        </w:rPr>
      </w:pPr>
      <w:r>
        <w:rPr>
          <w:rFonts w:ascii="宋体" w:hAnsi="宋体" w:eastAsia="宋体"/>
          <w:sz w:val="21"/>
          <w:szCs w:val="21"/>
        </w:rPr>
        <w:t xml:space="preserve">法定（或授权）代表：            </w:t>
      </w:r>
      <w:r>
        <w:rPr>
          <w:rFonts w:hint="eastAsia" w:ascii="宋体" w:hAnsi="宋体" w:eastAsia="宋体"/>
          <w:sz w:val="21"/>
          <w:szCs w:val="21"/>
        </w:rPr>
        <w:t xml:space="preserve">    </w:t>
      </w:r>
      <w:r>
        <w:rPr>
          <w:rFonts w:hint="eastAsia" w:ascii="宋体" w:hAnsi="宋体" w:eastAsia="宋体"/>
          <w:sz w:val="21"/>
          <w:szCs w:val="21"/>
          <w:lang w:val="en-US" w:eastAsia="zh-CN"/>
        </w:rPr>
        <w:t xml:space="preserve">    </w:t>
      </w:r>
      <w:r>
        <w:rPr>
          <w:rFonts w:hint="eastAsia" w:ascii="宋体" w:hAnsi="宋体" w:eastAsia="宋体"/>
          <w:sz w:val="21"/>
          <w:szCs w:val="21"/>
        </w:rPr>
        <w:t xml:space="preserve">  </w:t>
      </w:r>
      <w:r>
        <w:rPr>
          <w:rFonts w:hint="eastAsia" w:ascii="宋体" w:hAnsi="宋体" w:eastAsia="宋体"/>
          <w:sz w:val="21"/>
          <w:szCs w:val="21"/>
          <w:lang w:val="en-US" w:eastAsia="zh-CN"/>
        </w:rPr>
        <w:t xml:space="preserve">                </w:t>
      </w:r>
      <w:r>
        <w:rPr>
          <w:rFonts w:ascii="宋体" w:hAnsi="宋体" w:eastAsia="宋体"/>
          <w:sz w:val="21"/>
          <w:szCs w:val="21"/>
        </w:rPr>
        <w:t>法定（或授权）代表：</w:t>
      </w:r>
    </w:p>
    <w:p w14:paraId="2BB824FF">
      <w:pPr>
        <w:widowControl/>
        <w:ind w:firstLine="420" w:firstLineChars="200"/>
        <w:jc w:val="left"/>
        <w:rPr>
          <w:rFonts w:ascii="宋体" w:hAnsi="宋体" w:eastAsia="宋体"/>
          <w:sz w:val="21"/>
          <w:szCs w:val="21"/>
        </w:rPr>
      </w:pPr>
      <w:r>
        <w:rPr>
          <w:rFonts w:ascii="宋体" w:hAnsi="宋体" w:eastAsia="宋体"/>
          <w:sz w:val="21"/>
          <w:szCs w:val="21"/>
        </w:rPr>
        <w:t xml:space="preserve">                         </w:t>
      </w:r>
    </w:p>
    <w:p w14:paraId="48D705B3">
      <w:pPr>
        <w:widowControl/>
        <w:tabs>
          <w:tab w:val="center" w:pos="4393"/>
        </w:tabs>
        <w:jc w:val="left"/>
        <w:rPr>
          <w:rFonts w:ascii="宋体" w:hAnsi="宋体" w:eastAsia="宋体"/>
          <w:sz w:val="21"/>
          <w:szCs w:val="21"/>
        </w:rPr>
      </w:pPr>
      <w:r>
        <w:rPr>
          <w:rFonts w:ascii="宋体" w:hAnsi="宋体" w:eastAsia="宋体"/>
          <w:sz w:val="21"/>
          <w:szCs w:val="21"/>
        </w:rPr>
        <w:t xml:space="preserve">日期：                       </w:t>
      </w:r>
      <w:r>
        <w:rPr>
          <w:rFonts w:hint="eastAsia" w:ascii="宋体" w:hAnsi="宋体" w:eastAsia="宋体"/>
          <w:sz w:val="21"/>
          <w:szCs w:val="21"/>
        </w:rPr>
        <w:t xml:space="preserve">     </w:t>
      </w:r>
      <w:r>
        <w:rPr>
          <w:rFonts w:hint="eastAsia" w:ascii="宋体" w:hAnsi="宋体" w:eastAsia="宋体"/>
          <w:sz w:val="21"/>
          <w:szCs w:val="21"/>
          <w:lang w:val="en-US" w:eastAsia="zh-CN"/>
        </w:rPr>
        <w:t xml:space="preserve">    </w:t>
      </w:r>
      <w:r>
        <w:rPr>
          <w:rFonts w:hint="eastAsia" w:ascii="宋体" w:hAnsi="宋体" w:eastAsia="宋体"/>
          <w:sz w:val="21"/>
          <w:szCs w:val="21"/>
        </w:rPr>
        <w:t xml:space="preserve">   </w:t>
      </w:r>
      <w:r>
        <w:rPr>
          <w:rFonts w:ascii="宋体" w:hAnsi="宋体" w:eastAsia="宋体"/>
          <w:sz w:val="21"/>
          <w:szCs w:val="21"/>
        </w:rPr>
        <w:t xml:space="preserve"> </w:t>
      </w:r>
      <w:r>
        <w:rPr>
          <w:rFonts w:hint="eastAsia" w:ascii="宋体" w:hAnsi="宋体" w:eastAsia="宋体"/>
          <w:sz w:val="21"/>
          <w:szCs w:val="21"/>
          <w:lang w:val="en-US" w:eastAsia="zh-CN"/>
        </w:rPr>
        <w:t xml:space="preserve">                    </w:t>
      </w:r>
      <w:r>
        <w:rPr>
          <w:rFonts w:ascii="宋体" w:hAnsi="宋体" w:eastAsia="宋体"/>
          <w:sz w:val="21"/>
          <w:szCs w:val="21"/>
        </w:rPr>
        <w:t>日期：</w:t>
      </w:r>
    </w:p>
    <w:p w14:paraId="74694484">
      <w:pPr>
        <w:spacing w:line="360" w:lineRule="auto"/>
        <w:rPr>
          <w:rFonts w:hint="default"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br w:type="page"/>
      </w:r>
      <w:r>
        <w:rPr>
          <w:rFonts w:hint="eastAsia" w:ascii="宋体" w:hAnsi="Courier New" w:eastAsia="宋体" w:cs="Times New Roman"/>
          <w:b/>
          <w:bCs/>
          <w:kern w:val="2"/>
          <w:sz w:val="21"/>
          <w:szCs w:val="21"/>
          <w:highlight w:val="none"/>
          <w:lang w:val="en-US" w:eastAsia="zh-CN" w:bidi="ar-SA"/>
        </w:rPr>
        <w:t>合同附件4</w:t>
      </w:r>
    </w:p>
    <w:p w14:paraId="3E62B96C">
      <w:pPr>
        <w:spacing w:line="360" w:lineRule="auto"/>
        <w:jc w:val="center"/>
        <w:rPr>
          <w:rFonts w:hint="eastAsia" w:ascii="宋体" w:hAnsi="宋体" w:eastAsia="宋体" w:cs="Times New Roman"/>
          <w:b/>
          <w:color w:val="auto"/>
          <w:sz w:val="32"/>
          <w:szCs w:val="32"/>
          <w:highlight w:val="none"/>
          <w:shd w:val="clear" w:color="auto" w:fill="auto"/>
          <w:lang w:eastAsia="zh-CN"/>
        </w:rPr>
      </w:pPr>
      <w:r>
        <w:rPr>
          <w:rFonts w:hint="eastAsia" w:ascii="宋体" w:hAnsi="宋体" w:eastAsia="宋体" w:cs="Times New Roman"/>
          <w:b/>
          <w:color w:val="auto"/>
          <w:sz w:val="32"/>
          <w:szCs w:val="32"/>
          <w:highlight w:val="none"/>
          <w:shd w:val="clear" w:color="auto" w:fill="auto"/>
          <w:lang w:eastAsia="zh-CN"/>
        </w:rPr>
        <w:t>航空安全保卫协议</w:t>
      </w:r>
    </w:p>
    <w:p w14:paraId="4E13416D">
      <w:pPr>
        <w:pStyle w:val="2"/>
        <w:rPr>
          <w:rFonts w:hint="eastAsia"/>
          <w:lang w:eastAsia="zh-CN"/>
        </w:rPr>
      </w:pPr>
    </w:p>
    <w:p w14:paraId="6956EF77">
      <w:pPr>
        <w:spacing w:line="360" w:lineRule="auto"/>
        <w:rPr>
          <w:rFonts w:hint="eastAsia" w:ascii="宋体" w:hAnsi="宋体"/>
          <w:b/>
          <w:color w:val="auto"/>
          <w:sz w:val="21"/>
          <w:szCs w:val="21"/>
          <w:highlight w:val="none"/>
          <w:u w:val="none"/>
        </w:rPr>
      </w:pPr>
      <w:r>
        <w:rPr>
          <w:rFonts w:hint="eastAsia" w:ascii="宋体" w:hAnsi="宋体" w:eastAsia="宋体" w:cs="宋体"/>
          <w:b/>
          <w:bCs/>
          <w:color w:val="auto"/>
          <w:kern w:val="0"/>
          <w:sz w:val="21"/>
          <w:szCs w:val="21"/>
          <w:highlight w:val="none"/>
          <w:u w:val="none"/>
          <w:lang w:bidi="ar"/>
        </w:rPr>
        <w:t>甲方：</w:t>
      </w:r>
      <w:r>
        <w:rPr>
          <w:rFonts w:hint="eastAsia" w:ascii="宋体" w:hAnsi="宋体"/>
          <w:b/>
          <w:color w:val="auto"/>
          <w:sz w:val="21"/>
          <w:szCs w:val="21"/>
          <w:highlight w:val="none"/>
          <w:u w:val="none"/>
        </w:rPr>
        <w:t>南京禄口国际机场空港科技有限公司</w:t>
      </w:r>
    </w:p>
    <w:p w14:paraId="2BA3750A">
      <w:pPr>
        <w:spacing w:line="360" w:lineRule="auto"/>
        <w:rPr>
          <w:rFonts w:hint="eastAsia" w:ascii="宋体" w:hAnsi="宋体"/>
          <w:b/>
          <w:color w:val="auto"/>
          <w:sz w:val="21"/>
          <w:szCs w:val="21"/>
          <w:highlight w:val="none"/>
          <w:u w:val="none"/>
        </w:rPr>
      </w:pPr>
      <w:r>
        <w:rPr>
          <w:rFonts w:hint="eastAsia" w:ascii="宋体" w:hAnsi="宋体"/>
          <w:b/>
          <w:color w:val="auto"/>
          <w:sz w:val="21"/>
          <w:szCs w:val="21"/>
          <w:highlight w:val="none"/>
          <w:u w:val="none"/>
        </w:rPr>
        <w:t>乙方：</w:t>
      </w:r>
    </w:p>
    <w:p w14:paraId="2D5E53F1">
      <w:pPr>
        <w:keepNext w:val="0"/>
        <w:keepLines w:val="0"/>
        <w:pageBreakBefore w:val="0"/>
        <w:widowControl/>
        <w:kinsoku/>
        <w:wordWrap/>
        <w:overflowPunct/>
        <w:topLinePunct w:val="0"/>
        <w:autoSpaceDE/>
        <w:autoSpaceDN/>
        <w:bidi w:val="0"/>
        <w:adjustRightInd/>
        <w:spacing w:line="360" w:lineRule="auto"/>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为确保</w:t>
      </w:r>
      <w:r>
        <w:rPr>
          <w:rFonts w:hint="eastAsia" w:ascii="宋体" w:hAnsi="宋体" w:eastAsia="宋体" w:cs="宋体"/>
          <w:color w:val="auto"/>
          <w:kern w:val="0"/>
          <w:sz w:val="21"/>
          <w:szCs w:val="21"/>
          <w:highlight w:val="none"/>
          <w:lang w:eastAsia="zh-CN" w:bidi="ar"/>
        </w:rPr>
        <w:t>南京禄口国际机场空港科技</w:t>
      </w:r>
      <w:r>
        <w:rPr>
          <w:rFonts w:hint="eastAsia" w:ascii="宋体" w:hAnsi="宋体" w:eastAsia="宋体" w:cs="宋体"/>
          <w:color w:val="auto"/>
          <w:kern w:val="0"/>
          <w:sz w:val="21"/>
          <w:szCs w:val="21"/>
          <w:highlight w:val="none"/>
          <w:u w:val="none"/>
          <w:lang w:bidi="ar"/>
        </w:rPr>
        <w:t>有限公司</w:t>
      </w:r>
      <w:r>
        <w:rPr>
          <w:rFonts w:hint="eastAsia" w:ascii="宋体" w:hAnsi="宋体" w:eastAsia="宋体" w:cs="宋体"/>
          <w:color w:val="auto"/>
          <w:kern w:val="0"/>
          <w:sz w:val="21"/>
          <w:szCs w:val="21"/>
          <w:highlight w:val="none"/>
          <w:lang w:bidi="ar"/>
        </w:rPr>
        <w:t>（以下简称“甲方”）</w:t>
      </w:r>
      <w:r>
        <w:rPr>
          <w:rFonts w:hint="eastAsia" w:ascii="宋体" w:hAnsi="宋体" w:eastAsia="宋体" w:cs="宋体"/>
          <w:color w:val="auto"/>
          <w:kern w:val="0"/>
          <w:sz w:val="21"/>
          <w:szCs w:val="21"/>
          <w:highlight w:val="none"/>
          <w:lang w:eastAsia="zh-CN" w:bidi="ar"/>
        </w:rPr>
        <w:t>和南京禄口国际机场航班</w:t>
      </w:r>
      <w:r>
        <w:rPr>
          <w:rFonts w:hint="eastAsia" w:ascii="宋体" w:hAnsi="宋体" w:eastAsia="宋体" w:cs="宋体"/>
          <w:color w:val="auto"/>
          <w:kern w:val="0"/>
          <w:sz w:val="21"/>
          <w:szCs w:val="21"/>
          <w:highlight w:val="none"/>
          <w:lang w:bidi="ar"/>
        </w:rPr>
        <w:t>安全有序运行，保护乙方合法正常的经营秩序，根据《中华人民共和国安全生产法》、《中华人民共和国民用航空安全保卫条例》、《南京禄口国际机场航空安全保卫方案》等国家法规、行业规章及南京机场有关规章制度，经友好协商，甲乙双方签订本航空安全保卫协议。本协议所及“机场”均指南京禄口国际机场。</w:t>
      </w:r>
    </w:p>
    <w:p w14:paraId="28B7AC97">
      <w:pPr>
        <w:keepNext w:val="0"/>
        <w:keepLines w:val="0"/>
        <w:pageBreakBefore w:val="0"/>
        <w:widowControl/>
        <w:kinsoku/>
        <w:wordWrap/>
        <w:overflowPunct/>
        <w:topLinePunct w:val="0"/>
        <w:autoSpaceDE/>
        <w:autoSpaceDN/>
        <w:bidi w:val="0"/>
        <w:adjustRightInd/>
        <w:snapToGrid/>
        <w:spacing w:line="360" w:lineRule="auto"/>
        <w:ind w:right="0" w:rightChars="0" w:firstLine="422" w:firstLineChars="200"/>
        <w:jc w:val="left"/>
        <w:textAlignment w:val="auto"/>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一、</w:t>
      </w:r>
      <w:r>
        <w:rPr>
          <w:rFonts w:hint="eastAsia" w:ascii="宋体" w:hAnsi="宋体" w:eastAsia="宋体" w:cs="宋体"/>
          <w:b/>
          <w:bCs/>
          <w:color w:val="auto"/>
          <w:kern w:val="0"/>
          <w:sz w:val="21"/>
          <w:szCs w:val="21"/>
          <w:highlight w:val="none"/>
          <w:lang w:bidi="ar"/>
        </w:rPr>
        <w:t>外包业务</w:t>
      </w:r>
    </w:p>
    <w:p w14:paraId="57D4B354">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外包单位：依据双方签订的</w:t>
      </w:r>
      <w:r>
        <w:rPr>
          <w:rFonts w:hint="eastAsia" w:ascii="宋体" w:hAnsi="宋体" w:eastAsia="宋体" w:cs="宋体"/>
          <w:color w:val="auto"/>
          <w:kern w:val="0"/>
          <w:sz w:val="21"/>
          <w:szCs w:val="21"/>
          <w:highlight w:val="none"/>
          <w:u w:val="none"/>
          <w:lang w:bidi="ar"/>
        </w:rPr>
        <w:t>《</w:t>
      </w:r>
      <w:r>
        <w:rPr>
          <w:rFonts w:hint="eastAsia" w:ascii="宋体" w:hAnsi="宋体" w:eastAsia="宋体" w:cs="宋体"/>
          <w:color w:val="auto"/>
          <w:kern w:val="0"/>
          <w:sz w:val="21"/>
          <w:szCs w:val="21"/>
          <w:highlight w:val="none"/>
          <w:u w:val="single"/>
          <w:lang w:eastAsia="zh-CN" w:bidi="ar"/>
        </w:rPr>
        <w:t>南京机场</w:t>
      </w:r>
      <w:r>
        <w:rPr>
          <w:rFonts w:hint="eastAsia" w:ascii="宋体" w:hAnsi="宋体" w:eastAsia="宋体" w:cs="宋体"/>
          <w:color w:val="auto"/>
          <w:kern w:val="0"/>
          <w:sz w:val="21"/>
          <w:szCs w:val="21"/>
          <w:highlight w:val="none"/>
          <w:u w:val="single"/>
          <w:lang w:val="en-US" w:eastAsia="zh-CN" w:bidi="ar"/>
        </w:rPr>
        <w:t>1</w:t>
      </w:r>
      <w:r>
        <w:rPr>
          <w:rFonts w:hint="eastAsia" w:ascii="宋体" w:hAnsi="宋体" w:eastAsia="宋体" w:cs="宋体"/>
          <w:color w:val="auto"/>
          <w:kern w:val="0"/>
          <w:sz w:val="21"/>
          <w:szCs w:val="21"/>
          <w:highlight w:val="none"/>
          <w:u w:val="single"/>
          <w:lang w:eastAsia="zh-CN" w:bidi="ar"/>
        </w:rPr>
        <w:t>号航站楼低压成套配电柜委外保养项目合同</w:t>
      </w:r>
      <w:r>
        <w:rPr>
          <w:rFonts w:hint="eastAsia" w:ascii="宋体" w:hAnsi="宋体" w:eastAsia="宋体" w:cs="宋体"/>
          <w:color w:val="auto"/>
          <w:kern w:val="0"/>
          <w:sz w:val="21"/>
          <w:szCs w:val="21"/>
          <w:highlight w:val="none"/>
          <w:u w:val="none"/>
          <w:lang w:bidi="ar"/>
        </w:rPr>
        <w:t>》，乙方承包南京机场</w:t>
      </w:r>
      <w:r>
        <w:rPr>
          <w:rFonts w:hint="eastAsia" w:ascii="宋体" w:hAnsi="宋体" w:eastAsia="宋体" w:cs="宋体"/>
          <w:color w:val="auto"/>
          <w:kern w:val="0"/>
          <w:sz w:val="21"/>
          <w:szCs w:val="21"/>
          <w:highlight w:val="none"/>
          <w:u w:val="single"/>
          <w:lang w:val="en-US" w:eastAsia="zh-CN" w:bidi="ar"/>
        </w:rPr>
        <w:t>1</w:t>
      </w:r>
      <w:r>
        <w:rPr>
          <w:rFonts w:hint="eastAsia" w:ascii="宋体" w:hAnsi="宋体" w:eastAsia="宋体" w:cs="宋体"/>
          <w:color w:val="auto"/>
          <w:kern w:val="0"/>
          <w:sz w:val="21"/>
          <w:szCs w:val="21"/>
          <w:highlight w:val="none"/>
          <w:u w:val="single"/>
          <w:lang w:eastAsia="zh-CN" w:bidi="ar"/>
        </w:rPr>
        <w:t>号航站楼低压成套配电柜委外保养劳务</w:t>
      </w:r>
      <w:r>
        <w:rPr>
          <w:rFonts w:hint="eastAsia" w:ascii="宋体" w:hAnsi="宋体" w:eastAsia="宋体" w:cs="宋体"/>
          <w:color w:val="auto"/>
          <w:kern w:val="0"/>
          <w:sz w:val="21"/>
          <w:szCs w:val="21"/>
          <w:highlight w:val="none"/>
          <w:u w:val="none"/>
          <w:lang w:bidi="ar"/>
        </w:rPr>
        <w:t>业务。</w:t>
      </w:r>
      <w:r>
        <w:rPr>
          <w:rFonts w:hint="eastAsia" w:ascii="宋体" w:hAnsi="宋体" w:eastAsia="宋体" w:cs="宋体"/>
          <w:color w:val="auto"/>
          <w:kern w:val="0"/>
          <w:sz w:val="21"/>
          <w:szCs w:val="21"/>
          <w:highlight w:val="none"/>
          <w:lang w:bidi="ar"/>
        </w:rPr>
        <w:t>乙方应严格履行承包业务中涉及的民航行业规定和安保责任，从事</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lang w:bidi="ar"/>
        </w:rPr>
        <w:t>经营管理活动应合法合规。</w:t>
      </w:r>
    </w:p>
    <w:p w14:paraId="274A8765">
      <w:pPr>
        <w:keepNext w:val="0"/>
        <w:keepLines w:val="0"/>
        <w:pageBreakBefore w:val="0"/>
        <w:widowControl/>
        <w:kinsoku/>
        <w:wordWrap/>
        <w:overflowPunct/>
        <w:topLinePunct w:val="0"/>
        <w:autoSpaceDE/>
        <w:autoSpaceDN/>
        <w:bidi w:val="0"/>
        <w:adjustRightInd/>
        <w:snapToGrid/>
        <w:spacing w:line="360" w:lineRule="auto"/>
        <w:ind w:left="0" w:right="0" w:rightChars="0" w:firstLine="422"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二、</w:t>
      </w:r>
      <w:r>
        <w:rPr>
          <w:rFonts w:hint="eastAsia" w:ascii="宋体" w:hAnsi="宋体" w:eastAsia="宋体" w:cs="宋体"/>
          <w:b/>
          <w:bCs/>
          <w:color w:val="auto"/>
          <w:kern w:val="0"/>
          <w:sz w:val="21"/>
          <w:szCs w:val="21"/>
          <w:highlight w:val="none"/>
          <w:lang w:bidi="ar"/>
        </w:rPr>
        <w:t>人员管理</w:t>
      </w:r>
    </w:p>
    <w:p w14:paraId="149E32C2">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乙方录用员工时有义务和责任考察员工的思想和</w:t>
      </w:r>
      <w:r>
        <w:rPr>
          <w:rFonts w:hint="eastAsia" w:ascii="宋体" w:hAnsi="宋体" w:eastAsia="宋体" w:cs="宋体"/>
          <w:color w:val="auto"/>
          <w:kern w:val="0"/>
          <w:sz w:val="21"/>
          <w:szCs w:val="21"/>
          <w:highlight w:val="none"/>
          <w:lang w:val="en-US" w:eastAsia="zh-CN" w:bidi="ar"/>
        </w:rPr>
        <w:t>品</w:t>
      </w:r>
      <w:r>
        <w:rPr>
          <w:rFonts w:hint="eastAsia" w:ascii="宋体" w:hAnsi="宋体" w:eastAsia="宋体" w:cs="宋体"/>
          <w:color w:val="auto"/>
          <w:kern w:val="0"/>
          <w:sz w:val="21"/>
          <w:szCs w:val="21"/>
          <w:highlight w:val="none"/>
          <w:lang w:bidi="ar"/>
        </w:rPr>
        <w:t>行，确保其无主观危害民航或社会的思想动机和可能性；上岗前</w:t>
      </w:r>
      <w:r>
        <w:rPr>
          <w:rFonts w:hint="eastAsia" w:ascii="宋体" w:hAnsi="宋体" w:eastAsia="宋体" w:cs="宋体"/>
          <w:color w:val="auto"/>
          <w:kern w:val="0"/>
          <w:sz w:val="21"/>
          <w:szCs w:val="21"/>
          <w:highlight w:val="none"/>
          <w:lang w:eastAsia="zh-CN" w:bidi="ar"/>
        </w:rPr>
        <w:t>乙方</w:t>
      </w:r>
      <w:r>
        <w:rPr>
          <w:rFonts w:hint="eastAsia" w:ascii="宋体" w:hAnsi="宋体" w:eastAsia="宋体" w:cs="宋体"/>
          <w:color w:val="auto"/>
          <w:kern w:val="0"/>
          <w:sz w:val="21"/>
          <w:szCs w:val="21"/>
          <w:highlight w:val="none"/>
          <w:lang w:bidi="ar"/>
        </w:rPr>
        <w:t>有责任和义务组织</w:t>
      </w:r>
      <w:r>
        <w:rPr>
          <w:rFonts w:hint="eastAsia" w:ascii="宋体" w:hAnsi="宋体" w:eastAsia="宋体" w:cs="宋体"/>
          <w:color w:val="auto"/>
          <w:kern w:val="0"/>
          <w:sz w:val="21"/>
          <w:szCs w:val="21"/>
          <w:highlight w:val="none"/>
          <w:lang w:eastAsia="zh-CN" w:bidi="ar"/>
        </w:rPr>
        <w:t>所属</w:t>
      </w:r>
      <w:r>
        <w:rPr>
          <w:rFonts w:hint="eastAsia" w:ascii="宋体" w:hAnsi="宋体" w:eastAsia="宋体" w:cs="宋体"/>
          <w:color w:val="auto"/>
          <w:kern w:val="0"/>
          <w:sz w:val="21"/>
          <w:szCs w:val="21"/>
          <w:highlight w:val="none"/>
          <w:lang w:bidi="ar"/>
        </w:rPr>
        <w:t>员工</w:t>
      </w:r>
      <w:r>
        <w:rPr>
          <w:rFonts w:hint="eastAsia" w:ascii="宋体" w:hAnsi="宋体" w:eastAsia="宋体" w:cs="宋体"/>
          <w:color w:val="auto"/>
          <w:kern w:val="0"/>
          <w:sz w:val="21"/>
          <w:szCs w:val="21"/>
          <w:highlight w:val="none"/>
          <w:lang w:eastAsia="zh-CN" w:bidi="ar"/>
        </w:rPr>
        <w:t>的</w:t>
      </w:r>
      <w:r>
        <w:rPr>
          <w:rFonts w:hint="eastAsia" w:ascii="宋体" w:hAnsi="宋体" w:eastAsia="宋体" w:cs="宋体"/>
          <w:color w:val="auto"/>
          <w:kern w:val="0"/>
          <w:sz w:val="21"/>
          <w:szCs w:val="21"/>
          <w:highlight w:val="none"/>
          <w:lang w:bidi="ar"/>
        </w:rPr>
        <w:t>安全思想、业务技能教育，提高思想认识和安全保障技能；</w:t>
      </w:r>
      <w:r>
        <w:rPr>
          <w:rFonts w:hint="eastAsia" w:ascii="宋体" w:hAnsi="宋体" w:eastAsia="宋体" w:cs="宋体"/>
          <w:color w:val="auto"/>
          <w:kern w:val="0"/>
          <w:sz w:val="21"/>
          <w:szCs w:val="21"/>
          <w:highlight w:val="none"/>
          <w:lang w:val="en-US" w:eastAsia="zh-CN" w:bidi="ar"/>
        </w:rPr>
        <w:t>乙方</w:t>
      </w:r>
      <w:r>
        <w:rPr>
          <w:rFonts w:hint="eastAsia" w:ascii="宋体" w:hAnsi="宋体" w:eastAsia="宋体" w:cs="宋体"/>
          <w:color w:val="auto"/>
          <w:kern w:val="0"/>
          <w:sz w:val="21"/>
          <w:szCs w:val="21"/>
          <w:highlight w:val="none"/>
          <w:lang w:bidi="ar"/>
        </w:rPr>
        <w:t>有责任和义务组织在岗</w:t>
      </w:r>
      <w:r>
        <w:rPr>
          <w:rFonts w:hint="eastAsia" w:ascii="宋体" w:hAnsi="宋体" w:eastAsia="宋体" w:cs="宋体"/>
          <w:color w:val="auto"/>
          <w:kern w:val="0"/>
          <w:sz w:val="21"/>
          <w:szCs w:val="21"/>
          <w:highlight w:val="none"/>
          <w:lang w:val="en-US" w:eastAsia="zh-CN" w:bidi="ar"/>
        </w:rPr>
        <w:t>员工</w:t>
      </w:r>
      <w:r>
        <w:rPr>
          <w:rFonts w:hint="eastAsia" w:ascii="宋体" w:hAnsi="宋体" w:eastAsia="宋体" w:cs="宋体"/>
          <w:color w:val="auto"/>
          <w:kern w:val="0"/>
          <w:sz w:val="21"/>
          <w:szCs w:val="21"/>
          <w:highlight w:val="none"/>
          <w:lang w:eastAsia="zh-CN" w:bidi="ar"/>
        </w:rPr>
        <w:t>的</w:t>
      </w:r>
      <w:r>
        <w:rPr>
          <w:rFonts w:hint="eastAsia" w:ascii="宋体" w:hAnsi="宋体" w:eastAsia="宋体" w:cs="宋体"/>
          <w:color w:val="auto"/>
          <w:kern w:val="0"/>
          <w:sz w:val="21"/>
          <w:szCs w:val="21"/>
          <w:highlight w:val="none"/>
          <w:lang w:bidi="ar"/>
        </w:rPr>
        <w:t>安全再教育</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乙方有责任和义务提供派驻本场作业人员的作业资质给甲方，甲方有权审核其作业资质，资质不符合者不可施工。</w:t>
      </w:r>
    </w:p>
    <w:p w14:paraId="38CAF611">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2.乙方有义务组织其员工参加甲方举办的安全教育和培训（包括安保培训）活动。乙方有义务配合甲方对其员工安全教育和培训（包括安保培训）效果的验证考核、测试工作。</w:t>
      </w:r>
    </w:p>
    <w:p w14:paraId="06DEB1B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甲方有义务</w:t>
      </w:r>
      <w:r>
        <w:rPr>
          <w:rFonts w:hint="eastAsia" w:ascii="宋体" w:hAnsi="宋体" w:eastAsia="宋体" w:cs="宋体"/>
          <w:color w:val="auto"/>
          <w:kern w:val="0"/>
          <w:sz w:val="21"/>
          <w:szCs w:val="21"/>
          <w:highlight w:val="none"/>
          <w:lang w:eastAsia="zh-CN" w:bidi="ar"/>
        </w:rPr>
        <w:t>免费</w:t>
      </w:r>
      <w:r>
        <w:rPr>
          <w:rFonts w:hint="eastAsia" w:ascii="宋体" w:hAnsi="宋体" w:eastAsia="宋体" w:cs="宋体"/>
          <w:color w:val="auto"/>
          <w:kern w:val="0"/>
          <w:sz w:val="21"/>
          <w:szCs w:val="21"/>
          <w:highlight w:val="none"/>
          <w:lang w:bidi="ar"/>
        </w:rPr>
        <w:t>提供给乙方用于其员工安全教育</w:t>
      </w:r>
      <w:r>
        <w:rPr>
          <w:rFonts w:hint="eastAsia" w:ascii="宋体" w:hAnsi="宋体" w:eastAsia="宋体" w:cs="宋体"/>
          <w:color w:val="auto"/>
          <w:kern w:val="0"/>
          <w:sz w:val="21"/>
          <w:szCs w:val="21"/>
          <w:highlight w:val="none"/>
          <w:lang w:val="en-US" w:eastAsia="zh-CN" w:bidi="ar"/>
        </w:rPr>
        <w:t>所必须</w:t>
      </w:r>
      <w:r>
        <w:rPr>
          <w:rFonts w:hint="eastAsia" w:ascii="宋体" w:hAnsi="宋体" w:eastAsia="宋体" w:cs="宋体"/>
          <w:color w:val="auto"/>
          <w:kern w:val="0"/>
          <w:sz w:val="21"/>
          <w:szCs w:val="21"/>
          <w:highlight w:val="none"/>
          <w:lang w:bidi="ar"/>
        </w:rPr>
        <w:t>的有关机场安全运行的教育培训资料</w:t>
      </w:r>
      <w:r>
        <w:rPr>
          <w:rFonts w:hint="eastAsia" w:ascii="宋体" w:hAnsi="宋体" w:eastAsia="宋体" w:cs="宋体"/>
          <w:color w:val="auto"/>
          <w:kern w:val="0"/>
          <w:sz w:val="21"/>
          <w:szCs w:val="21"/>
          <w:highlight w:val="none"/>
          <w:lang w:eastAsia="zh-CN" w:bidi="ar"/>
        </w:rPr>
        <w:t>。</w:t>
      </w:r>
    </w:p>
    <w:p w14:paraId="6575670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乙方有责任和义务教育和督导其派驻机场的员工遵守</w:t>
      </w:r>
      <w:r>
        <w:rPr>
          <w:rFonts w:hint="eastAsia" w:ascii="宋体" w:hAnsi="宋体" w:eastAsia="宋体" w:cs="宋体"/>
          <w:color w:val="auto"/>
          <w:kern w:val="0"/>
          <w:sz w:val="21"/>
          <w:szCs w:val="21"/>
          <w:highlight w:val="none"/>
          <w:lang w:val="en-US" w:eastAsia="zh-CN" w:bidi="ar"/>
        </w:rPr>
        <w:t>机场的</w:t>
      </w:r>
      <w:r>
        <w:rPr>
          <w:rFonts w:hint="eastAsia" w:ascii="宋体" w:hAnsi="宋体" w:eastAsia="宋体" w:cs="宋体"/>
          <w:color w:val="auto"/>
          <w:kern w:val="0"/>
          <w:sz w:val="21"/>
          <w:szCs w:val="21"/>
          <w:highlight w:val="none"/>
          <w:lang w:bidi="ar"/>
        </w:rPr>
        <w:t>制度、规章、规定、程序、通知等</w:t>
      </w:r>
      <w:r>
        <w:rPr>
          <w:rFonts w:hint="eastAsia" w:ascii="宋体" w:hAnsi="宋体" w:eastAsia="宋体" w:cs="宋体"/>
          <w:color w:val="auto"/>
          <w:kern w:val="0"/>
          <w:sz w:val="21"/>
          <w:szCs w:val="21"/>
          <w:highlight w:val="none"/>
          <w:lang w:eastAsia="zh-CN" w:bidi="ar"/>
        </w:rPr>
        <w:t>。</w:t>
      </w:r>
    </w:p>
    <w:p w14:paraId="31867352">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甲方有责任和义务及时通报机场方面需要乙方配合、落实的新制度、规章、规定、程序、通知等。</w:t>
      </w:r>
    </w:p>
    <w:p w14:paraId="614806CD">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甲乙双方均应认真履行中国民用航空安全保卫法律、法规和《国家民用航空安全保卫方案》以及《南京禄口国际机场航空安全保卫方案》相关要求，确保安全保卫措施落实到位。</w:t>
      </w:r>
    </w:p>
    <w:p w14:paraId="3848DEE1">
      <w:pPr>
        <w:keepNext w:val="0"/>
        <w:keepLines w:val="0"/>
        <w:pageBreakBefore w:val="0"/>
        <w:widowControl/>
        <w:kinsoku/>
        <w:wordWrap/>
        <w:overflowPunct/>
        <w:topLinePunct w:val="0"/>
        <w:autoSpaceDE/>
        <w:autoSpaceDN/>
        <w:bidi w:val="0"/>
        <w:adjustRightInd/>
        <w:snapToGrid/>
        <w:spacing w:line="360" w:lineRule="auto"/>
        <w:ind w:left="0" w:right="0" w:rightChars="0" w:firstLine="422" w:firstLineChars="200"/>
        <w:jc w:val="both"/>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三、</w:t>
      </w:r>
      <w:r>
        <w:rPr>
          <w:rFonts w:hint="eastAsia" w:ascii="宋体" w:hAnsi="宋体" w:eastAsia="宋体" w:cs="宋体"/>
          <w:b/>
          <w:bCs/>
          <w:color w:val="auto"/>
          <w:kern w:val="0"/>
          <w:sz w:val="21"/>
          <w:szCs w:val="21"/>
          <w:highlight w:val="none"/>
          <w:lang w:bidi="ar"/>
        </w:rPr>
        <w:t>控制区域证件管理</w:t>
      </w:r>
    </w:p>
    <w:p w14:paraId="7C80462D">
      <w:pPr>
        <w:keepNext w:val="0"/>
        <w:keepLines w:val="0"/>
        <w:pageBreakBefore w:val="0"/>
        <w:widowControl/>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甲方按照国家相关航空保安法律、法规和规章负责机场控制区域的封闭式分区管理；甲方负责对办理通行证的申请材料进行审核，对符合办证条件者，在规定时限内核发通行证件。</w:t>
      </w:r>
    </w:p>
    <w:p w14:paraId="1C1EBB9D">
      <w:pPr>
        <w:keepNext w:val="0"/>
        <w:keepLines w:val="0"/>
        <w:pageBreakBefore w:val="0"/>
        <w:widowControl/>
        <w:kinsoku/>
        <w:wordWrap/>
        <w:overflowPunct/>
        <w:topLinePunct w:val="0"/>
        <w:autoSpaceDE/>
        <w:autoSpaceDN/>
        <w:bidi w:val="0"/>
        <w:adjustRightInd/>
        <w:snapToGrid/>
        <w:spacing w:line="360" w:lineRule="auto"/>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乙方人员和车辆必须持有效证件，接受安全检查后，方可从指定的通道进入控制区，在控制区内主动接受和配合机场护卫、现场监管和督察人员的管理和检查；乙方有责任和义务对需办证人员和临时进入控制区人员事前进行背景调查和初审，对填报资料的真实性和正确性负责。</w:t>
      </w:r>
    </w:p>
    <w:p w14:paraId="63069B10">
      <w:pPr>
        <w:keepNext w:val="0"/>
        <w:keepLines w:val="0"/>
        <w:pageBreakBefore w:val="0"/>
        <w:widowControl/>
        <w:kinsoku/>
        <w:wordWrap/>
        <w:overflowPunct/>
        <w:topLinePunct w:val="0"/>
        <w:autoSpaceDE/>
        <w:autoSpaceDN/>
        <w:bidi w:val="0"/>
        <w:adjustRightInd/>
        <w:snapToGrid/>
        <w:spacing w:line="360" w:lineRule="auto"/>
        <w:ind w:left="0" w:right="0" w:rightChars="0" w:firstLine="422"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四、</w:t>
      </w:r>
      <w:r>
        <w:rPr>
          <w:rFonts w:hint="eastAsia" w:ascii="宋体" w:hAnsi="宋体" w:eastAsia="宋体" w:cs="宋体"/>
          <w:b/>
          <w:bCs/>
          <w:color w:val="auto"/>
          <w:kern w:val="0"/>
          <w:sz w:val="21"/>
          <w:szCs w:val="21"/>
          <w:highlight w:val="none"/>
          <w:lang w:bidi="ar"/>
        </w:rPr>
        <w:t>控制区域日常工作用具管理</w:t>
      </w:r>
    </w:p>
    <w:p w14:paraId="32365563">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甲方有责任对乙方</w:t>
      </w:r>
      <w:r>
        <w:rPr>
          <w:rFonts w:hint="eastAsia" w:ascii="宋体" w:hAnsi="宋体" w:eastAsia="宋体" w:cs="宋体"/>
          <w:color w:val="auto"/>
          <w:kern w:val="0"/>
          <w:sz w:val="21"/>
          <w:szCs w:val="21"/>
          <w:highlight w:val="none"/>
          <w:lang w:val="en-US" w:eastAsia="zh-CN" w:bidi="ar"/>
        </w:rPr>
        <w:t>带入</w:t>
      </w:r>
      <w:r>
        <w:rPr>
          <w:rFonts w:hint="eastAsia" w:ascii="宋体" w:hAnsi="宋体" w:eastAsia="宋体" w:cs="宋体"/>
          <w:color w:val="auto"/>
          <w:kern w:val="0"/>
          <w:sz w:val="21"/>
          <w:szCs w:val="21"/>
          <w:highlight w:val="none"/>
          <w:lang w:bidi="ar"/>
        </w:rPr>
        <w:t>控制区域</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lang w:bidi="ar"/>
        </w:rPr>
        <w:t>工作用具</w:t>
      </w:r>
      <w:r>
        <w:rPr>
          <w:rFonts w:hint="eastAsia" w:ascii="宋体" w:hAnsi="宋体" w:eastAsia="宋体" w:cs="宋体"/>
          <w:color w:val="auto"/>
          <w:kern w:val="0"/>
          <w:sz w:val="21"/>
          <w:szCs w:val="21"/>
          <w:highlight w:val="none"/>
          <w:lang w:val="en-US" w:eastAsia="zh-CN" w:bidi="ar"/>
        </w:rPr>
        <w:t>所采</w:t>
      </w:r>
      <w:r>
        <w:rPr>
          <w:rFonts w:hint="eastAsia" w:ascii="宋体" w:hAnsi="宋体" w:eastAsia="宋体" w:cs="宋体"/>
          <w:color w:val="auto"/>
          <w:kern w:val="0"/>
          <w:sz w:val="21"/>
          <w:szCs w:val="21"/>
          <w:highlight w:val="none"/>
          <w:lang w:bidi="ar"/>
        </w:rPr>
        <w:t>取的安全措施及措施的有效性进行监管。甲方有权责令撤出任何处于无效管理状态的工作用具，乙方有责任和义务予以配合。</w:t>
      </w:r>
    </w:p>
    <w:p w14:paraId="4F21BE2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乙方有责任和义务如实申报所需带入控制区的</w:t>
      </w:r>
      <w:r>
        <w:rPr>
          <w:rFonts w:hint="eastAsia" w:ascii="宋体" w:hAnsi="宋体" w:eastAsia="宋体" w:cs="宋体"/>
          <w:color w:val="auto"/>
          <w:kern w:val="0"/>
          <w:sz w:val="21"/>
          <w:szCs w:val="21"/>
          <w:highlight w:val="none"/>
          <w:lang w:val="en-US" w:eastAsia="zh-CN" w:bidi="ar"/>
        </w:rPr>
        <w:t>工作</w:t>
      </w:r>
      <w:r>
        <w:rPr>
          <w:rFonts w:hint="eastAsia" w:ascii="宋体" w:hAnsi="宋体" w:eastAsia="宋体" w:cs="宋体"/>
          <w:color w:val="auto"/>
          <w:kern w:val="0"/>
          <w:sz w:val="21"/>
          <w:szCs w:val="21"/>
          <w:highlight w:val="none"/>
          <w:lang w:bidi="ar"/>
        </w:rPr>
        <w:t>用具。甲方有权从严控制，非</w:t>
      </w:r>
      <w:r>
        <w:rPr>
          <w:rFonts w:hint="eastAsia" w:ascii="宋体" w:hAnsi="宋体" w:eastAsia="宋体" w:cs="宋体"/>
          <w:color w:val="auto"/>
          <w:kern w:val="0"/>
          <w:sz w:val="21"/>
          <w:szCs w:val="21"/>
          <w:highlight w:val="none"/>
          <w:lang w:eastAsia="zh-CN" w:bidi="ar"/>
        </w:rPr>
        <w:t>控制区</w:t>
      </w:r>
      <w:r>
        <w:rPr>
          <w:rFonts w:hint="eastAsia" w:ascii="宋体" w:hAnsi="宋体" w:eastAsia="宋体" w:cs="宋体"/>
          <w:color w:val="auto"/>
          <w:kern w:val="0"/>
          <w:sz w:val="21"/>
          <w:szCs w:val="21"/>
          <w:highlight w:val="none"/>
          <w:lang w:bidi="ar"/>
        </w:rPr>
        <w:t>工作必不可缺少的，不予办理审批手续。</w:t>
      </w:r>
    </w:p>
    <w:p w14:paraId="39FCD173">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乙方有责任和义务采取合适措施妥善保管、收藏好工作用具，如有减少或遗失需及时向甲方通报。</w:t>
      </w:r>
    </w:p>
    <w:p w14:paraId="34A60D57">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乙方申报的用具及其使用不得违反以下标准和原则：</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乙方不得将火柴、打火机等带入</w:t>
      </w:r>
      <w:r>
        <w:rPr>
          <w:rFonts w:hint="eastAsia" w:ascii="宋体" w:hAnsi="宋体" w:eastAsia="宋体" w:cs="宋体"/>
          <w:color w:val="auto"/>
          <w:kern w:val="0"/>
          <w:sz w:val="21"/>
          <w:szCs w:val="21"/>
          <w:highlight w:val="none"/>
          <w:lang w:eastAsia="zh-CN" w:bidi="ar"/>
        </w:rPr>
        <w:t>控制区</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Cs w:val="21"/>
          <w:highlight w:val="none"/>
          <w:lang w:bidi="ar"/>
        </w:rPr>
        <w:t>（2）禁止乙方携带管制刀具进入控制区。（3）乙方带入控制区的所有工作用具、刀具必须经过甲方和安检保卫部同意并登记。</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乙方带入的所有工作用具及刀具均不得交由旅客或其他</w:t>
      </w:r>
      <w:r>
        <w:rPr>
          <w:rFonts w:hint="eastAsia" w:ascii="宋体" w:hAnsi="宋体" w:eastAsia="宋体" w:cs="宋体"/>
          <w:color w:val="auto"/>
          <w:kern w:val="0"/>
          <w:sz w:val="21"/>
          <w:szCs w:val="21"/>
          <w:highlight w:val="none"/>
          <w:lang w:val="en-US" w:eastAsia="zh-CN" w:bidi="ar"/>
        </w:rPr>
        <w:t>商</w:t>
      </w:r>
      <w:r>
        <w:rPr>
          <w:rFonts w:hint="eastAsia" w:ascii="宋体" w:hAnsi="宋体" w:eastAsia="宋体" w:cs="宋体"/>
          <w:color w:val="auto"/>
          <w:kern w:val="0"/>
          <w:sz w:val="21"/>
          <w:szCs w:val="21"/>
          <w:highlight w:val="none"/>
          <w:lang w:bidi="ar"/>
        </w:rPr>
        <w:t>家使用。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乙方带入的所有工作</w:t>
      </w:r>
      <w:r>
        <w:rPr>
          <w:rFonts w:hint="eastAsia" w:ascii="宋体" w:hAnsi="宋体" w:eastAsia="宋体" w:cs="宋体"/>
          <w:color w:val="auto"/>
          <w:kern w:val="0"/>
          <w:sz w:val="21"/>
          <w:szCs w:val="21"/>
          <w:highlight w:val="none"/>
          <w:lang w:eastAsia="zh-CN" w:bidi="ar"/>
        </w:rPr>
        <w:t>用</w:t>
      </w:r>
      <w:r>
        <w:rPr>
          <w:rFonts w:hint="eastAsia" w:ascii="宋体" w:hAnsi="宋体" w:eastAsia="宋体" w:cs="宋体"/>
          <w:color w:val="auto"/>
          <w:kern w:val="0"/>
          <w:sz w:val="21"/>
          <w:szCs w:val="21"/>
          <w:highlight w:val="none"/>
          <w:lang w:bidi="ar"/>
        </w:rPr>
        <w:t>具</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刀具在</w:t>
      </w:r>
      <w:r>
        <w:rPr>
          <w:rFonts w:hint="eastAsia" w:ascii="宋体" w:hAnsi="宋体" w:eastAsia="宋体" w:cs="宋体"/>
          <w:color w:val="auto"/>
          <w:kern w:val="0"/>
          <w:sz w:val="21"/>
          <w:szCs w:val="21"/>
          <w:highlight w:val="none"/>
          <w:lang w:eastAsia="zh-CN" w:bidi="ar"/>
        </w:rPr>
        <w:t>损坏或</w:t>
      </w:r>
      <w:r>
        <w:rPr>
          <w:rFonts w:hint="eastAsia" w:ascii="宋体" w:hAnsi="宋体" w:eastAsia="宋体" w:cs="宋体"/>
          <w:color w:val="auto"/>
          <w:kern w:val="0"/>
          <w:sz w:val="21"/>
          <w:szCs w:val="21"/>
          <w:highlight w:val="none"/>
          <w:lang w:bidi="ar"/>
        </w:rPr>
        <w:t>不需要使用时</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需</w:t>
      </w:r>
      <w:r>
        <w:rPr>
          <w:rFonts w:hint="eastAsia" w:ascii="宋体" w:hAnsi="宋体" w:eastAsia="宋体" w:cs="宋体"/>
          <w:color w:val="auto"/>
          <w:kern w:val="0"/>
          <w:sz w:val="21"/>
          <w:szCs w:val="21"/>
          <w:highlight w:val="none"/>
          <w:lang w:bidi="ar"/>
        </w:rPr>
        <w:t>报甲方</w:t>
      </w:r>
      <w:r>
        <w:rPr>
          <w:rFonts w:hint="eastAsia" w:ascii="宋体" w:hAnsi="宋体" w:eastAsia="宋体" w:cs="宋体"/>
          <w:color w:val="auto"/>
          <w:kern w:val="0"/>
          <w:sz w:val="21"/>
          <w:szCs w:val="21"/>
          <w:highlight w:val="none"/>
          <w:lang w:eastAsia="zh-CN" w:bidi="ar"/>
        </w:rPr>
        <w:t>和安检保卫部</w:t>
      </w:r>
      <w:r>
        <w:rPr>
          <w:rFonts w:hint="eastAsia" w:ascii="宋体" w:hAnsi="宋体" w:eastAsia="宋体" w:cs="宋体"/>
          <w:color w:val="auto"/>
          <w:kern w:val="0"/>
          <w:sz w:val="21"/>
          <w:szCs w:val="21"/>
          <w:highlight w:val="none"/>
          <w:lang w:bidi="ar"/>
        </w:rPr>
        <w:t>给予注销</w:t>
      </w:r>
      <w:r>
        <w:rPr>
          <w:rFonts w:hint="eastAsia" w:ascii="宋体" w:hAnsi="宋体" w:eastAsia="宋体" w:cs="宋体"/>
          <w:color w:val="auto"/>
          <w:kern w:val="0"/>
          <w:sz w:val="21"/>
          <w:szCs w:val="21"/>
          <w:highlight w:val="none"/>
          <w:lang w:eastAsia="zh-CN" w:bidi="ar"/>
        </w:rPr>
        <w:t>登记并</w:t>
      </w:r>
      <w:r>
        <w:rPr>
          <w:rFonts w:hint="eastAsia" w:ascii="宋体" w:hAnsi="宋体" w:eastAsia="宋体" w:cs="宋体"/>
          <w:color w:val="auto"/>
          <w:kern w:val="0"/>
          <w:sz w:val="21"/>
          <w:szCs w:val="21"/>
          <w:highlight w:val="none"/>
          <w:lang w:bidi="ar"/>
        </w:rPr>
        <w:t>撤出控制区，避免不必要的风险。</w:t>
      </w:r>
    </w:p>
    <w:p w14:paraId="41D477CC">
      <w:pPr>
        <w:keepNext w:val="0"/>
        <w:keepLines w:val="0"/>
        <w:pageBreakBefore w:val="0"/>
        <w:widowControl/>
        <w:kinsoku/>
        <w:wordWrap/>
        <w:overflowPunct/>
        <w:topLinePunct w:val="0"/>
        <w:autoSpaceDE/>
        <w:autoSpaceDN/>
        <w:bidi w:val="0"/>
        <w:adjustRightInd/>
        <w:snapToGrid/>
        <w:spacing w:line="360" w:lineRule="auto"/>
        <w:ind w:left="0" w:right="0" w:rightChars="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五、</w:t>
      </w:r>
      <w:r>
        <w:rPr>
          <w:rFonts w:hint="eastAsia" w:ascii="宋体" w:hAnsi="宋体" w:eastAsia="宋体" w:cs="宋体"/>
          <w:b/>
          <w:bCs/>
          <w:color w:val="auto"/>
          <w:kern w:val="0"/>
          <w:sz w:val="21"/>
          <w:szCs w:val="21"/>
          <w:highlight w:val="none"/>
          <w:lang w:bidi="ar"/>
        </w:rPr>
        <w:t>质量控制</w:t>
      </w:r>
    </w:p>
    <w:p w14:paraId="36A23604">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甲方依据民航局有关规章、标准与规范性文件、甲方有关规章制度对乙方就本协议的落实情况进行监督与检查，对违反本协议的相关行为，甲方将采取包括并不仅限于口头警告、下发整改通知（建议）书、信息通报、机场控制区限制通行等措施，直至安全隐患或问题妥善解决。</w:t>
      </w:r>
    </w:p>
    <w:p w14:paraId="4998C930">
      <w:pPr>
        <w:keepNext w:val="0"/>
        <w:keepLines w:val="0"/>
        <w:pageBreakBefore w:val="0"/>
        <w:widowControl/>
        <w:kinsoku/>
        <w:wordWrap/>
        <w:overflowPunct/>
        <w:topLinePunct w:val="0"/>
        <w:autoSpaceDE/>
        <w:autoSpaceDN/>
        <w:bidi w:val="0"/>
        <w:adjustRightInd/>
        <w:snapToGrid/>
        <w:spacing w:line="360" w:lineRule="auto"/>
        <w:ind w:left="0" w:right="0" w:rightChars="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六、</w:t>
      </w:r>
      <w:r>
        <w:rPr>
          <w:rFonts w:hint="eastAsia" w:ascii="宋体" w:hAnsi="宋体" w:eastAsia="宋体" w:cs="宋体"/>
          <w:b/>
          <w:bCs/>
          <w:color w:val="auto"/>
          <w:kern w:val="0"/>
          <w:sz w:val="21"/>
          <w:szCs w:val="21"/>
          <w:highlight w:val="none"/>
          <w:lang w:bidi="ar"/>
        </w:rPr>
        <w:t>违约责任</w:t>
      </w:r>
    </w:p>
    <w:p w14:paraId="1CF5F586">
      <w:pPr>
        <w:keepNext w:val="0"/>
        <w:keepLines w:val="0"/>
        <w:pageBreakBefore w:val="0"/>
        <w:widowControl/>
        <w:kinsoku/>
        <w:wordWrap/>
        <w:overflowPunct/>
        <w:topLinePunct w:val="0"/>
        <w:autoSpaceDE/>
        <w:autoSpaceDN/>
        <w:bidi w:val="0"/>
        <w:adjustRightInd/>
        <w:spacing w:line="360" w:lineRule="auto"/>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bidi="ar"/>
        </w:rPr>
        <w:t>如发生违约，违约方应赔偿由此给对方造成的损失。</w:t>
      </w:r>
    </w:p>
    <w:p w14:paraId="425CCCF9">
      <w:pPr>
        <w:keepNext w:val="0"/>
        <w:keepLines w:val="0"/>
        <w:pageBreakBefore w:val="0"/>
        <w:widowControl/>
        <w:kinsoku/>
        <w:wordWrap/>
        <w:overflowPunct/>
        <w:topLinePunct w:val="0"/>
        <w:autoSpaceDE/>
        <w:autoSpaceDN/>
        <w:bidi w:val="0"/>
        <w:adjustRightInd/>
        <w:snapToGrid/>
        <w:spacing w:line="360" w:lineRule="auto"/>
        <w:ind w:left="0" w:right="0" w:rightChars="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七、</w:t>
      </w:r>
      <w:r>
        <w:rPr>
          <w:rFonts w:hint="eastAsia" w:ascii="宋体" w:hAnsi="宋体" w:eastAsia="宋体" w:cs="宋体"/>
          <w:b/>
          <w:bCs/>
          <w:color w:val="auto"/>
          <w:kern w:val="0"/>
          <w:sz w:val="21"/>
          <w:szCs w:val="21"/>
          <w:highlight w:val="none"/>
          <w:lang w:bidi="ar"/>
        </w:rPr>
        <w:t>纠纷与解决</w:t>
      </w:r>
    </w:p>
    <w:p w14:paraId="38D47972">
      <w:pPr>
        <w:keepNext w:val="0"/>
        <w:keepLines w:val="0"/>
        <w:pageBreakBefore w:val="0"/>
        <w:widowControl/>
        <w:kinsoku/>
        <w:wordWrap/>
        <w:overflowPunct/>
        <w:topLinePunct w:val="0"/>
        <w:autoSpaceDE/>
        <w:autoSpaceDN/>
        <w:bidi w:val="0"/>
        <w:adjustRightInd/>
        <w:spacing w:line="360" w:lineRule="auto"/>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未尽事宜，双方协商解决。有关本协议的争议，</w:t>
      </w:r>
      <w:r>
        <w:rPr>
          <w:rFonts w:hint="eastAsia" w:ascii="宋体" w:hAnsi="宋体" w:eastAsia="宋体" w:cs="宋体"/>
          <w:color w:val="auto"/>
          <w:sz w:val="21"/>
          <w:szCs w:val="21"/>
          <w:highlight w:val="none"/>
        </w:rPr>
        <w:t>甲乙双方应协商解决，若未能达成共识，向甲方所在地人民法院提起诉讼。</w:t>
      </w:r>
    </w:p>
    <w:p w14:paraId="0A186C5A">
      <w:pPr>
        <w:keepNext w:val="0"/>
        <w:keepLines w:val="0"/>
        <w:pageBreakBefore w:val="0"/>
        <w:widowControl/>
        <w:kinsoku/>
        <w:wordWrap/>
        <w:overflowPunct/>
        <w:topLinePunct w:val="0"/>
        <w:autoSpaceDE/>
        <w:autoSpaceDN/>
        <w:bidi w:val="0"/>
        <w:adjustRightInd/>
        <w:snapToGrid/>
        <w:spacing w:line="360" w:lineRule="auto"/>
        <w:ind w:left="0" w:right="0" w:rightChars="0" w:firstLine="422"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八、</w:t>
      </w:r>
      <w:r>
        <w:rPr>
          <w:rFonts w:hint="eastAsia" w:ascii="宋体" w:hAnsi="宋体" w:eastAsia="宋体" w:cs="宋体"/>
          <w:b/>
          <w:bCs/>
          <w:color w:val="auto"/>
          <w:kern w:val="0"/>
          <w:sz w:val="21"/>
          <w:szCs w:val="21"/>
          <w:highlight w:val="none"/>
          <w:lang w:bidi="ar"/>
        </w:rPr>
        <w:t>合同</w:t>
      </w:r>
      <w:r>
        <w:rPr>
          <w:rFonts w:hint="eastAsia" w:ascii="宋体" w:hAnsi="宋体" w:eastAsia="宋体" w:cs="宋体"/>
          <w:b/>
          <w:bCs/>
          <w:color w:val="auto"/>
          <w:kern w:val="0"/>
          <w:sz w:val="21"/>
          <w:szCs w:val="21"/>
          <w:highlight w:val="none"/>
          <w:lang w:eastAsia="zh-CN" w:bidi="ar"/>
        </w:rPr>
        <w:t>生效</w:t>
      </w:r>
      <w:r>
        <w:rPr>
          <w:rFonts w:hint="eastAsia" w:ascii="宋体" w:hAnsi="宋体" w:eastAsia="宋体" w:cs="宋体"/>
          <w:b/>
          <w:bCs/>
          <w:color w:val="auto"/>
          <w:kern w:val="0"/>
          <w:sz w:val="21"/>
          <w:szCs w:val="21"/>
          <w:highlight w:val="none"/>
          <w:lang w:bidi="ar"/>
        </w:rPr>
        <w:t>期限</w:t>
      </w:r>
    </w:p>
    <w:p w14:paraId="3F9A91AB">
      <w:pPr>
        <w:keepNext w:val="0"/>
        <w:keepLines w:val="0"/>
        <w:pageBreakBefore w:val="0"/>
        <w:widowControl/>
        <w:kinsoku/>
        <w:wordWrap/>
        <w:overflowPunct/>
        <w:topLinePunct w:val="0"/>
        <w:autoSpaceDE/>
        <w:autoSpaceDN/>
        <w:bidi w:val="0"/>
        <w:adjustRightInd/>
        <w:snapToGrid/>
        <w:spacing w:line="360" w:lineRule="auto"/>
        <w:ind w:left="0" w:right="0" w:rightChars="0"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本协议一式</w:t>
      </w:r>
      <w:r>
        <w:rPr>
          <w:rFonts w:hint="eastAsia" w:ascii="宋体" w:hAnsi="宋体" w:eastAsia="宋体" w:cs="宋体"/>
          <w:color w:val="auto"/>
          <w:kern w:val="0"/>
          <w:sz w:val="21"/>
          <w:szCs w:val="21"/>
          <w:highlight w:val="none"/>
          <w:lang w:eastAsia="zh-CN" w:bidi="ar"/>
        </w:rPr>
        <w:t>肆</w:t>
      </w:r>
      <w:r>
        <w:rPr>
          <w:rFonts w:hint="eastAsia" w:ascii="宋体" w:hAnsi="宋体" w:eastAsia="宋体" w:cs="宋体"/>
          <w:color w:val="auto"/>
          <w:kern w:val="0"/>
          <w:sz w:val="21"/>
          <w:szCs w:val="21"/>
          <w:highlight w:val="none"/>
          <w:lang w:bidi="ar"/>
        </w:rPr>
        <w:t>份，甲方持</w:t>
      </w:r>
      <w:r>
        <w:rPr>
          <w:rFonts w:hint="eastAsia" w:ascii="宋体" w:hAnsi="宋体" w:eastAsia="宋体" w:cs="宋体"/>
          <w:color w:val="auto"/>
          <w:kern w:val="0"/>
          <w:sz w:val="21"/>
          <w:szCs w:val="21"/>
          <w:highlight w:val="none"/>
          <w:lang w:eastAsia="zh-CN" w:bidi="ar"/>
        </w:rPr>
        <w:t>贰</w:t>
      </w:r>
      <w:r>
        <w:rPr>
          <w:rFonts w:hint="eastAsia" w:ascii="宋体" w:hAnsi="宋体" w:eastAsia="宋体" w:cs="宋体"/>
          <w:color w:val="auto"/>
          <w:kern w:val="0"/>
          <w:sz w:val="21"/>
          <w:szCs w:val="21"/>
          <w:highlight w:val="none"/>
          <w:lang w:bidi="ar"/>
        </w:rPr>
        <w:t>份，乙方持</w:t>
      </w:r>
      <w:r>
        <w:rPr>
          <w:rFonts w:hint="eastAsia" w:ascii="宋体" w:hAnsi="宋体" w:eastAsia="宋体" w:cs="宋体"/>
          <w:color w:val="auto"/>
          <w:kern w:val="0"/>
          <w:sz w:val="21"/>
          <w:szCs w:val="21"/>
          <w:highlight w:val="none"/>
          <w:lang w:eastAsia="zh-CN" w:bidi="ar"/>
        </w:rPr>
        <w:t>贰</w:t>
      </w:r>
      <w:r>
        <w:rPr>
          <w:rFonts w:hint="eastAsia" w:ascii="宋体" w:hAnsi="宋体" w:eastAsia="宋体" w:cs="宋体"/>
          <w:color w:val="auto"/>
          <w:kern w:val="0"/>
          <w:sz w:val="21"/>
          <w:szCs w:val="21"/>
          <w:highlight w:val="none"/>
          <w:lang w:bidi="ar"/>
        </w:rPr>
        <w:t>份。本协议自甲乙双方签字盖章之日起生效；</w:t>
      </w:r>
    </w:p>
    <w:p w14:paraId="74717866">
      <w:pPr>
        <w:keepNext w:val="0"/>
        <w:keepLines w:val="0"/>
        <w:pageBreakBefore w:val="0"/>
        <w:widowControl/>
        <w:kinsoku/>
        <w:wordWrap/>
        <w:overflowPunct/>
        <w:topLinePunct w:val="0"/>
        <w:autoSpaceDE/>
        <w:autoSpaceDN/>
        <w:bidi w:val="0"/>
        <w:adjustRightInd/>
        <w:snapToGrid/>
        <w:spacing w:line="360" w:lineRule="auto"/>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本协议中所涉及的相关规章、标准及规范性文件的内容如有更新，以最新版本为准。</w:t>
      </w:r>
    </w:p>
    <w:p w14:paraId="2A025CCA">
      <w:pPr>
        <w:keepNext w:val="0"/>
        <w:keepLines w:val="0"/>
        <w:pageBreakBefore w:val="0"/>
        <w:kinsoku/>
        <w:wordWrap/>
        <w:overflowPunct/>
        <w:topLinePunct w:val="0"/>
        <w:autoSpaceDE/>
        <w:autoSpaceDN/>
        <w:bidi w:val="0"/>
        <w:adjustRightInd/>
        <w:snapToGrid/>
        <w:spacing w:line="360" w:lineRule="auto"/>
        <w:ind w:left="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双方联系人</w:t>
      </w:r>
    </w:p>
    <w:p w14:paraId="4D78C943">
      <w:pPr>
        <w:keepNext w:val="0"/>
        <w:keepLines w:val="0"/>
        <w:pageBreakBefore w:val="0"/>
        <w:kinsoku/>
        <w:wordWrap/>
        <w:overflowPunct/>
        <w:topLinePunct w:val="0"/>
        <w:autoSpaceDE/>
        <w:autoSpaceDN/>
        <w:bidi w:val="0"/>
        <w:adjustRightInd/>
        <w:snapToGrid/>
        <w:spacing w:line="360" w:lineRule="auto"/>
        <w:ind w:left="0" w:right="0" w:righ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甲方联系人：</w:t>
      </w:r>
      <w:r>
        <w:rPr>
          <w:rFonts w:hint="eastAsia" w:ascii="宋体" w:hAnsi="宋体" w:eastAsia="宋体" w:cs="宋体"/>
          <w:color w:val="auto"/>
          <w:sz w:val="21"/>
          <w:szCs w:val="21"/>
          <w:highlight w:val="none"/>
          <w:lang w:eastAsia="zh-CN"/>
        </w:rPr>
        <w:t>周工</w:t>
      </w:r>
      <w:r>
        <w:rPr>
          <w:rFonts w:hint="eastAsia" w:ascii="宋体" w:hAnsi="宋体" w:eastAsia="宋体" w:cs="宋体"/>
          <w:color w:val="auto"/>
          <w:sz w:val="21"/>
          <w:szCs w:val="21"/>
          <w:highlight w:val="none"/>
          <w:lang w:val="en-US" w:eastAsia="zh-CN"/>
        </w:rPr>
        <w:t xml:space="preserve">                </w:t>
      </w:r>
    </w:p>
    <w:p w14:paraId="3FBBD24D">
      <w:pPr>
        <w:keepNext w:val="0"/>
        <w:keepLines w:val="0"/>
        <w:pageBreakBefore w:val="0"/>
        <w:kinsoku/>
        <w:wordWrap/>
        <w:overflowPunct/>
        <w:topLinePunct w:val="0"/>
        <w:autoSpaceDE/>
        <w:autoSpaceDN/>
        <w:bidi w:val="0"/>
        <w:adjustRightInd/>
        <w:snapToGrid/>
        <w:spacing w:line="360" w:lineRule="auto"/>
        <w:ind w:left="0" w:right="0" w:righ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025-69821255</w:t>
      </w:r>
    </w:p>
    <w:p w14:paraId="5E568059">
      <w:pPr>
        <w:keepNext w:val="0"/>
        <w:keepLines w:val="0"/>
        <w:pageBreakBefore w:val="0"/>
        <w:kinsoku/>
        <w:wordWrap/>
        <w:overflowPunct/>
        <w:topLinePunct w:val="0"/>
        <w:autoSpaceDE/>
        <w:autoSpaceDN/>
        <w:bidi w:val="0"/>
        <w:adjustRightInd/>
        <w:snapToGrid/>
        <w:spacing w:line="360" w:lineRule="auto"/>
        <w:ind w:left="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南京市江宁区翔鹰二路九号</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号楼二楼</w:t>
      </w:r>
    </w:p>
    <w:p w14:paraId="0A9003B7">
      <w:pPr>
        <w:keepNext w:val="0"/>
        <w:keepLines w:val="0"/>
        <w:pageBreakBefore w:val="0"/>
        <w:kinsoku/>
        <w:wordWrap/>
        <w:overflowPunct/>
        <w:topLinePunct w:val="0"/>
        <w:autoSpaceDE/>
        <w:autoSpaceDN/>
        <w:bidi w:val="0"/>
        <w:adjustRightInd/>
        <w:snapToGrid/>
        <w:spacing w:line="360" w:lineRule="auto"/>
        <w:ind w:left="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乙方联系人：</w:t>
      </w:r>
    </w:p>
    <w:p w14:paraId="5A0FE91F">
      <w:pPr>
        <w:keepNext w:val="0"/>
        <w:keepLines w:val="0"/>
        <w:pageBreakBefore w:val="0"/>
        <w:kinsoku/>
        <w:wordWrap/>
        <w:overflowPunct/>
        <w:topLinePunct w:val="0"/>
        <w:autoSpaceDE/>
        <w:autoSpaceDN/>
        <w:bidi w:val="0"/>
        <w:adjustRightInd/>
        <w:snapToGrid/>
        <w:spacing w:line="360" w:lineRule="auto"/>
        <w:ind w:left="0" w:right="0" w:righ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联系电话：</w:t>
      </w:r>
    </w:p>
    <w:p w14:paraId="08A395BC">
      <w:pPr>
        <w:keepNext w:val="0"/>
        <w:keepLines w:val="0"/>
        <w:pageBreakBefore w:val="0"/>
        <w:kinsoku/>
        <w:wordWrap/>
        <w:overflowPunct/>
        <w:topLinePunct w:val="0"/>
        <w:autoSpaceDE/>
        <w:autoSpaceDN/>
        <w:bidi w:val="0"/>
        <w:adjustRightInd/>
        <w:snapToGrid/>
        <w:spacing w:line="360" w:lineRule="auto"/>
        <w:ind w:left="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21E69EB5">
      <w:pPr>
        <w:pStyle w:val="2"/>
        <w:rPr>
          <w:rFonts w:hint="eastAsia"/>
        </w:rPr>
      </w:pPr>
    </w:p>
    <w:p w14:paraId="4EAB8912">
      <w:pPr>
        <w:keepNext w:val="0"/>
        <w:keepLines w:val="0"/>
        <w:pageBreakBefore w:val="0"/>
        <w:kinsoku/>
        <w:wordWrap/>
        <w:overflowPunct/>
        <w:topLinePunct w:val="0"/>
        <w:autoSpaceDE/>
        <w:autoSpaceDN/>
        <w:bidi w:val="0"/>
        <w:adjustRightInd/>
        <w:spacing w:line="360" w:lineRule="auto"/>
        <w:ind w:left="0" w:right="0" w:rightChars="0"/>
        <w:textAlignment w:val="auto"/>
        <w:rPr>
          <w:rFonts w:hint="eastAsia" w:ascii="宋体" w:hAnsi="宋体" w:eastAsia="宋体" w:cs="宋体"/>
          <w:color w:val="auto"/>
          <w:sz w:val="21"/>
          <w:szCs w:val="21"/>
          <w:highlight w:val="none"/>
        </w:rPr>
      </w:pPr>
    </w:p>
    <w:p w14:paraId="69DF753E">
      <w:pPr>
        <w:pStyle w:val="9"/>
        <w:rPr>
          <w:rFonts w:hint="eastAsia" w:ascii="宋体" w:hAnsi="宋体" w:eastAsia="宋体" w:cs="宋体"/>
          <w:b/>
          <w:color w:val="auto"/>
          <w:kern w:val="0"/>
          <w:sz w:val="21"/>
          <w:szCs w:val="21"/>
          <w:highlight w:val="none"/>
        </w:rPr>
      </w:pPr>
    </w:p>
    <w:p w14:paraId="0D142498">
      <w:pPr>
        <w:pStyle w:val="9"/>
        <w:rPr>
          <w:rFonts w:hint="eastAsia" w:ascii="宋体" w:hAnsi="宋体" w:eastAsia="宋体" w:cs="宋体"/>
          <w:b/>
          <w:color w:val="auto"/>
          <w:kern w:val="0"/>
          <w:sz w:val="21"/>
          <w:szCs w:val="21"/>
          <w:highlight w:val="none"/>
        </w:rPr>
      </w:pPr>
    </w:p>
    <w:p w14:paraId="682494C9">
      <w:pPr>
        <w:keepNext w:val="0"/>
        <w:keepLines w:val="0"/>
        <w:pageBreakBefore w:val="0"/>
        <w:kinsoku/>
        <w:wordWrap/>
        <w:overflowPunct/>
        <w:topLinePunct w:val="0"/>
        <w:autoSpaceDE/>
        <w:autoSpaceDN/>
        <w:bidi w:val="0"/>
        <w:adjustRightInd/>
        <w:snapToGrid w:val="0"/>
        <w:spacing w:line="360" w:lineRule="auto"/>
        <w:ind w:left="0" w:right="0" w:rightChars="0" w:hanging="4111" w:hangingChars="1950"/>
        <w:jc w:val="both"/>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甲</w:t>
      </w:r>
      <w:r>
        <w:rPr>
          <w:rFonts w:hint="eastAsia" w:ascii="宋体" w:hAnsi="宋体" w:eastAsia="宋体" w:cs="宋体"/>
          <w:b/>
          <w:color w:val="auto"/>
          <w:kern w:val="0"/>
          <w:sz w:val="21"/>
          <w:szCs w:val="21"/>
          <w:highlight w:val="none"/>
          <w:lang w:val="en-US" w:eastAsia="zh-CN"/>
        </w:rPr>
        <w:t xml:space="preserve"> </w:t>
      </w:r>
      <w:r>
        <w:rPr>
          <w:rFonts w:hint="eastAsia" w:ascii="宋体" w:hAnsi="宋体" w:eastAsia="宋体" w:cs="宋体"/>
          <w:b/>
          <w:color w:val="auto"/>
          <w:kern w:val="0"/>
          <w:sz w:val="21"/>
          <w:szCs w:val="21"/>
          <w:highlight w:val="none"/>
        </w:rPr>
        <w:t>方（盖章）：</w:t>
      </w:r>
      <w:r>
        <w:rPr>
          <w:rFonts w:hint="eastAsia" w:ascii="宋体" w:hAnsi="宋体" w:eastAsia="宋体" w:cs="宋体"/>
          <w:b/>
          <w:color w:val="auto"/>
          <w:kern w:val="0"/>
          <w:sz w:val="21"/>
          <w:szCs w:val="21"/>
          <w:highlight w:val="none"/>
          <w:lang w:eastAsia="zh-CN"/>
        </w:rPr>
        <w:t>南京禄口国际机场空港科技有限公司</w:t>
      </w:r>
      <w:r>
        <w:rPr>
          <w:rFonts w:hint="eastAsia" w:ascii="宋体" w:hAnsi="宋体" w:eastAsia="宋体" w:cs="宋体"/>
          <w:b/>
          <w:color w:val="auto"/>
          <w:kern w:val="0"/>
          <w:sz w:val="21"/>
          <w:szCs w:val="21"/>
          <w:highlight w:val="none"/>
        </w:rPr>
        <w:t xml:space="preserve"> </w:t>
      </w:r>
      <w:r>
        <w:rPr>
          <w:rFonts w:hint="eastAsia" w:ascii="宋体" w:hAnsi="宋体" w:eastAsia="宋体" w:cs="宋体"/>
          <w:b/>
          <w:color w:val="auto"/>
          <w:kern w:val="0"/>
          <w:sz w:val="21"/>
          <w:szCs w:val="21"/>
          <w:highlight w:val="none"/>
          <w:lang w:val="en-US" w:eastAsia="zh-CN"/>
        </w:rPr>
        <w:t xml:space="preserve">      </w:t>
      </w:r>
      <w:r>
        <w:rPr>
          <w:rFonts w:hint="eastAsia" w:ascii="宋体" w:hAnsi="宋体" w:eastAsia="宋体" w:cs="宋体"/>
          <w:b/>
          <w:color w:val="auto"/>
          <w:kern w:val="0"/>
          <w:sz w:val="21"/>
          <w:szCs w:val="21"/>
          <w:highlight w:val="none"/>
        </w:rPr>
        <w:t>乙</w:t>
      </w:r>
      <w:r>
        <w:rPr>
          <w:rFonts w:hint="eastAsia" w:ascii="宋体" w:hAnsi="宋体" w:eastAsia="宋体" w:cs="宋体"/>
          <w:b/>
          <w:color w:val="auto"/>
          <w:kern w:val="0"/>
          <w:sz w:val="21"/>
          <w:szCs w:val="21"/>
          <w:highlight w:val="none"/>
          <w:lang w:val="en-US" w:eastAsia="zh-CN"/>
        </w:rPr>
        <w:t xml:space="preserve"> </w:t>
      </w:r>
      <w:r>
        <w:rPr>
          <w:rFonts w:hint="eastAsia" w:ascii="宋体" w:hAnsi="宋体" w:eastAsia="宋体" w:cs="宋体"/>
          <w:b/>
          <w:color w:val="auto"/>
          <w:kern w:val="0"/>
          <w:sz w:val="21"/>
          <w:szCs w:val="21"/>
          <w:highlight w:val="none"/>
        </w:rPr>
        <w:t>方（盖章）：</w:t>
      </w:r>
    </w:p>
    <w:p w14:paraId="23675440">
      <w:pPr>
        <w:keepNext w:val="0"/>
        <w:keepLines w:val="0"/>
        <w:pageBreakBefore w:val="0"/>
        <w:kinsoku/>
        <w:wordWrap/>
        <w:overflowPunct/>
        <w:topLinePunct w:val="0"/>
        <w:autoSpaceDE/>
        <w:autoSpaceDN/>
        <w:bidi w:val="0"/>
        <w:adjustRightInd/>
        <w:snapToGrid w:val="0"/>
        <w:spacing w:line="360" w:lineRule="auto"/>
        <w:ind w:left="0" w:right="0" w:rightChars="0" w:firstLine="1476" w:firstLineChars="700"/>
        <w:jc w:val="both"/>
        <w:textAlignment w:val="auto"/>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rPr>
        <w:t xml:space="preserve">      </w:t>
      </w:r>
      <w:r>
        <w:rPr>
          <w:rFonts w:hint="eastAsia" w:ascii="宋体" w:hAnsi="宋体" w:eastAsia="宋体" w:cs="宋体"/>
          <w:b/>
          <w:color w:val="auto"/>
          <w:kern w:val="0"/>
          <w:sz w:val="21"/>
          <w:szCs w:val="21"/>
          <w:highlight w:val="none"/>
          <w:lang w:val="en-US" w:eastAsia="zh-CN"/>
        </w:rPr>
        <w:t xml:space="preserve">                 </w:t>
      </w:r>
    </w:p>
    <w:p w14:paraId="6D6936EE">
      <w:pPr>
        <w:keepNext w:val="0"/>
        <w:keepLines w:val="0"/>
        <w:pageBreakBefore w:val="0"/>
        <w:kinsoku/>
        <w:wordWrap/>
        <w:overflowPunct/>
        <w:topLinePunct w:val="0"/>
        <w:autoSpaceDE/>
        <w:autoSpaceDN/>
        <w:bidi w:val="0"/>
        <w:adjustRightInd/>
        <w:snapToGrid w:val="0"/>
        <w:spacing w:line="360" w:lineRule="auto"/>
        <w:ind w:left="0" w:right="0" w:rightChars="0" w:hanging="4111" w:hangingChars="1950"/>
        <w:jc w:val="both"/>
        <w:textAlignment w:val="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 xml:space="preserve"> </w:t>
      </w:r>
    </w:p>
    <w:p w14:paraId="46DDFADC">
      <w:pPr>
        <w:keepNext w:val="0"/>
        <w:keepLines w:val="0"/>
        <w:pageBreakBefore w:val="0"/>
        <w:kinsoku/>
        <w:wordWrap/>
        <w:overflowPunct/>
        <w:topLinePunct w:val="0"/>
        <w:autoSpaceDE/>
        <w:autoSpaceDN/>
        <w:bidi w:val="0"/>
        <w:adjustRightInd/>
        <w:snapToGrid w:val="0"/>
        <w:spacing w:line="360" w:lineRule="auto"/>
        <w:ind w:left="0" w:right="0" w:rightChars="0" w:hanging="4111" w:hangingChars="1950"/>
        <w:jc w:val="both"/>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法定</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或授权</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代表</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 xml:space="preserve">                </w:t>
      </w:r>
      <w:r>
        <w:rPr>
          <w:rFonts w:hint="eastAsia" w:ascii="宋体" w:hAnsi="宋体" w:eastAsia="宋体" w:cs="宋体"/>
          <w:b/>
          <w:color w:val="auto"/>
          <w:kern w:val="0"/>
          <w:sz w:val="21"/>
          <w:szCs w:val="21"/>
          <w:highlight w:val="none"/>
          <w:lang w:val="en-US" w:eastAsia="zh-CN"/>
        </w:rPr>
        <w:t xml:space="preserve">                </w:t>
      </w:r>
      <w:r>
        <w:rPr>
          <w:rFonts w:hint="eastAsia" w:ascii="宋体" w:hAnsi="宋体" w:eastAsia="宋体" w:cs="宋体"/>
          <w:b/>
          <w:color w:val="auto"/>
          <w:kern w:val="0"/>
          <w:sz w:val="21"/>
          <w:szCs w:val="21"/>
          <w:highlight w:val="none"/>
        </w:rPr>
        <w:t>法定</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或授权</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代表</w:t>
      </w:r>
      <w:r>
        <w:rPr>
          <w:rFonts w:hint="eastAsia" w:ascii="宋体" w:hAnsi="宋体" w:eastAsia="宋体" w:cs="宋体"/>
          <w:b/>
          <w:color w:val="auto"/>
          <w:kern w:val="0"/>
          <w:sz w:val="21"/>
          <w:szCs w:val="21"/>
          <w:highlight w:val="none"/>
          <w:lang w:eastAsia="zh-CN"/>
        </w:rPr>
        <w:t>：</w:t>
      </w:r>
    </w:p>
    <w:p w14:paraId="7F5C9747">
      <w:pPr>
        <w:keepNext w:val="0"/>
        <w:keepLines w:val="0"/>
        <w:pageBreakBefore w:val="0"/>
        <w:kinsoku/>
        <w:wordWrap/>
        <w:overflowPunct/>
        <w:topLinePunct w:val="0"/>
        <w:autoSpaceDE/>
        <w:autoSpaceDN/>
        <w:bidi w:val="0"/>
        <w:adjustRightInd/>
        <w:spacing w:line="360" w:lineRule="auto"/>
        <w:ind w:left="0" w:right="0" w:rightChars="0"/>
        <w:jc w:val="both"/>
        <w:textAlignment w:val="auto"/>
        <w:rPr>
          <w:rFonts w:hint="eastAsia" w:ascii="宋体" w:hAnsi="宋体" w:eastAsia="宋体" w:cs="宋体"/>
          <w:color w:val="auto"/>
          <w:sz w:val="21"/>
          <w:szCs w:val="21"/>
          <w:highlight w:val="none"/>
        </w:rPr>
      </w:pPr>
    </w:p>
    <w:p w14:paraId="09A90925">
      <w:pPr>
        <w:pStyle w:val="9"/>
        <w:jc w:val="both"/>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日期：                                               日期：</w:t>
      </w:r>
    </w:p>
    <w:p w14:paraId="6E0427D6">
      <w:pPr>
        <w:pStyle w:val="2"/>
        <w:rPr>
          <w:rFonts w:hint="eastAsia"/>
          <w:lang w:val="en-US" w:eastAsia="zh-CN"/>
        </w:rPr>
      </w:pPr>
    </w:p>
    <w:p w14:paraId="0F2F597A">
      <w:pPr>
        <w:spacing w:line="360" w:lineRule="auto"/>
        <w:rPr>
          <w:rFonts w:hint="eastAsia" w:ascii="宋体" w:hAnsi="宋体" w:eastAsia="宋体"/>
          <w:b/>
          <w:bCs/>
          <w:sz w:val="24"/>
        </w:rPr>
      </w:pPr>
    </w:p>
    <w:p w14:paraId="49A599A2">
      <w:pPr>
        <w:spacing w:line="360" w:lineRule="auto"/>
        <w:rPr>
          <w:rFonts w:hint="eastAsia" w:ascii="宋体" w:hAnsi="宋体" w:eastAsia="宋体"/>
          <w:b/>
          <w:bCs/>
          <w:sz w:val="24"/>
        </w:rPr>
      </w:pPr>
    </w:p>
    <w:p w14:paraId="7D41BA05">
      <w:pPr>
        <w:spacing w:line="360" w:lineRule="auto"/>
        <w:rPr>
          <w:rFonts w:hint="eastAsia" w:ascii="宋体" w:hAnsi="宋体" w:eastAsia="宋体"/>
          <w:b/>
          <w:bCs/>
          <w:sz w:val="24"/>
        </w:rPr>
      </w:pPr>
    </w:p>
    <w:p w14:paraId="1443E60B">
      <w:pPr>
        <w:spacing w:line="360" w:lineRule="auto"/>
        <w:rPr>
          <w:rFonts w:hint="eastAsia" w:ascii="宋体" w:hAnsi="宋体" w:eastAsia="宋体"/>
          <w:b/>
          <w:bCs/>
          <w:sz w:val="24"/>
        </w:rPr>
      </w:pPr>
    </w:p>
    <w:p w14:paraId="4755DE5C">
      <w:pPr>
        <w:spacing w:line="360" w:lineRule="auto"/>
        <w:rPr>
          <w:rFonts w:hint="eastAsia" w:ascii="宋体" w:hAnsi="宋体" w:eastAsia="宋体"/>
          <w:b/>
          <w:bCs/>
          <w:sz w:val="24"/>
        </w:rPr>
      </w:pPr>
    </w:p>
    <w:p w14:paraId="0354E75C">
      <w:pPr>
        <w:spacing w:line="360" w:lineRule="auto"/>
        <w:rPr>
          <w:rFonts w:hint="eastAsia" w:ascii="宋体" w:hAnsi="宋体" w:eastAsia="宋体"/>
          <w:b/>
          <w:bCs/>
          <w:sz w:val="24"/>
        </w:rPr>
      </w:pPr>
    </w:p>
    <w:p w14:paraId="1832B19B">
      <w:pPr>
        <w:spacing w:line="360" w:lineRule="auto"/>
        <w:rPr>
          <w:rFonts w:hint="eastAsia" w:ascii="宋体" w:hAnsi="宋体" w:eastAsia="宋体"/>
          <w:b/>
          <w:bCs/>
          <w:sz w:val="24"/>
        </w:rPr>
      </w:pPr>
    </w:p>
    <w:p w14:paraId="53AE875D">
      <w:pPr>
        <w:spacing w:line="360" w:lineRule="auto"/>
        <w:rPr>
          <w:rFonts w:hint="eastAsia" w:ascii="宋体" w:hAnsi="宋体" w:eastAsia="宋体"/>
          <w:b/>
          <w:bCs/>
          <w:sz w:val="24"/>
        </w:rPr>
      </w:pPr>
    </w:p>
    <w:p w14:paraId="3C38EE21">
      <w:pPr>
        <w:spacing w:line="360" w:lineRule="auto"/>
        <w:rPr>
          <w:rFonts w:hint="eastAsia" w:ascii="宋体" w:hAnsi="宋体" w:eastAsia="宋体"/>
          <w:b/>
          <w:bCs/>
          <w:sz w:val="24"/>
        </w:rPr>
      </w:pPr>
    </w:p>
    <w:p w14:paraId="56F69FC5">
      <w:pPr>
        <w:spacing w:line="360" w:lineRule="auto"/>
        <w:rPr>
          <w:rFonts w:hint="eastAsia" w:ascii="宋体" w:hAnsi="宋体" w:eastAsia="宋体"/>
          <w:b/>
          <w:bCs/>
          <w:sz w:val="24"/>
        </w:rPr>
      </w:pPr>
    </w:p>
    <w:p w14:paraId="4612CAC3">
      <w:pPr>
        <w:spacing w:line="360" w:lineRule="auto"/>
        <w:rPr>
          <w:rFonts w:hint="eastAsia" w:ascii="宋体" w:hAnsi="宋体" w:eastAsia="宋体"/>
          <w:b/>
          <w:bCs/>
          <w:sz w:val="24"/>
        </w:rPr>
      </w:pPr>
    </w:p>
    <w:p w14:paraId="0F0308C1">
      <w:pPr>
        <w:spacing w:line="360" w:lineRule="auto"/>
        <w:rPr>
          <w:rFonts w:hint="eastAsia" w:ascii="宋体" w:hAnsi="宋体" w:eastAsia="宋体"/>
          <w:b/>
          <w:bCs/>
          <w:sz w:val="24"/>
        </w:rPr>
      </w:pPr>
    </w:p>
    <w:p w14:paraId="62B1DE36">
      <w:pPr>
        <w:spacing w:line="360" w:lineRule="auto"/>
        <w:rPr>
          <w:rFonts w:hint="eastAsia" w:ascii="宋体" w:hAnsi="宋体" w:eastAsia="宋体"/>
          <w:b/>
          <w:bCs/>
          <w:sz w:val="24"/>
        </w:rPr>
      </w:pPr>
    </w:p>
    <w:p w14:paraId="69D7C2D4">
      <w:pPr>
        <w:spacing w:line="360" w:lineRule="auto"/>
        <w:rPr>
          <w:rFonts w:hint="eastAsia" w:ascii="宋体" w:hAnsi="宋体" w:eastAsia="宋体"/>
          <w:b/>
          <w:bCs/>
          <w:sz w:val="24"/>
        </w:rPr>
      </w:pPr>
    </w:p>
    <w:p w14:paraId="1AF47D99">
      <w:pPr>
        <w:spacing w:line="360" w:lineRule="auto"/>
        <w:rPr>
          <w:rFonts w:hint="eastAsia" w:ascii="宋体" w:hAnsi="宋体" w:eastAsia="宋体"/>
          <w:b/>
          <w:bCs/>
          <w:sz w:val="24"/>
        </w:rPr>
      </w:pPr>
    </w:p>
    <w:p w14:paraId="35004C2F">
      <w:pPr>
        <w:spacing w:line="360" w:lineRule="auto"/>
        <w:rPr>
          <w:rFonts w:hint="eastAsia" w:ascii="宋体" w:hAnsi="宋体" w:eastAsia="宋体"/>
          <w:b/>
          <w:bCs/>
          <w:sz w:val="24"/>
        </w:rPr>
      </w:pPr>
    </w:p>
    <w:p w14:paraId="74E4DA9E">
      <w:pPr>
        <w:spacing w:line="360" w:lineRule="auto"/>
        <w:rPr>
          <w:rFonts w:hint="eastAsia" w:ascii="宋体" w:hAnsi="宋体" w:eastAsia="宋体"/>
          <w:b/>
          <w:bCs/>
          <w:sz w:val="24"/>
        </w:rPr>
      </w:pPr>
    </w:p>
    <w:p w14:paraId="5D6DC311">
      <w:pPr>
        <w:spacing w:line="360" w:lineRule="auto"/>
        <w:rPr>
          <w:rFonts w:hint="eastAsia" w:ascii="宋体" w:hAnsi="宋体" w:eastAsia="宋体"/>
          <w:b/>
          <w:bCs/>
          <w:sz w:val="24"/>
        </w:rPr>
      </w:pPr>
    </w:p>
    <w:p w14:paraId="27E1F8D5">
      <w:pPr>
        <w:spacing w:line="360" w:lineRule="auto"/>
        <w:rPr>
          <w:rFonts w:ascii="黑体" w:hAnsi="黑体" w:eastAsia="黑体"/>
          <w:szCs w:val="21"/>
        </w:rPr>
      </w:pPr>
      <w:r>
        <w:rPr>
          <w:rFonts w:hint="eastAsia" w:ascii="宋体" w:hAnsi="宋体" w:eastAsia="宋体"/>
          <w:b/>
          <w:bCs/>
          <w:sz w:val="24"/>
        </w:rPr>
        <w:t>附件三：投标文件组成</w:t>
      </w:r>
    </w:p>
    <w:p w14:paraId="7AD9932A">
      <w:pPr>
        <w:snapToGrid w:val="0"/>
        <w:spacing w:line="360" w:lineRule="auto"/>
        <w:jc w:val="center"/>
        <w:rPr>
          <w:rFonts w:ascii="宋体" w:hAnsi="宋体" w:eastAsia="宋体"/>
          <w:szCs w:val="21"/>
        </w:rPr>
      </w:pPr>
    </w:p>
    <w:p w14:paraId="529FD2E5">
      <w:pPr>
        <w:adjustRightInd w:val="0"/>
        <w:snapToGrid w:val="0"/>
        <w:spacing w:line="360" w:lineRule="auto"/>
        <w:rPr>
          <w:rFonts w:ascii="宋体" w:hAnsi="宋体" w:eastAsia="宋体"/>
          <w:szCs w:val="21"/>
        </w:rPr>
      </w:pPr>
      <w:r>
        <w:rPr>
          <w:rFonts w:hint="eastAsia" w:ascii="宋体" w:hAnsi="宋体" w:eastAsia="宋体"/>
          <w:szCs w:val="21"/>
        </w:rPr>
        <w:t>一、投标人承诺书（格式附后）</w:t>
      </w:r>
    </w:p>
    <w:p w14:paraId="02E3E29B">
      <w:pPr>
        <w:adjustRightInd w:val="0"/>
        <w:snapToGrid w:val="0"/>
        <w:spacing w:line="360" w:lineRule="auto"/>
        <w:rPr>
          <w:rFonts w:ascii="宋体" w:hAnsi="宋体" w:eastAsia="宋体"/>
          <w:szCs w:val="21"/>
        </w:rPr>
      </w:pPr>
      <w:r>
        <w:rPr>
          <w:rFonts w:hint="eastAsia" w:ascii="宋体" w:hAnsi="宋体" w:eastAsia="宋体"/>
          <w:szCs w:val="21"/>
        </w:rPr>
        <w:t>二、</w:t>
      </w:r>
      <w:r>
        <w:rPr>
          <w:rFonts w:hint="eastAsia" w:ascii="宋体" w:hAnsi="宋体" w:eastAsia="宋体"/>
          <w:snapToGrid w:val="0"/>
          <w:szCs w:val="21"/>
        </w:rPr>
        <w:t>投标函（格式附后）</w:t>
      </w:r>
    </w:p>
    <w:p w14:paraId="65369948">
      <w:pPr>
        <w:adjustRightInd w:val="0"/>
        <w:snapToGrid w:val="0"/>
        <w:spacing w:line="360" w:lineRule="auto"/>
        <w:rPr>
          <w:rFonts w:ascii="宋体" w:hAnsi="宋体" w:eastAsia="宋体"/>
          <w:snapToGrid w:val="0"/>
          <w:szCs w:val="21"/>
        </w:rPr>
      </w:pPr>
      <w:r>
        <w:rPr>
          <w:rFonts w:hint="eastAsia" w:ascii="宋体" w:hAnsi="宋体" w:eastAsia="宋体"/>
          <w:szCs w:val="21"/>
        </w:rPr>
        <w:t>三、已标价工程量</w:t>
      </w:r>
      <w:r>
        <w:rPr>
          <w:rFonts w:hint="eastAsia" w:ascii="宋体" w:hAnsi="宋体" w:eastAsia="宋体"/>
          <w:snapToGrid w:val="0"/>
          <w:szCs w:val="21"/>
        </w:rPr>
        <w:t>清单</w:t>
      </w:r>
    </w:p>
    <w:p w14:paraId="09F89BD7">
      <w:pPr>
        <w:adjustRightInd w:val="0"/>
        <w:snapToGrid w:val="0"/>
        <w:spacing w:line="360" w:lineRule="auto"/>
        <w:rPr>
          <w:rFonts w:ascii="宋体" w:hAnsi="宋体" w:eastAsia="宋体"/>
          <w:snapToGrid w:val="0"/>
          <w:szCs w:val="21"/>
        </w:rPr>
      </w:pPr>
      <w:r>
        <w:rPr>
          <w:rFonts w:hint="eastAsia" w:ascii="宋体" w:hAnsi="宋体" w:eastAsia="宋体"/>
          <w:szCs w:val="21"/>
        </w:rPr>
        <w:t>四、</w:t>
      </w:r>
      <w:r>
        <w:rPr>
          <w:rFonts w:hint="eastAsia" w:ascii="宋体" w:hAnsi="宋体" w:eastAsia="宋体"/>
          <w:snapToGrid w:val="0"/>
          <w:szCs w:val="21"/>
        </w:rPr>
        <w:t>合格投标人资格证明文件（包括但不限于招标文件第二条内容）</w:t>
      </w:r>
    </w:p>
    <w:p w14:paraId="76DB8DFB">
      <w:pPr>
        <w:adjustRightInd w:val="0"/>
        <w:snapToGrid w:val="0"/>
        <w:spacing w:line="360" w:lineRule="auto"/>
        <w:rPr>
          <w:rFonts w:ascii="宋体" w:hAnsi="宋体" w:eastAsia="宋体"/>
          <w:snapToGrid w:val="0"/>
          <w:szCs w:val="21"/>
        </w:rPr>
      </w:pPr>
      <w:r>
        <w:rPr>
          <w:rFonts w:hint="eastAsia" w:ascii="宋体" w:hAnsi="宋体" w:eastAsia="宋体"/>
          <w:szCs w:val="21"/>
        </w:rPr>
        <w:t>五、投标</w:t>
      </w:r>
      <w:r>
        <w:rPr>
          <w:rFonts w:ascii="宋体" w:hAnsi="宋体" w:eastAsia="宋体"/>
          <w:szCs w:val="21"/>
        </w:rPr>
        <w:t>人认为应提交的其它材料</w:t>
      </w:r>
    </w:p>
    <w:p w14:paraId="7C16C14A">
      <w:pPr>
        <w:adjustRightInd w:val="0"/>
        <w:spacing w:line="360" w:lineRule="auto"/>
        <w:rPr>
          <w:rFonts w:ascii="宋体" w:hAnsi="宋体" w:eastAsia="宋体"/>
          <w:szCs w:val="21"/>
        </w:rPr>
      </w:pPr>
      <w:r>
        <w:rPr>
          <w:rFonts w:ascii="宋体" w:hAnsi="宋体" w:eastAsia="宋体"/>
          <w:szCs w:val="21"/>
        </w:rPr>
        <w:br w:type="page"/>
      </w:r>
    </w:p>
    <w:p w14:paraId="4CA05A19">
      <w:pPr>
        <w:adjustRightInd w:val="0"/>
        <w:spacing w:line="360" w:lineRule="auto"/>
        <w:rPr>
          <w:rFonts w:ascii="宋体" w:hAnsi="宋体" w:eastAsia="宋体"/>
          <w:szCs w:val="21"/>
        </w:rPr>
      </w:pPr>
      <w:r>
        <w:rPr>
          <w:rFonts w:hint="eastAsia" w:ascii="宋体" w:hAnsi="宋体" w:eastAsia="宋体"/>
          <w:b/>
          <w:bCs/>
          <w:szCs w:val="21"/>
        </w:rPr>
        <w:t>一、投标人承诺书（格式）</w:t>
      </w:r>
    </w:p>
    <w:p w14:paraId="5B7157A6">
      <w:pPr>
        <w:pStyle w:val="29"/>
        <w:jc w:val="center"/>
        <w:rPr>
          <w:rFonts w:ascii="宋体" w:hAnsi="宋体"/>
          <w:b/>
          <w:bCs w:val="0"/>
        </w:rPr>
      </w:pPr>
      <w:r>
        <w:rPr>
          <w:rFonts w:hint="eastAsia" w:ascii="宋体" w:hAnsi="宋体"/>
          <w:b/>
          <w:bCs w:val="0"/>
        </w:rPr>
        <w:t>投标人承诺书</w:t>
      </w:r>
    </w:p>
    <w:p w14:paraId="187E7EDD">
      <w:pPr>
        <w:spacing w:line="360" w:lineRule="auto"/>
        <w:rPr>
          <w:rFonts w:ascii="宋体" w:hAnsi="宋体" w:eastAsia="宋体" w:cs="Arial"/>
        </w:rPr>
      </w:pPr>
    </w:p>
    <w:p w14:paraId="62E06821">
      <w:pPr>
        <w:spacing w:line="360" w:lineRule="auto"/>
        <w:rPr>
          <w:rFonts w:ascii="宋体" w:hAnsi="宋体" w:eastAsia="宋体" w:cs="Arial"/>
        </w:rPr>
      </w:pPr>
      <w:r>
        <w:rPr>
          <w:rFonts w:hint="eastAsia" w:ascii="宋体" w:hAnsi="宋体" w:eastAsia="宋体" w:cs="Arial"/>
        </w:rPr>
        <w:t>致</w:t>
      </w:r>
      <w:r>
        <w:rPr>
          <w:rFonts w:hint="eastAsia" w:ascii="宋体" w:hAnsi="宋体" w:eastAsia="宋体" w:cs="Arial"/>
          <w:u w:val="single"/>
        </w:rPr>
        <w:t>（招标人）</w:t>
      </w:r>
      <w:r>
        <w:rPr>
          <w:rFonts w:hint="eastAsia" w:ascii="宋体" w:hAnsi="宋体" w:eastAsia="宋体" w:cs="Arial"/>
        </w:rPr>
        <w:t>：</w:t>
      </w:r>
    </w:p>
    <w:p w14:paraId="2FBF4990">
      <w:pPr>
        <w:spacing w:line="360" w:lineRule="auto"/>
        <w:ind w:firstLine="420" w:firstLineChars="200"/>
        <w:rPr>
          <w:rFonts w:ascii="宋体" w:hAnsi="宋体" w:eastAsia="宋体" w:cs="Arial"/>
        </w:rPr>
      </w:pPr>
      <w:r>
        <w:rPr>
          <w:rFonts w:hint="eastAsia" w:ascii="宋体" w:hAnsi="宋体" w:eastAsia="宋体" w:cs="Arial"/>
          <w:lang w:eastAsia="zh-CN"/>
        </w:rPr>
        <w:t>本公司</w:t>
      </w:r>
      <w:r>
        <w:rPr>
          <w:rFonts w:hint="eastAsia" w:ascii="宋体" w:hAnsi="宋体" w:eastAsia="宋体" w:cs="Arial"/>
        </w:rPr>
        <w:t>在此郑重承诺：</w:t>
      </w:r>
    </w:p>
    <w:p w14:paraId="7B44DECC">
      <w:pPr>
        <w:spacing w:line="360" w:lineRule="auto"/>
        <w:ind w:firstLine="420" w:firstLineChars="200"/>
        <w:rPr>
          <w:rFonts w:ascii="宋体" w:hAnsi="宋体" w:eastAsia="宋体" w:cs="Arial"/>
        </w:rPr>
      </w:pPr>
      <w:r>
        <w:rPr>
          <w:rFonts w:hint="eastAsia" w:ascii="宋体" w:hAnsi="宋体" w:eastAsia="宋体" w:cs="Arial"/>
        </w:rPr>
        <w:t>1、</w:t>
      </w:r>
      <w:r>
        <w:rPr>
          <w:rFonts w:hint="eastAsia" w:ascii="宋体" w:hAnsi="宋体" w:eastAsia="宋体"/>
          <w:szCs w:val="21"/>
        </w:rPr>
        <w:t>我单位在本次投标过程中无弄虚作假或串通投标等违法、违规行为，并愿意承担因弄虚作假或串通投标所引起的一切责任。</w:t>
      </w:r>
    </w:p>
    <w:p w14:paraId="77C03703">
      <w:pPr>
        <w:spacing w:line="360" w:lineRule="auto"/>
        <w:ind w:firstLine="420" w:firstLineChars="200"/>
        <w:rPr>
          <w:rFonts w:ascii="宋体" w:hAnsi="宋体" w:eastAsia="宋体" w:cs="Arial"/>
        </w:rPr>
      </w:pPr>
      <w:r>
        <w:rPr>
          <w:rFonts w:hint="eastAsia" w:ascii="宋体" w:hAnsi="宋体" w:eastAsia="宋体" w:cs="Arial"/>
        </w:rPr>
        <w:t>2、我单位</w:t>
      </w:r>
      <w:r>
        <w:rPr>
          <w:rFonts w:hint="eastAsia" w:ascii="宋体" w:hAnsi="宋体" w:eastAsia="宋体"/>
          <w:szCs w:val="21"/>
        </w:rPr>
        <w:t>未被列入严重违法失信企业名单（http://www.gsxt.gov.cn/）、失信被执行人名单（http://www.creditchina.gov.cn/）</w:t>
      </w:r>
      <w:r>
        <w:rPr>
          <w:rFonts w:hint="eastAsia" w:ascii="宋体" w:hAnsi="宋体" w:eastAsia="宋体" w:cs="Arial"/>
        </w:rPr>
        <w:t>。</w:t>
      </w:r>
    </w:p>
    <w:p w14:paraId="51FE980F">
      <w:pPr>
        <w:spacing w:line="360" w:lineRule="auto"/>
        <w:ind w:firstLine="420" w:firstLineChars="200"/>
        <w:rPr>
          <w:rFonts w:ascii="宋体" w:hAnsi="宋体" w:eastAsia="宋体" w:cs="Arial"/>
        </w:rPr>
      </w:pPr>
      <w:r>
        <w:rPr>
          <w:rFonts w:hint="eastAsia" w:ascii="宋体" w:hAnsi="宋体" w:eastAsia="宋体" w:cs="Arial"/>
        </w:rPr>
        <w:t>3、在投标文件有效期内，我单位投标联系人的联系电话将一直保持在线，否则，错过提醒信息、价格谈判等情况造成的后果由我单位承担，我单位无权追究招标人的责任。</w:t>
      </w:r>
    </w:p>
    <w:p w14:paraId="21FE4A4C">
      <w:pPr>
        <w:spacing w:line="360" w:lineRule="auto"/>
        <w:ind w:firstLine="420" w:firstLineChars="200"/>
        <w:rPr>
          <w:rFonts w:ascii="宋体" w:hAnsi="宋体" w:eastAsia="宋体" w:cs="Arial"/>
        </w:rPr>
      </w:pPr>
      <w:r>
        <w:rPr>
          <w:rFonts w:hint="eastAsia" w:ascii="宋体" w:hAnsi="宋体" w:eastAsia="宋体" w:cs="Arial"/>
        </w:rPr>
        <w:t>4、我单位电子投标文件如与纸质投标文件不一致，以何为准的裁定权归本项目评标委员会（或评标小组）。如电子投标文件如与纸质投标文件有实质性内容不一致，本项目评标委员会（或评标小组）有权判定我单位投标无效。</w:t>
      </w:r>
    </w:p>
    <w:p w14:paraId="683049AF">
      <w:pPr>
        <w:spacing w:line="360" w:lineRule="auto"/>
        <w:ind w:firstLine="420" w:firstLineChars="200"/>
        <w:rPr>
          <w:rFonts w:ascii="宋体" w:hAnsi="宋体" w:eastAsia="宋体" w:cs="Arial"/>
        </w:rPr>
      </w:pPr>
      <w:r>
        <w:rPr>
          <w:rFonts w:hint="eastAsia" w:ascii="宋体" w:hAnsi="宋体" w:eastAsia="宋体" w:cs="Arial"/>
        </w:rPr>
        <w:t>5、本承诺既是投标文件的有效组成内容，也是我单位真实意思的表示，对我单位在与该项目有关的任何行为中始终具有优先的约束力，如有任何违反，招标人有权判定我单位本项目投标无效。</w:t>
      </w:r>
    </w:p>
    <w:p w14:paraId="440700FF">
      <w:pPr>
        <w:spacing w:line="360" w:lineRule="auto"/>
        <w:ind w:firstLine="420" w:firstLineChars="200"/>
        <w:rPr>
          <w:rFonts w:ascii="宋体" w:hAnsi="宋体" w:eastAsia="宋体" w:cs="Arial"/>
        </w:rPr>
      </w:pPr>
      <w:r>
        <w:rPr>
          <w:rFonts w:hint="eastAsia" w:ascii="宋体" w:hAnsi="宋体" w:eastAsia="宋体" w:cs="Arial"/>
        </w:rPr>
        <w:t>6、若我单位存在</w:t>
      </w:r>
      <w:r>
        <w:rPr>
          <w:rFonts w:hint="eastAsia" w:ascii="宋体" w:hAnsi="宋体" w:eastAsia="宋体"/>
          <w:szCs w:val="21"/>
        </w:rPr>
        <w:t>本次投标过程中弄虚作假或串通投标</w:t>
      </w:r>
      <w:r>
        <w:rPr>
          <w:rFonts w:hint="eastAsia" w:ascii="宋体" w:hAnsi="宋体" w:eastAsia="宋体" w:cs="Arial"/>
        </w:rPr>
        <w:t>、非招标人原因中标后拒签合同、履约过程中严重违约等不诚信行为，招标人有权将我单位列入不诚信单位名单，并有权拒绝我单位之后其它项目的投标。</w:t>
      </w:r>
    </w:p>
    <w:p w14:paraId="07B1DBB2">
      <w:pPr>
        <w:spacing w:line="360" w:lineRule="auto"/>
        <w:ind w:firstLine="420" w:firstLineChars="200"/>
        <w:rPr>
          <w:rFonts w:ascii="宋体" w:hAnsi="宋体" w:eastAsia="宋体" w:cs="Arial"/>
        </w:rPr>
      </w:pPr>
    </w:p>
    <w:p w14:paraId="2F90453B">
      <w:pPr>
        <w:wordWrap w:val="0"/>
        <w:spacing w:line="400" w:lineRule="exact"/>
        <w:ind w:firstLine="420" w:firstLineChars="200"/>
        <w:jc w:val="right"/>
        <w:rPr>
          <w:rFonts w:ascii="宋体" w:hAnsi="宋体" w:eastAsia="宋体" w:cs="Arial"/>
          <w:kern w:val="0"/>
          <w:szCs w:val="21"/>
        </w:rPr>
      </w:pPr>
      <w:r>
        <w:rPr>
          <w:rFonts w:hint="eastAsia" w:ascii="宋体" w:hAnsi="宋体" w:eastAsia="宋体" w:cs="Arial"/>
          <w:kern w:val="0"/>
          <w:szCs w:val="21"/>
        </w:rPr>
        <w:t xml:space="preserve">        </w:t>
      </w:r>
    </w:p>
    <w:p w14:paraId="0F88A380">
      <w:pPr>
        <w:wordWrap w:val="0"/>
        <w:spacing w:line="400" w:lineRule="exact"/>
        <w:ind w:firstLine="420" w:firstLineChars="200"/>
        <w:jc w:val="right"/>
        <w:rPr>
          <w:rFonts w:ascii="宋体" w:hAnsi="宋体" w:eastAsia="宋体" w:cs="Arial"/>
          <w:kern w:val="0"/>
          <w:szCs w:val="21"/>
        </w:rPr>
      </w:pPr>
      <w:r>
        <w:rPr>
          <w:rFonts w:hint="eastAsia" w:ascii="宋体" w:hAnsi="宋体" w:eastAsia="宋体" w:cs="Arial"/>
          <w:kern w:val="0"/>
          <w:szCs w:val="21"/>
        </w:rPr>
        <w:t xml:space="preserve">  投标人：（盖单位公章）</w:t>
      </w:r>
    </w:p>
    <w:p w14:paraId="573FF3E0">
      <w:pPr>
        <w:spacing w:line="400" w:lineRule="exact"/>
        <w:ind w:firstLine="420" w:firstLineChars="200"/>
        <w:jc w:val="right"/>
        <w:rPr>
          <w:rFonts w:ascii="宋体" w:hAnsi="宋体" w:eastAsia="宋体" w:cs="Arial"/>
          <w:kern w:val="0"/>
          <w:szCs w:val="21"/>
        </w:rPr>
      </w:pPr>
      <w:r>
        <w:rPr>
          <w:rFonts w:hint="eastAsia" w:ascii="宋体" w:hAnsi="宋体" w:eastAsia="宋体" w:cs="Arial"/>
          <w:kern w:val="0"/>
          <w:szCs w:val="21"/>
        </w:rPr>
        <w:t xml:space="preserve">  法定代表人或其授权代理人：（签字或盖章）</w:t>
      </w:r>
    </w:p>
    <w:p w14:paraId="341691B7">
      <w:pPr>
        <w:spacing w:line="400" w:lineRule="exact"/>
        <w:ind w:firstLine="420" w:firstLineChars="200"/>
        <w:jc w:val="center"/>
        <w:rPr>
          <w:rFonts w:ascii="宋体" w:hAnsi="宋体" w:eastAsia="宋体" w:cs="Arial"/>
          <w:kern w:val="0"/>
          <w:szCs w:val="21"/>
        </w:rPr>
      </w:pPr>
      <w:r>
        <w:rPr>
          <w:rFonts w:hint="eastAsia" w:ascii="宋体" w:hAnsi="宋体" w:eastAsia="宋体" w:cs="Arial"/>
          <w:kern w:val="0"/>
          <w:szCs w:val="21"/>
        </w:rPr>
        <w:t xml:space="preserve">                                         日期：</w:t>
      </w:r>
    </w:p>
    <w:p w14:paraId="641C0BFB">
      <w:pPr>
        <w:adjustRightInd w:val="0"/>
        <w:spacing w:line="360" w:lineRule="auto"/>
        <w:rPr>
          <w:rFonts w:ascii="宋体" w:hAnsi="宋体" w:eastAsia="宋体"/>
          <w:szCs w:val="21"/>
        </w:rPr>
      </w:pPr>
    </w:p>
    <w:p w14:paraId="65E79DD4">
      <w:pPr>
        <w:adjustRightInd w:val="0"/>
        <w:spacing w:line="360" w:lineRule="auto"/>
        <w:rPr>
          <w:rFonts w:ascii="宋体" w:hAnsi="宋体" w:eastAsia="宋体"/>
          <w:szCs w:val="21"/>
        </w:rPr>
      </w:pPr>
    </w:p>
    <w:p w14:paraId="2A34CD45">
      <w:pPr>
        <w:adjustRightInd w:val="0"/>
        <w:spacing w:line="360" w:lineRule="auto"/>
        <w:rPr>
          <w:rFonts w:ascii="宋体" w:hAnsi="宋体" w:eastAsia="宋体"/>
          <w:szCs w:val="21"/>
        </w:rPr>
      </w:pPr>
    </w:p>
    <w:p w14:paraId="0B1589B5">
      <w:pPr>
        <w:adjustRightInd w:val="0"/>
        <w:spacing w:line="360" w:lineRule="auto"/>
        <w:rPr>
          <w:rFonts w:ascii="宋体" w:hAnsi="宋体" w:eastAsia="宋体"/>
          <w:szCs w:val="21"/>
        </w:rPr>
      </w:pPr>
    </w:p>
    <w:p w14:paraId="020557B6">
      <w:pPr>
        <w:adjustRightInd w:val="0"/>
        <w:spacing w:line="360" w:lineRule="auto"/>
        <w:rPr>
          <w:rFonts w:ascii="宋体" w:hAnsi="宋体" w:eastAsia="宋体"/>
          <w:b/>
          <w:bCs/>
          <w:szCs w:val="21"/>
        </w:rPr>
      </w:pPr>
    </w:p>
    <w:p w14:paraId="7FC95D1E">
      <w:pPr>
        <w:adjustRightInd w:val="0"/>
        <w:spacing w:line="360" w:lineRule="auto"/>
        <w:rPr>
          <w:rFonts w:ascii="宋体" w:hAnsi="宋体" w:eastAsia="宋体"/>
          <w:b/>
          <w:bCs/>
          <w:szCs w:val="21"/>
        </w:rPr>
      </w:pPr>
    </w:p>
    <w:p w14:paraId="48622A8C">
      <w:pPr>
        <w:adjustRightInd w:val="0"/>
        <w:spacing w:line="360" w:lineRule="auto"/>
        <w:rPr>
          <w:rFonts w:hint="eastAsia" w:ascii="宋体" w:hAnsi="宋体" w:eastAsia="宋体"/>
          <w:b/>
          <w:bCs/>
          <w:szCs w:val="21"/>
        </w:rPr>
      </w:pPr>
    </w:p>
    <w:p w14:paraId="6248160B">
      <w:pPr>
        <w:adjustRightInd w:val="0"/>
        <w:spacing w:line="360" w:lineRule="auto"/>
        <w:rPr>
          <w:rFonts w:ascii="宋体" w:hAnsi="宋体" w:eastAsia="宋体"/>
          <w:szCs w:val="21"/>
        </w:rPr>
      </w:pPr>
      <w:r>
        <w:rPr>
          <w:rFonts w:hint="eastAsia" w:ascii="宋体" w:hAnsi="宋体" w:eastAsia="宋体"/>
          <w:b/>
          <w:bCs/>
          <w:szCs w:val="21"/>
        </w:rPr>
        <w:t>二、投标函（格式）</w:t>
      </w:r>
    </w:p>
    <w:p w14:paraId="1BBF4936">
      <w:pPr>
        <w:pStyle w:val="2"/>
        <w:spacing w:line="360" w:lineRule="auto"/>
        <w:jc w:val="center"/>
        <w:rPr>
          <w:rFonts w:ascii="Times New Roman" w:hAnsi="Times New Roman"/>
        </w:rPr>
      </w:pPr>
    </w:p>
    <w:p w14:paraId="675C9883">
      <w:pPr>
        <w:spacing w:line="360" w:lineRule="auto"/>
        <w:rPr>
          <w:rFonts w:ascii="宋体" w:hAnsi="宋体" w:eastAsia="宋体"/>
          <w:szCs w:val="21"/>
        </w:rPr>
      </w:pPr>
      <w:r>
        <w:rPr>
          <w:rFonts w:hint="eastAsia" w:ascii="宋体" w:hAnsi="宋体" w:eastAsia="宋体"/>
          <w:szCs w:val="21"/>
        </w:rPr>
        <w:t>南京禄口国际机场空港科技有限公司：</w:t>
      </w:r>
    </w:p>
    <w:p w14:paraId="44377705">
      <w:pPr>
        <w:spacing w:line="360" w:lineRule="auto"/>
        <w:rPr>
          <w:rFonts w:ascii="宋体" w:hAnsi="宋体" w:eastAsia="宋体"/>
          <w:szCs w:val="21"/>
        </w:rPr>
      </w:pPr>
      <w:r>
        <w:rPr>
          <w:rFonts w:ascii="宋体" w:hAnsi="宋体" w:eastAsia="宋体"/>
          <w:szCs w:val="21"/>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（投标人全称）</w:t>
      </w:r>
      <w:r>
        <w:rPr>
          <w:rFonts w:hint="eastAsia" w:ascii="宋体" w:hAnsi="宋体" w:eastAsia="宋体"/>
          <w:szCs w:val="21"/>
        </w:rPr>
        <w:t>授权</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（全权代表姓名、职务）</w:t>
      </w:r>
      <w:r>
        <w:rPr>
          <w:rFonts w:hint="eastAsia" w:ascii="宋体" w:hAnsi="宋体" w:eastAsia="宋体"/>
          <w:szCs w:val="21"/>
        </w:rPr>
        <w:t>为全权代表，参加贵方组织的</w:t>
      </w:r>
      <w:r>
        <w:rPr>
          <w:rFonts w:ascii="宋体" w:hAnsi="宋体" w:eastAsia="宋体"/>
          <w:szCs w:val="21"/>
          <w:u w:val="single"/>
        </w:rPr>
        <w:t xml:space="preserve">            </w:t>
      </w:r>
      <w:r>
        <w:rPr>
          <w:rFonts w:hint="eastAsia" w:ascii="宋体" w:hAnsi="宋体" w:eastAsia="宋体"/>
          <w:szCs w:val="21"/>
          <w:u w:val="single"/>
        </w:rPr>
        <w:t>（项目名称）</w:t>
      </w:r>
      <w:r>
        <w:rPr>
          <w:rFonts w:hint="eastAsia" w:ascii="宋体" w:hAnsi="宋体" w:eastAsia="宋体"/>
          <w:szCs w:val="21"/>
        </w:rPr>
        <w:t>的有关活动，为此：</w:t>
      </w:r>
    </w:p>
    <w:p w14:paraId="5611C382">
      <w:pPr>
        <w:numPr>
          <w:ilvl w:val="0"/>
          <w:numId w:val="6"/>
        </w:numPr>
        <w:tabs>
          <w:tab w:val="left" w:pos="1260"/>
        </w:tabs>
        <w:spacing w:line="360" w:lineRule="auto"/>
        <w:ind w:firstLine="420" w:firstLineChars="200"/>
        <w:rPr>
          <w:rFonts w:ascii="宋体" w:hAnsi="宋体" w:eastAsia="宋体"/>
          <w:kern w:val="0"/>
          <w:szCs w:val="21"/>
        </w:rPr>
      </w:pPr>
      <w:r>
        <w:rPr>
          <w:rFonts w:hint="eastAsia" w:ascii="宋体" w:hAnsi="宋体" w:eastAsia="宋体"/>
          <w:szCs w:val="21"/>
        </w:rPr>
        <w:t>提供投标文件规定的全部投标文件（正本</w:t>
      </w:r>
      <w:r>
        <w:rPr>
          <w:rFonts w:hint="eastAsia" w:ascii="宋体" w:hAnsi="宋体" w:eastAsia="宋体"/>
          <w:szCs w:val="21"/>
          <w:u w:val="single"/>
        </w:rPr>
        <w:t xml:space="preserve">   </w:t>
      </w:r>
      <w:r>
        <w:rPr>
          <w:rFonts w:hint="eastAsia" w:ascii="宋体" w:hAnsi="宋体" w:eastAsia="宋体"/>
          <w:szCs w:val="21"/>
        </w:rPr>
        <w:t>份，副本</w:t>
      </w:r>
      <w:r>
        <w:rPr>
          <w:rFonts w:hint="eastAsia" w:ascii="宋体" w:hAnsi="宋体" w:eastAsia="宋体"/>
          <w:szCs w:val="21"/>
          <w:u w:val="single"/>
        </w:rPr>
        <w:t xml:space="preserve">   </w:t>
      </w:r>
      <w:r>
        <w:rPr>
          <w:rFonts w:hint="eastAsia" w:ascii="宋体" w:hAnsi="宋体" w:eastAsia="宋体"/>
          <w:szCs w:val="21"/>
        </w:rPr>
        <w:t>份）。</w:t>
      </w:r>
    </w:p>
    <w:p w14:paraId="56840DA6">
      <w:pPr>
        <w:numPr>
          <w:ilvl w:val="0"/>
          <w:numId w:val="6"/>
        </w:numPr>
        <w:tabs>
          <w:tab w:val="left" w:pos="1260"/>
        </w:tabs>
        <w:spacing w:line="360" w:lineRule="auto"/>
        <w:ind w:firstLine="420" w:firstLineChars="200"/>
        <w:rPr>
          <w:rFonts w:ascii="宋体" w:hAnsi="宋体" w:eastAsia="宋体"/>
          <w:kern w:val="0"/>
          <w:szCs w:val="21"/>
        </w:rPr>
      </w:pPr>
      <w:r>
        <w:rPr>
          <w:rFonts w:ascii="宋体" w:hAnsi="宋体" w:eastAsia="宋体"/>
          <w:kern w:val="0"/>
          <w:szCs w:val="21"/>
        </w:rPr>
        <w:t>在研究了上述项目的招标文件和考察了工程现场后，我们已完全了解本工程的工作内容和外部条件，愿意以人民币（大写）__________元（RMB________元）的报价（</w:t>
      </w:r>
      <w:r>
        <w:rPr>
          <w:rFonts w:hint="eastAsia" w:ascii="宋体" w:hAnsi="宋体" w:eastAsia="宋体"/>
          <w:kern w:val="0"/>
          <w:szCs w:val="21"/>
        </w:rPr>
        <w:t>报价</w:t>
      </w:r>
      <w:r>
        <w:rPr>
          <w:rFonts w:ascii="宋体" w:hAnsi="宋体" w:eastAsia="宋体"/>
          <w:kern w:val="0"/>
          <w:szCs w:val="21"/>
        </w:rPr>
        <w:t>清单附后），完成本合同工作及其缺陷修复。</w:t>
      </w:r>
    </w:p>
    <w:p w14:paraId="7BFE929B">
      <w:pPr>
        <w:numPr>
          <w:ilvl w:val="0"/>
          <w:numId w:val="6"/>
        </w:numPr>
        <w:tabs>
          <w:tab w:val="left" w:pos="1260"/>
        </w:tabs>
        <w:spacing w:line="360" w:lineRule="auto"/>
        <w:ind w:firstLine="420" w:firstLineChars="200"/>
        <w:rPr>
          <w:rFonts w:ascii="宋体" w:hAnsi="宋体" w:eastAsia="宋体"/>
          <w:kern w:val="0"/>
          <w:szCs w:val="21"/>
        </w:rPr>
      </w:pPr>
      <w:r>
        <w:rPr>
          <w:rFonts w:ascii="宋体" w:hAnsi="宋体" w:eastAsia="宋体"/>
          <w:kern w:val="0"/>
          <w:szCs w:val="21"/>
        </w:rPr>
        <w:t>如果你单位接受我们的报价，我们将保证</w:t>
      </w:r>
      <w:r>
        <w:rPr>
          <w:rFonts w:hint="eastAsia" w:ascii="宋体" w:hAnsi="宋体" w:eastAsia="宋体"/>
          <w:kern w:val="0"/>
          <w:szCs w:val="21"/>
        </w:rPr>
        <w:t>在</w:t>
      </w:r>
      <w:r>
        <w:rPr>
          <w:rFonts w:hint="eastAsia" w:ascii="宋体" w:hAnsi="宋体" w:eastAsia="宋体"/>
          <w:bCs/>
          <w:szCs w:val="21"/>
        </w:rPr>
        <w:t>中标通知书发出/合同签订之日起</w:t>
      </w:r>
      <w:r>
        <w:rPr>
          <w:rFonts w:ascii="宋体" w:hAnsi="宋体" w:eastAsia="宋体"/>
          <w:kern w:val="0"/>
          <w:szCs w:val="21"/>
        </w:rPr>
        <w:t>_____</w:t>
      </w:r>
      <w:r>
        <w:rPr>
          <w:rFonts w:hint="eastAsia" w:ascii="宋体" w:hAnsi="宋体" w:eastAsia="宋体" w:cs="宋体"/>
          <w:szCs w:val="21"/>
        </w:rPr>
        <w:t>日历日</w:t>
      </w:r>
      <w:r>
        <w:rPr>
          <w:rFonts w:ascii="宋体" w:hAnsi="宋体" w:eastAsia="宋体"/>
          <w:kern w:val="0"/>
          <w:szCs w:val="21"/>
        </w:rPr>
        <w:t>内完成各项工作，达到招标人满意的程度并通过验收。</w:t>
      </w:r>
    </w:p>
    <w:p w14:paraId="1E77C8A4">
      <w:pPr>
        <w:numPr>
          <w:ilvl w:val="0"/>
          <w:numId w:val="6"/>
        </w:numPr>
        <w:tabs>
          <w:tab w:val="left" w:pos="1260"/>
        </w:tabs>
        <w:spacing w:line="360" w:lineRule="auto"/>
        <w:rPr>
          <w:rFonts w:ascii="宋体" w:hAnsi="宋体" w:eastAsia="宋体"/>
          <w:bCs/>
          <w:szCs w:val="21"/>
        </w:rPr>
      </w:pPr>
      <w:r>
        <w:rPr>
          <w:rFonts w:ascii="宋体" w:hAnsi="宋体" w:eastAsia="宋体"/>
          <w:kern w:val="0"/>
          <w:szCs w:val="21"/>
        </w:rPr>
        <w:t>我们理解招标人有权接受或拒绝所收到的任何报价；同时也理解招标人不负担我们的任何报价费用。</w:t>
      </w:r>
    </w:p>
    <w:p w14:paraId="43E79C76">
      <w:pPr>
        <w:numPr>
          <w:ilvl w:val="0"/>
          <w:numId w:val="6"/>
        </w:numPr>
        <w:tabs>
          <w:tab w:val="left" w:pos="1260"/>
        </w:tabs>
        <w:spacing w:line="360" w:lineRule="auto"/>
        <w:rPr>
          <w:rFonts w:ascii="宋体" w:hAnsi="宋体" w:eastAsia="宋体"/>
          <w:szCs w:val="21"/>
        </w:rPr>
      </w:pPr>
      <w:r>
        <w:rPr>
          <w:rFonts w:hint="eastAsia" w:ascii="宋体" w:hAnsi="宋体" w:eastAsia="宋体"/>
          <w:szCs w:val="21"/>
        </w:rPr>
        <w:t>与本投标文件有关的一切往来联系电话（手机）：</w:t>
      </w:r>
      <w:r>
        <w:rPr>
          <w:rFonts w:hint="eastAsia" w:ascii="宋体" w:hAnsi="宋体" w:eastAsia="宋体"/>
          <w:szCs w:val="21"/>
          <w:u w:val="single"/>
        </w:rPr>
        <w:t xml:space="preserve">          </w:t>
      </w:r>
      <w:r>
        <w:rPr>
          <w:rFonts w:hint="eastAsia" w:ascii="宋体" w:hAnsi="宋体" w:eastAsia="宋体"/>
          <w:szCs w:val="21"/>
        </w:rPr>
        <w:t>；邮件地址：</w:t>
      </w:r>
      <w:r>
        <w:rPr>
          <w:rFonts w:hint="eastAsia" w:ascii="宋体" w:hAnsi="宋体" w:eastAsia="宋体"/>
          <w:szCs w:val="21"/>
          <w:u w:val="single"/>
        </w:rPr>
        <w:t xml:space="preserve">        </w:t>
      </w:r>
      <w:r>
        <w:rPr>
          <w:rFonts w:hint="eastAsia" w:ascii="宋体" w:hAnsi="宋体" w:eastAsia="宋体"/>
          <w:szCs w:val="21"/>
        </w:rPr>
        <w:t>。</w:t>
      </w:r>
    </w:p>
    <w:p w14:paraId="7DEA4991">
      <w:pPr>
        <w:spacing w:line="360" w:lineRule="auto"/>
        <w:rPr>
          <w:rFonts w:ascii="宋体" w:hAnsi="宋体" w:eastAsia="宋体"/>
          <w:szCs w:val="21"/>
        </w:rPr>
      </w:pPr>
      <w:r>
        <w:rPr>
          <w:rFonts w:hint="eastAsia" w:ascii="宋体" w:hAnsi="宋体" w:eastAsia="宋体"/>
          <w:szCs w:val="21"/>
        </w:rPr>
        <w:t xml:space="preserve">                                    </w:t>
      </w:r>
    </w:p>
    <w:p w14:paraId="000124AC">
      <w:pPr>
        <w:spacing w:line="360" w:lineRule="auto"/>
        <w:rPr>
          <w:rFonts w:ascii="宋体" w:hAnsi="宋体" w:eastAsia="宋体"/>
          <w:szCs w:val="21"/>
        </w:rPr>
      </w:pPr>
    </w:p>
    <w:p w14:paraId="103A25E5">
      <w:pPr>
        <w:spacing w:line="360" w:lineRule="auto"/>
        <w:rPr>
          <w:rFonts w:ascii="宋体" w:hAnsi="宋体" w:eastAsia="宋体"/>
          <w:szCs w:val="21"/>
        </w:rPr>
      </w:pPr>
      <w:r>
        <w:rPr>
          <w:rFonts w:hint="eastAsia" w:ascii="宋体" w:hAnsi="宋体" w:eastAsia="宋体"/>
          <w:szCs w:val="21"/>
        </w:rPr>
        <w:t xml:space="preserve"> 投标人名称（盖章）：</w:t>
      </w:r>
      <w:r>
        <w:rPr>
          <w:rFonts w:hint="eastAsia" w:ascii="宋体" w:hAnsi="宋体" w:eastAsia="宋体"/>
          <w:szCs w:val="21"/>
          <w:u w:val="single"/>
        </w:rPr>
        <w:t xml:space="preserve">                                      </w:t>
      </w:r>
    </w:p>
    <w:p w14:paraId="329BA8A0">
      <w:pPr>
        <w:spacing w:line="360" w:lineRule="auto"/>
        <w:rPr>
          <w:rFonts w:ascii="宋体" w:hAnsi="宋体" w:eastAsia="宋体"/>
          <w:szCs w:val="21"/>
        </w:rPr>
      </w:pPr>
      <w:r>
        <w:rPr>
          <w:rFonts w:hint="eastAsia" w:ascii="宋体" w:hAnsi="宋体" w:eastAsia="宋体"/>
          <w:szCs w:val="21"/>
        </w:rPr>
        <w:t xml:space="preserve"> 投标人代表（签字）：</w:t>
      </w:r>
      <w:r>
        <w:rPr>
          <w:rFonts w:hint="eastAsia" w:ascii="宋体" w:hAnsi="宋体" w:eastAsia="宋体"/>
          <w:szCs w:val="21"/>
          <w:u w:val="single"/>
        </w:rPr>
        <w:t xml:space="preserve">                                      </w:t>
      </w:r>
      <w:r>
        <w:rPr>
          <w:rFonts w:hint="eastAsia" w:ascii="宋体" w:hAnsi="宋体" w:eastAsia="宋体"/>
          <w:szCs w:val="21"/>
        </w:rPr>
        <w:t xml:space="preserve"> </w:t>
      </w:r>
    </w:p>
    <w:p w14:paraId="455B0DF4">
      <w:pPr>
        <w:spacing w:line="360" w:lineRule="auto"/>
        <w:rPr>
          <w:rFonts w:ascii="宋体" w:hAnsi="宋体" w:eastAsia="宋体"/>
          <w:szCs w:val="21"/>
          <w:u w:val="single"/>
        </w:rPr>
      </w:pPr>
      <w:r>
        <w:rPr>
          <w:rFonts w:hint="eastAsia" w:ascii="宋体" w:hAnsi="宋体" w:eastAsia="宋体"/>
          <w:szCs w:val="21"/>
        </w:rPr>
        <w:t xml:space="preserve"> 日             期：</w:t>
      </w:r>
      <w:r>
        <w:rPr>
          <w:rFonts w:hint="eastAsia" w:ascii="宋体" w:hAnsi="宋体" w:eastAsia="宋体"/>
          <w:szCs w:val="21"/>
          <w:u w:val="single"/>
        </w:rPr>
        <w:t xml:space="preserve">                                      </w:t>
      </w:r>
    </w:p>
    <w:p w14:paraId="291C1616">
      <w:pPr>
        <w:spacing w:line="360" w:lineRule="auto"/>
        <w:rPr>
          <w:rFonts w:ascii="宋体" w:hAnsi="宋体" w:eastAsia="宋体"/>
          <w:szCs w:val="21"/>
          <w:u w:val="single"/>
        </w:rPr>
      </w:pPr>
    </w:p>
    <w:p w14:paraId="0363EAC3">
      <w:pPr>
        <w:spacing w:line="360" w:lineRule="auto"/>
        <w:rPr>
          <w:rFonts w:ascii="宋体" w:hAnsi="宋体" w:eastAsia="宋体"/>
          <w:szCs w:val="21"/>
          <w:u w:val="single"/>
        </w:rPr>
      </w:pPr>
    </w:p>
    <w:p w14:paraId="44413032">
      <w:pPr>
        <w:spacing w:line="360" w:lineRule="auto"/>
        <w:rPr>
          <w:rFonts w:ascii="宋体" w:hAnsi="宋体" w:eastAsia="宋体"/>
          <w:szCs w:val="21"/>
          <w:u w:val="single"/>
        </w:rPr>
      </w:pPr>
    </w:p>
    <w:p w14:paraId="759EC158">
      <w:pPr>
        <w:spacing w:line="360" w:lineRule="auto"/>
        <w:rPr>
          <w:rFonts w:ascii="宋体" w:hAnsi="宋体" w:eastAsia="宋体"/>
          <w:szCs w:val="21"/>
          <w:u w:val="single"/>
        </w:rPr>
      </w:pPr>
    </w:p>
    <w:p w14:paraId="3BD754FC">
      <w:pPr>
        <w:spacing w:line="360" w:lineRule="auto"/>
        <w:rPr>
          <w:rFonts w:ascii="宋体" w:hAnsi="宋体" w:eastAsia="宋体"/>
          <w:szCs w:val="21"/>
          <w:u w:val="single"/>
        </w:rPr>
      </w:pPr>
    </w:p>
    <w:p w14:paraId="24F75E76">
      <w:pPr>
        <w:spacing w:line="360" w:lineRule="auto"/>
        <w:rPr>
          <w:rFonts w:ascii="宋体" w:hAnsi="宋体" w:eastAsia="宋体"/>
          <w:szCs w:val="21"/>
          <w:u w:val="single"/>
        </w:rPr>
      </w:pPr>
    </w:p>
    <w:p w14:paraId="14EED492">
      <w:pPr>
        <w:spacing w:line="360" w:lineRule="auto"/>
        <w:rPr>
          <w:rFonts w:ascii="宋体" w:hAnsi="宋体" w:eastAsia="宋体"/>
          <w:szCs w:val="21"/>
          <w:u w:val="single"/>
        </w:rPr>
      </w:pPr>
    </w:p>
    <w:p w14:paraId="1893C97A">
      <w:pPr>
        <w:pStyle w:val="2"/>
        <w:rPr>
          <w:rFonts w:ascii="宋体" w:hAnsi="宋体" w:eastAsia="宋体"/>
          <w:szCs w:val="21"/>
          <w:u w:val="single"/>
        </w:rPr>
      </w:pPr>
    </w:p>
    <w:p w14:paraId="3E3B07A8">
      <w:pPr>
        <w:pStyle w:val="2"/>
        <w:rPr>
          <w:rFonts w:ascii="宋体" w:hAnsi="宋体" w:eastAsia="宋体"/>
          <w:szCs w:val="21"/>
          <w:u w:val="single"/>
        </w:rPr>
      </w:pPr>
    </w:p>
    <w:p w14:paraId="61E59A86">
      <w:pPr>
        <w:pStyle w:val="2"/>
        <w:rPr>
          <w:rFonts w:ascii="宋体" w:hAnsi="宋体" w:eastAsia="宋体"/>
          <w:szCs w:val="21"/>
          <w:u w:val="single"/>
        </w:rPr>
      </w:pPr>
    </w:p>
    <w:p w14:paraId="52817D27">
      <w:pPr>
        <w:pStyle w:val="2"/>
        <w:rPr>
          <w:rFonts w:ascii="宋体" w:hAnsi="宋体" w:eastAsia="宋体"/>
          <w:szCs w:val="21"/>
          <w:u w:val="single"/>
        </w:rPr>
      </w:pPr>
    </w:p>
    <w:p w14:paraId="553372AA">
      <w:pPr>
        <w:pStyle w:val="2"/>
        <w:rPr>
          <w:rFonts w:ascii="宋体" w:hAnsi="宋体" w:eastAsia="宋体"/>
          <w:szCs w:val="21"/>
          <w:u w:val="single"/>
        </w:rPr>
      </w:pPr>
    </w:p>
    <w:p w14:paraId="55EA7838">
      <w:pPr>
        <w:widowControl/>
        <w:jc w:val="left"/>
        <w:rPr>
          <w:rFonts w:hint="eastAsia"/>
          <w:lang w:eastAsia="zh-CN"/>
        </w:rPr>
      </w:pPr>
    </w:p>
    <w:p w14:paraId="027A1541">
      <w:pPr>
        <w:widowControl/>
        <w:jc w:val="left"/>
        <w:rPr>
          <w:rFonts w:hint="eastAsia"/>
          <w:lang w:eastAsia="zh-CN"/>
        </w:rPr>
      </w:pPr>
    </w:p>
    <w:p w14:paraId="24877601">
      <w:pPr>
        <w:adjustRightInd w:val="0"/>
        <w:spacing w:line="360" w:lineRule="auto"/>
        <w:rPr>
          <w:rFonts w:hint="eastAsia" w:ascii="宋体" w:hAnsi="宋体" w:eastAsia="宋体"/>
          <w:b/>
          <w:bCs/>
          <w:szCs w:val="21"/>
          <w:lang w:eastAsia="zh-CN"/>
        </w:rPr>
      </w:pPr>
      <w:r>
        <w:rPr>
          <w:rFonts w:hint="eastAsia" w:ascii="宋体" w:hAnsi="宋体" w:eastAsia="宋体"/>
          <w:b/>
          <w:bCs/>
          <w:szCs w:val="21"/>
          <w:lang w:eastAsia="zh-CN"/>
        </w:rPr>
        <w:t>三、报价清单（格式）</w:t>
      </w:r>
    </w:p>
    <w:tbl>
      <w:tblPr>
        <w:tblStyle w:val="17"/>
        <w:tblW w:w="95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8"/>
        <w:gridCol w:w="2476"/>
        <w:gridCol w:w="2746"/>
        <w:gridCol w:w="857"/>
        <w:gridCol w:w="858"/>
        <w:gridCol w:w="857"/>
        <w:gridCol w:w="858"/>
      </w:tblGrid>
      <w:tr w14:paraId="3DCF7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510" w:type="dxa"/>
            <w:gridSpan w:val="7"/>
            <w:tcBorders>
              <w:top w:val="nil"/>
              <w:left w:val="nil"/>
              <w:bottom w:val="single" w:color="000000" w:sz="4" w:space="0"/>
              <w:right w:val="nil"/>
            </w:tcBorders>
            <w:shd w:val="clear" w:color="auto" w:fill="auto"/>
            <w:vAlign w:val="center"/>
          </w:tcPr>
          <w:p w14:paraId="2B52D70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南京机场一号航站楼低压成套配电柜委外保养项目报价清单</w:t>
            </w:r>
          </w:p>
        </w:tc>
      </w:tr>
      <w:tr w14:paraId="6B861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7F5339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F25667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单列项</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9266D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委外描述</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433CD5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4BD5D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36B2B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合价</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FDB5A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50A26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A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2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变电所低压成套配电柜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8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响应维保要求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0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8E2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E11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FBCB">
            <w:pPr>
              <w:jc w:val="center"/>
              <w:rPr>
                <w:rFonts w:hint="eastAsia" w:ascii="宋体" w:hAnsi="宋体" w:eastAsia="宋体" w:cs="宋体"/>
                <w:i w:val="0"/>
                <w:iCs w:val="0"/>
                <w:color w:val="000000"/>
                <w:sz w:val="24"/>
                <w:szCs w:val="24"/>
                <w:u w:val="none"/>
              </w:rPr>
            </w:pPr>
          </w:p>
        </w:tc>
      </w:tr>
      <w:tr w14:paraId="0B9CF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59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0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配电间低压落地配电柜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E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响应维保要求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B96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ECD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20A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58D7">
            <w:pPr>
              <w:jc w:val="center"/>
              <w:rPr>
                <w:rFonts w:hint="eastAsia" w:ascii="宋体" w:hAnsi="宋体" w:eastAsia="宋体" w:cs="宋体"/>
                <w:i w:val="0"/>
                <w:iCs w:val="0"/>
                <w:color w:val="000000"/>
                <w:sz w:val="24"/>
                <w:szCs w:val="24"/>
                <w:u w:val="none"/>
              </w:rPr>
            </w:pPr>
          </w:p>
        </w:tc>
      </w:tr>
      <w:tr w14:paraId="39258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9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2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（GE）ATS柜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59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响应维保要求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05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47E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B25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4A91">
            <w:pPr>
              <w:jc w:val="center"/>
              <w:rPr>
                <w:rFonts w:hint="eastAsia" w:ascii="宋体" w:hAnsi="宋体" w:eastAsia="宋体" w:cs="宋体"/>
                <w:i w:val="0"/>
                <w:iCs w:val="0"/>
                <w:color w:val="000000"/>
                <w:sz w:val="24"/>
                <w:szCs w:val="24"/>
                <w:u w:val="none"/>
              </w:rPr>
            </w:pPr>
          </w:p>
        </w:tc>
      </w:tr>
      <w:tr w14:paraId="45BC0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76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0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WBTPC柜</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10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控制系统、转换系统、信号、驱动、润滑、清洁、功能测试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E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757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D54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63A5">
            <w:pPr>
              <w:jc w:val="center"/>
              <w:rPr>
                <w:rFonts w:hint="eastAsia" w:ascii="宋体" w:hAnsi="宋体" w:eastAsia="宋体" w:cs="宋体"/>
                <w:i w:val="0"/>
                <w:iCs w:val="0"/>
                <w:color w:val="000000"/>
                <w:sz w:val="24"/>
                <w:szCs w:val="24"/>
                <w:u w:val="none"/>
              </w:rPr>
            </w:pPr>
          </w:p>
        </w:tc>
      </w:tr>
      <w:tr w14:paraId="02420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D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0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除税总价(∑1-4)</w:t>
            </w:r>
          </w:p>
        </w:tc>
        <w:tc>
          <w:tcPr>
            <w:tcW w:w="4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761BE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64B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E2B5">
            <w:pPr>
              <w:jc w:val="center"/>
              <w:rPr>
                <w:rFonts w:hint="eastAsia" w:ascii="宋体" w:hAnsi="宋体" w:eastAsia="宋体" w:cs="宋体"/>
                <w:i w:val="0"/>
                <w:iCs w:val="0"/>
                <w:color w:val="000000"/>
                <w:sz w:val="24"/>
                <w:szCs w:val="24"/>
                <w:u w:val="none"/>
              </w:rPr>
            </w:pPr>
          </w:p>
        </w:tc>
      </w:tr>
      <w:tr w14:paraId="17DB2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BB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C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税金（A*6%）</w:t>
            </w:r>
          </w:p>
        </w:tc>
        <w:tc>
          <w:tcPr>
            <w:tcW w:w="4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B7957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2659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4205">
            <w:pPr>
              <w:jc w:val="center"/>
              <w:rPr>
                <w:rFonts w:hint="eastAsia" w:ascii="宋体" w:hAnsi="宋体" w:eastAsia="宋体" w:cs="宋体"/>
                <w:i w:val="0"/>
                <w:iCs w:val="0"/>
                <w:color w:val="000000"/>
                <w:sz w:val="24"/>
                <w:szCs w:val="24"/>
                <w:u w:val="none"/>
              </w:rPr>
            </w:pPr>
          </w:p>
        </w:tc>
      </w:tr>
      <w:tr w14:paraId="02797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C8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0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含税总价(A+B)</w:t>
            </w:r>
          </w:p>
        </w:tc>
        <w:tc>
          <w:tcPr>
            <w:tcW w:w="4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F0C85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F18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9F0C">
            <w:pPr>
              <w:jc w:val="center"/>
              <w:rPr>
                <w:rFonts w:hint="eastAsia" w:ascii="宋体" w:hAnsi="宋体" w:eastAsia="宋体" w:cs="宋体"/>
                <w:i w:val="0"/>
                <w:iCs w:val="0"/>
                <w:color w:val="000000"/>
                <w:sz w:val="24"/>
                <w:szCs w:val="24"/>
                <w:u w:val="none"/>
              </w:rPr>
            </w:pPr>
          </w:p>
        </w:tc>
      </w:tr>
    </w:tbl>
    <w:p w14:paraId="70F306D8">
      <w:pPr>
        <w:spacing w:line="360" w:lineRule="auto"/>
        <w:rPr>
          <w:rFonts w:ascii="宋体" w:hAnsi="宋体" w:eastAsia="宋体"/>
          <w:szCs w:val="21"/>
          <w:u w:val="single"/>
        </w:rPr>
      </w:pPr>
    </w:p>
    <w:p w14:paraId="462D2E6E">
      <w:pPr>
        <w:pStyle w:val="7"/>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B7B37">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325" cy="154940"/>
                      </a:xfrm>
                      <a:prstGeom prst="rect">
                        <a:avLst/>
                      </a:prstGeom>
                      <a:noFill/>
                      <a:ln>
                        <a:noFill/>
                      </a:ln>
                      <a:effectLst/>
                    </wps:spPr>
                    <wps:txbx>
                      <w:txbxContent>
                        <w:p w14:paraId="391D65DA">
                          <w:pPr>
                            <w:pStyle w:val="1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qNJ8jRAAAAAgEAAA8AAAAAAAAAAQAgAAAAIgAAAGRy&#10;cy9kb3ducmV2LnhtbFBLAQIUABQAAAAIAIdO4kD2aHXo0wEAAKQDAAAOAAAAAAAAAAEAIAAAACAB&#10;AABkcnMvZTJvRG9jLnhtbFBLBQYAAAAABgAGAFkBAABlBQAAAAA=&#10;">
              <v:fill on="f" focussize="0,0"/>
              <v:stroke on="f"/>
              <v:imagedata o:title=""/>
              <o:lock v:ext="edit" aspectratio="f"/>
              <v:textbox inset="0mm,0mm,0mm,0mm" style="mso-fit-shape-to-text:t;">
                <w:txbxContent>
                  <w:p w14:paraId="391D65DA">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67795"/>
    <w:multiLevelType w:val="singleLevel"/>
    <w:tmpl w:val="8A167795"/>
    <w:lvl w:ilvl="0" w:tentative="0">
      <w:start w:val="1"/>
      <w:numFmt w:val="decimal"/>
      <w:suff w:val="nothing"/>
      <w:lvlText w:val="%1．"/>
      <w:lvlJc w:val="left"/>
      <w:pPr>
        <w:ind w:left="0" w:firstLine="400"/>
      </w:pPr>
      <w:rPr>
        <w:rFonts w:hint="default"/>
      </w:rPr>
    </w:lvl>
  </w:abstractNum>
  <w:abstractNum w:abstractNumId="1">
    <w:nsid w:val="9663C5AD"/>
    <w:multiLevelType w:val="singleLevel"/>
    <w:tmpl w:val="9663C5AD"/>
    <w:lvl w:ilvl="0" w:tentative="0">
      <w:start w:val="1"/>
      <w:numFmt w:val="decimal"/>
      <w:suff w:val="nothing"/>
      <w:lvlText w:val="%1．"/>
      <w:lvlJc w:val="left"/>
      <w:pPr>
        <w:ind w:left="0" w:firstLine="400"/>
      </w:pPr>
      <w:rPr>
        <w:rFonts w:hint="default"/>
      </w:rPr>
    </w:lvl>
  </w:abstractNum>
  <w:abstractNum w:abstractNumId="2">
    <w:nsid w:val="9FF12B06"/>
    <w:multiLevelType w:val="singleLevel"/>
    <w:tmpl w:val="9FF12B06"/>
    <w:lvl w:ilvl="0" w:tentative="0">
      <w:start w:val="1"/>
      <w:numFmt w:val="decimal"/>
      <w:suff w:val="nothing"/>
      <w:lvlText w:val="%1．"/>
      <w:lvlJc w:val="left"/>
      <w:pPr>
        <w:ind w:left="0" w:firstLine="400"/>
      </w:pPr>
      <w:rPr>
        <w:rFonts w:hint="default"/>
      </w:rPr>
    </w:lvl>
  </w:abstractNum>
  <w:abstractNum w:abstractNumId="3">
    <w:nsid w:val="A82EEA0E"/>
    <w:multiLevelType w:val="singleLevel"/>
    <w:tmpl w:val="A82EEA0E"/>
    <w:lvl w:ilvl="0" w:tentative="0">
      <w:start w:val="4"/>
      <w:numFmt w:val="chineseCounting"/>
      <w:suff w:val="nothing"/>
      <w:lvlText w:val="%1、"/>
      <w:lvlJc w:val="left"/>
      <w:rPr>
        <w:rFonts w:hint="eastAsia"/>
      </w:rPr>
    </w:lvl>
  </w:abstractNum>
  <w:abstractNum w:abstractNumId="4">
    <w:nsid w:val="0F87C47D"/>
    <w:multiLevelType w:val="singleLevel"/>
    <w:tmpl w:val="0F87C47D"/>
    <w:lvl w:ilvl="0" w:tentative="0">
      <w:start w:val="1"/>
      <w:numFmt w:val="decimal"/>
      <w:suff w:val="space"/>
      <w:lvlText w:val="%1."/>
      <w:lvlJc w:val="left"/>
    </w:lvl>
  </w:abstractNum>
  <w:abstractNum w:abstractNumId="5">
    <w:nsid w:val="329134B1"/>
    <w:multiLevelType w:val="multilevel"/>
    <w:tmpl w:val="329134B1"/>
    <w:lvl w:ilvl="0" w:tentative="0">
      <w:start w:val="7"/>
      <w:numFmt w:val="japaneseCounting"/>
      <w:lvlText w:val="%1、"/>
      <w:lvlJc w:val="left"/>
      <w:pPr>
        <w:ind w:left="456" w:hanging="4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x㈅丼㈜䷼㈜ꋈר ӧx㈅䰜㈜le:///C:\Users\Administrator\Desktop\$$2硴׊x㈅䰜㈜\Users\Administrator\Desktop\ā2磴׊x㈅䰜㈜ā''툷癥ā((2祴׊x㈅䰜㈜ā뼁癥ĂĖĂ2秴׊ࠀ庯귘Ž풀߃"/>
  </w:docVars>
  <w:rsids>
    <w:rsidRoot w:val="00FA45C3"/>
    <w:rsid w:val="00001EFA"/>
    <w:rsid w:val="00006BC1"/>
    <w:rsid w:val="00014ACF"/>
    <w:rsid w:val="00017316"/>
    <w:rsid w:val="0002149C"/>
    <w:rsid w:val="000270EB"/>
    <w:rsid w:val="000450CF"/>
    <w:rsid w:val="00045763"/>
    <w:rsid w:val="00050640"/>
    <w:rsid w:val="000509BA"/>
    <w:rsid w:val="00052C94"/>
    <w:rsid w:val="00054904"/>
    <w:rsid w:val="0006185D"/>
    <w:rsid w:val="0008143E"/>
    <w:rsid w:val="0008322A"/>
    <w:rsid w:val="00085307"/>
    <w:rsid w:val="00085F75"/>
    <w:rsid w:val="00087554"/>
    <w:rsid w:val="00090543"/>
    <w:rsid w:val="00095399"/>
    <w:rsid w:val="00095D79"/>
    <w:rsid w:val="000A41F7"/>
    <w:rsid w:val="000B0126"/>
    <w:rsid w:val="000C56A5"/>
    <w:rsid w:val="0012047E"/>
    <w:rsid w:val="00121263"/>
    <w:rsid w:val="00121A56"/>
    <w:rsid w:val="001275B6"/>
    <w:rsid w:val="00130409"/>
    <w:rsid w:val="00135212"/>
    <w:rsid w:val="0013548A"/>
    <w:rsid w:val="001454B0"/>
    <w:rsid w:val="001467BE"/>
    <w:rsid w:val="00151735"/>
    <w:rsid w:val="00155D8B"/>
    <w:rsid w:val="00167F52"/>
    <w:rsid w:val="00173480"/>
    <w:rsid w:val="00185A69"/>
    <w:rsid w:val="001A1AD4"/>
    <w:rsid w:val="001B4148"/>
    <w:rsid w:val="001B65FD"/>
    <w:rsid w:val="001C214F"/>
    <w:rsid w:val="001C3B83"/>
    <w:rsid w:val="001D6B71"/>
    <w:rsid w:val="001D77A3"/>
    <w:rsid w:val="001E5953"/>
    <w:rsid w:val="001F24EC"/>
    <w:rsid w:val="0023349B"/>
    <w:rsid w:val="002424AA"/>
    <w:rsid w:val="0025651D"/>
    <w:rsid w:val="002660FD"/>
    <w:rsid w:val="00283F57"/>
    <w:rsid w:val="002970F0"/>
    <w:rsid w:val="002A0D7A"/>
    <w:rsid w:val="002A736D"/>
    <w:rsid w:val="002B0664"/>
    <w:rsid w:val="002B2F59"/>
    <w:rsid w:val="002C5029"/>
    <w:rsid w:val="002D6A52"/>
    <w:rsid w:val="002E3070"/>
    <w:rsid w:val="002E3301"/>
    <w:rsid w:val="002F0047"/>
    <w:rsid w:val="002F6C13"/>
    <w:rsid w:val="003112CB"/>
    <w:rsid w:val="003145C7"/>
    <w:rsid w:val="003242FA"/>
    <w:rsid w:val="0033295F"/>
    <w:rsid w:val="00337DAE"/>
    <w:rsid w:val="00351E7F"/>
    <w:rsid w:val="00366070"/>
    <w:rsid w:val="0038096B"/>
    <w:rsid w:val="00380D9B"/>
    <w:rsid w:val="003865BA"/>
    <w:rsid w:val="0038797F"/>
    <w:rsid w:val="003934CF"/>
    <w:rsid w:val="00394303"/>
    <w:rsid w:val="003B01B4"/>
    <w:rsid w:val="003C1C48"/>
    <w:rsid w:val="003D4E3D"/>
    <w:rsid w:val="003E3CFE"/>
    <w:rsid w:val="004074A8"/>
    <w:rsid w:val="00415234"/>
    <w:rsid w:val="00417B4E"/>
    <w:rsid w:val="00417B60"/>
    <w:rsid w:val="0042138C"/>
    <w:rsid w:val="00422E49"/>
    <w:rsid w:val="00424A5A"/>
    <w:rsid w:val="00425FD1"/>
    <w:rsid w:val="00426A4B"/>
    <w:rsid w:val="00432B6A"/>
    <w:rsid w:val="00434838"/>
    <w:rsid w:val="004404DC"/>
    <w:rsid w:val="0044382F"/>
    <w:rsid w:val="00445C06"/>
    <w:rsid w:val="00446BF2"/>
    <w:rsid w:val="00452AFA"/>
    <w:rsid w:val="00457A0B"/>
    <w:rsid w:val="00461BAC"/>
    <w:rsid w:val="00461FE5"/>
    <w:rsid w:val="004841DE"/>
    <w:rsid w:val="004A79BB"/>
    <w:rsid w:val="004B1813"/>
    <w:rsid w:val="004C23DF"/>
    <w:rsid w:val="004C58F6"/>
    <w:rsid w:val="004F3C6C"/>
    <w:rsid w:val="00511190"/>
    <w:rsid w:val="00530777"/>
    <w:rsid w:val="005308B2"/>
    <w:rsid w:val="00536FB3"/>
    <w:rsid w:val="005601F1"/>
    <w:rsid w:val="005932B3"/>
    <w:rsid w:val="00597A2B"/>
    <w:rsid w:val="005A145E"/>
    <w:rsid w:val="005A1BC4"/>
    <w:rsid w:val="005B1368"/>
    <w:rsid w:val="005C066B"/>
    <w:rsid w:val="005D00C0"/>
    <w:rsid w:val="005E1E53"/>
    <w:rsid w:val="005E2984"/>
    <w:rsid w:val="005E6B38"/>
    <w:rsid w:val="005E7ECF"/>
    <w:rsid w:val="005F13DA"/>
    <w:rsid w:val="005F7F83"/>
    <w:rsid w:val="00606A44"/>
    <w:rsid w:val="00622063"/>
    <w:rsid w:val="00624B7C"/>
    <w:rsid w:val="00634A7F"/>
    <w:rsid w:val="00644178"/>
    <w:rsid w:val="00653943"/>
    <w:rsid w:val="006614D2"/>
    <w:rsid w:val="00662940"/>
    <w:rsid w:val="00672DAC"/>
    <w:rsid w:val="00672FD1"/>
    <w:rsid w:val="00683AFD"/>
    <w:rsid w:val="00693689"/>
    <w:rsid w:val="00693CDA"/>
    <w:rsid w:val="006944DC"/>
    <w:rsid w:val="00696F30"/>
    <w:rsid w:val="006A1B8E"/>
    <w:rsid w:val="006A5422"/>
    <w:rsid w:val="006B0C46"/>
    <w:rsid w:val="006B5356"/>
    <w:rsid w:val="006B7B37"/>
    <w:rsid w:val="006C6CA1"/>
    <w:rsid w:val="006E0719"/>
    <w:rsid w:val="006E604D"/>
    <w:rsid w:val="006F4213"/>
    <w:rsid w:val="006F4A29"/>
    <w:rsid w:val="006F5735"/>
    <w:rsid w:val="007032D7"/>
    <w:rsid w:val="007109B4"/>
    <w:rsid w:val="00710C3C"/>
    <w:rsid w:val="007214A2"/>
    <w:rsid w:val="0073764B"/>
    <w:rsid w:val="00740DEE"/>
    <w:rsid w:val="007442DD"/>
    <w:rsid w:val="00747416"/>
    <w:rsid w:val="007516C4"/>
    <w:rsid w:val="007536DA"/>
    <w:rsid w:val="007750CC"/>
    <w:rsid w:val="00777927"/>
    <w:rsid w:val="00787F57"/>
    <w:rsid w:val="007A014B"/>
    <w:rsid w:val="007A370E"/>
    <w:rsid w:val="007B7C0B"/>
    <w:rsid w:val="007C5634"/>
    <w:rsid w:val="007C741D"/>
    <w:rsid w:val="007C7E21"/>
    <w:rsid w:val="007D0630"/>
    <w:rsid w:val="007D5855"/>
    <w:rsid w:val="007E1036"/>
    <w:rsid w:val="007F1B4C"/>
    <w:rsid w:val="008158CF"/>
    <w:rsid w:val="00824C97"/>
    <w:rsid w:val="0082757B"/>
    <w:rsid w:val="00830EBC"/>
    <w:rsid w:val="008316EF"/>
    <w:rsid w:val="00831DDB"/>
    <w:rsid w:val="008375FD"/>
    <w:rsid w:val="008471B0"/>
    <w:rsid w:val="00854564"/>
    <w:rsid w:val="008676A6"/>
    <w:rsid w:val="00874E61"/>
    <w:rsid w:val="00884DB6"/>
    <w:rsid w:val="0089622E"/>
    <w:rsid w:val="008A61D2"/>
    <w:rsid w:val="008B1840"/>
    <w:rsid w:val="008B1DD0"/>
    <w:rsid w:val="008B2A22"/>
    <w:rsid w:val="008C342E"/>
    <w:rsid w:val="008C7B4A"/>
    <w:rsid w:val="008D4EAF"/>
    <w:rsid w:val="008F4391"/>
    <w:rsid w:val="008F65B8"/>
    <w:rsid w:val="008F7F39"/>
    <w:rsid w:val="009001E0"/>
    <w:rsid w:val="00902956"/>
    <w:rsid w:val="00912976"/>
    <w:rsid w:val="00926F6B"/>
    <w:rsid w:val="00937860"/>
    <w:rsid w:val="00942A56"/>
    <w:rsid w:val="00942AE7"/>
    <w:rsid w:val="00951FBB"/>
    <w:rsid w:val="0095207D"/>
    <w:rsid w:val="00964F4E"/>
    <w:rsid w:val="00966FBF"/>
    <w:rsid w:val="009730C6"/>
    <w:rsid w:val="00975AA7"/>
    <w:rsid w:val="009769A4"/>
    <w:rsid w:val="00990AB8"/>
    <w:rsid w:val="0099578D"/>
    <w:rsid w:val="009A35AA"/>
    <w:rsid w:val="009C4829"/>
    <w:rsid w:val="009C4DEB"/>
    <w:rsid w:val="00A06CC3"/>
    <w:rsid w:val="00A14CF5"/>
    <w:rsid w:val="00A157CF"/>
    <w:rsid w:val="00A359D3"/>
    <w:rsid w:val="00A37E0D"/>
    <w:rsid w:val="00A501B0"/>
    <w:rsid w:val="00A542B8"/>
    <w:rsid w:val="00A54EBF"/>
    <w:rsid w:val="00A60307"/>
    <w:rsid w:val="00A72789"/>
    <w:rsid w:val="00A7561E"/>
    <w:rsid w:val="00A76D74"/>
    <w:rsid w:val="00A77C51"/>
    <w:rsid w:val="00A92B76"/>
    <w:rsid w:val="00A95137"/>
    <w:rsid w:val="00A97BAC"/>
    <w:rsid w:val="00AA0627"/>
    <w:rsid w:val="00AC182A"/>
    <w:rsid w:val="00AD0B49"/>
    <w:rsid w:val="00AD7E2C"/>
    <w:rsid w:val="00AE7008"/>
    <w:rsid w:val="00B1502E"/>
    <w:rsid w:val="00B2141B"/>
    <w:rsid w:val="00B21ACE"/>
    <w:rsid w:val="00B30C83"/>
    <w:rsid w:val="00B4056B"/>
    <w:rsid w:val="00B526ED"/>
    <w:rsid w:val="00B5496D"/>
    <w:rsid w:val="00B55B55"/>
    <w:rsid w:val="00B736EB"/>
    <w:rsid w:val="00B76A39"/>
    <w:rsid w:val="00B76F18"/>
    <w:rsid w:val="00BA1DEB"/>
    <w:rsid w:val="00BA5D18"/>
    <w:rsid w:val="00BB362B"/>
    <w:rsid w:val="00BD7B51"/>
    <w:rsid w:val="00BD7F84"/>
    <w:rsid w:val="00BE4EDB"/>
    <w:rsid w:val="00BE6D10"/>
    <w:rsid w:val="00C13F94"/>
    <w:rsid w:val="00C26D96"/>
    <w:rsid w:val="00C3744D"/>
    <w:rsid w:val="00C40D02"/>
    <w:rsid w:val="00C42DD2"/>
    <w:rsid w:val="00C460FB"/>
    <w:rsid w:val="00C50278"/>
    <w:rsid w:val="00C50C19"/>
    <w:rsid w:val="00C6194C"/>
    <w:rsid w:val="00C64F9D"/>
    <w:rsid w:val="00C754E5"/>
    <w:rsid w:val="00C97AF8"/>
    <w:rsid w:val="00CA30FB"/>
    <w:rsid w:val="00CA4DEB"/>
    <w:rsid w:val="00CB3C17"/>
    <w:rsid w:val="00CB728A"/>
    <w:rsid w:val="00CC5751"/>
    <w:rsid w:val="00CD4368"/>
    <w:rsid w:val="00CD4A3C"/>
    <w:rsid w:val="00CE0270"/>
    <w:rsid w:val="00CE517A"/>
    <w:rsid w:val="00CE5A67"/>
    <w:rsid w:val="00CF128F"/>
    <w:rsid w:val="00D03710"/>
    <w:rsid w:val="00D103B8"/>
    <w:rsid w:val="00D15246"/>
    <w:rsid w:val="00D20213"/>
    <w:rsid w:val="00D20C63"/>
    <w:rsid w:val="00D25E0A"/>
    <w:rsid w:val="00D2752F"/>
    <w:rsid w:val="00D44551"/>
    <w:rsid w:val="00D521B3"/>
    <w:rsid w:val="00D614D4"/>
    <w:rsid w:val="00D639D8"/>
    <w:rsid w:val="00D67F42"/>
    <w:rsid w:val="00D74D88"/>
    <w:rsid w:val="00D84A05"/>
    <w:rsid w:val="00DA0847"/>
    <w:rsid w:val="00DA1340"/>
    <w:rsid w:val="00DA75FD"/>
    <w:rsid w:val="00DB0161"/>
    <w:rsid w:val="00DC0BB4"/>
    <w:rsid w:val="00DC59C7"/>
    <w:rsid w:val="00DE3594"/>
    <w:rsid w:val="00DF5EEA"/>
    <w:rsid w:val="00E26CF8"/>
    <w:rsid w:val="00E32C90"/>
    <w:rsid w:val="00E3750A"/>
    <w:rsid w:val="00E4413A"/>
    <w:rsid w:val="00E449C6"/>
    <w:rsid w:val="00E54FA3"/>
    <w:rsid w:val="00E60AB9"/>
    <w:rsid w:val="00E61AFE"/>
    <w:rsid w:val="00E64CDB"/>
    <w:rsid w:val="00E6513F"/>
    <w:rsid w:val="00E66D45"/>
    <w:rsid w:val="00E753BD"/>
    <w:rsid w:val="00E80483"/>
    <w:rsid w:val="00E832BB"/>
    <w:rsid w:val="00E87749"/>
    <w:rsid w:val="00E97EC3"/>
    <w:rsid w:val="00EA40FC"/>
    <w:rsid w:val="00EC0C64"/>
    <w:rsid w:val="00EC2371"/>
    <w:rsid w:val="00ED622F"/>
    <w:rsid w:val="00EE6F22"/>
    <w:rsid w:val="00EF1E92"/>
    <w:rsid w:val="00EF6ECE"/>
    <w:rsid w:val="00F00499"/>
    <w:rsid w:val="00F10D88"/>
    <w:rsid w:val="00F12760"/>
    <w:rsid w:val="00F22D55"/>
    <w:rsid w:val="00F304DE"/>
    <w:rsid w:val="00F3794D"/>
    <w:rsid w:val="00F6227D"/>
    <w:rsid w:val="00F6458E"/>
    <w:rsid w:val="00F762D4"/>
    <w:rsid w:val="00F814EC"/>
    <w:rsid w:val="00FA45C3"/>
    <w:rsid w:val="00FA5BD1"/>
    <w:rsid w:val="00FB3D4D"/>
    <w:rsid w:val="00FB5EE9"/>
    <w:rsid w:val="00FB7BD8"/>
    <w:rsid w:val="00FE3674"/>
    <w:rsid w:val="00FF6371"/>
    <w:rsid w:val="01120833"/>
    <w:rsid w:val="011B6B86"/>
    <w:rsid w:val="018F4C90"/>
    <w:rsid w:val="01A24B65"/>
    <w:rsid w:val="01CC220F"/>
    <w:rsid w:val="01DB41A4"/>
    <w:rsid w:val="01F2259F"/>
    <w:rsid w:val="02B04CF6"/>
    <w:rsid w:val="03421004"/>
    <w:rsid w:val="03EA43BB"/>
    <w:rsid w:val="04275085"/>
    <w:rsid w:val="0473134D"/>
    <w:rsid w:val="04A32D70"/>
    <w:rsid w:val="04F757BA"/>
    <w:rsid w:val="05275FBB"/>
    <w:rsid w:val="05BA506E"/>
    <w:rsid w:val="0605662C"/>
    <w:rsid w:val="06075010"/>
    <w:rsid w:val="060A6F45"/>
    <w:rsid w:val="06DD2665"/>
    <w:rsid w:val="06E6543D"/>
    <w:rsid w:val="06F735C0"/>
    <w:rsid w:val="070D3287"/>
    <w:rsid w:val="071874D5"/>
    <w:rsid w:val="07333565"/>
    <w:rsid w:val="076A394F"/>
    <w:rsid w:val="0786202A"/>
    <w:rsid w:val="07E76F94"/>
    <w:rsid w:val="080C13C2"/>
    <w:rsid w:val="0836769C"/>
    <w:rsid w:val="08533D34"/>
    <w:rsid w:val="08E01342"/>
    <w:rsid w:val="09097D8F"/>
    <w:rsid w:val="091C6C43"/>
    <w:rsid w:val="09357238"/>
    <w:rsid w:val="09BB437F"/>
    <w:rsid w:val="0A171CFD"/>
    <w:rsid w:val="0A576BC9"/>
    <w:rsid w:val="0B3B49A5"/>
    <w:rsid w:val="0BEC359B"/>
    <w:rsid w:val="0C7F0F8A"/>
    <w:rsid w:val="0CCB0A0B"/>
    <w:rsid w:val="0D0904F0"/>
    <w:rsid w:val="0D5C5433"/>
    <w:rsid w:val="0E475B71"/>
    <w:rsid w:val="0EA4366D"/>
    <w:rsid w:val="0EB61058"/>
    <w:rsid w:val="0EC84F01"/>
    <w:rsid w:val="10293910"/>
    <w:rsid w:val="105947EA"/>
    <w:rsid w:val="107D407E"/>
    <w:rsid w:val="10874875"/>
    <w:rsid w:val="10967DA4"/>
    <w:rsid w:val="10E20F9C"/>
    <w:rsid w:val="10E8081C"/>
    <w:rsid w:val="110A60E1"/>
    <w:rsid w:val="110D0C99"/>
    <w:rsid w:val="11153C98"/>
    <w:rsid w:val="11254E98"/>
    <w:rsid w:val="112F56EF"/>
    <w:rsid w:val="1150597D"/>
    <w:rsid w:val="11824F9B"/>
    <w:rsid w:val="11C608E9"/>
    <w:rsid w:val="12025520"/>
    <w:rsid w:val="126112E9"/>
    <w:rsid w:val="13144325"/>
    <w:rsid w:val="134D760E"/>
    <w:rsid w:val="138F2450"/>
    <w:rsid w:val="141236DD"/>
    <w:rsid w:val="14525288"/>
    <w:rsid w:val="14937848"/>
    <w:rsid w:val="15447873"/>
    <w:rsid w:val="1557554F"/>
    <w:rsid w:val="155865F1"/>
    <w:rsid w:val="157C32A8"/>
    <w:rsid w:val="157D344D"/>
    <w:rsid w:val="1593273D"/>
    <w:rsid w:val="15BD7451"/>
    <w:rsid w:val="162E3271"/>
    <w:rsid w:val="163F78A3"/>
    <w:rsid w:val="16A57539"/>
    <w:rsid w:val="171E50EE"/>
    <w:rsid w:val="177F779E"/>
    <w:rsid w:val="17B2553C"/>
    <w:rsid w:val="17CC2ADD"/>
    <w:rsid w:val="18770412"/>
    <w:rsid w:val="18C82435"/>
    <w:rsid w:val="1916663F"/>
    <w:rsid w:val="197118BC"/>
    <w:rsid w:val="19805C7B"/>
    <w:rsid w:val="199B34DE"/>
    <w:rsid w:val="199C5B04"/>
    <w:rsid w:val="19B062D1"/>
    <w:rsid w:val="19C808E7"/>
    <w:rsid w:val="19E62B8F"/>
    <w:rsid w:val="1A193652"/>
    <w:rsid w:val="1A316D9F"/>
    <w:rsid w:val="1A517F0C"/>
    <w:rsid w:val="1A785E37"/>
    <w:rsid w:val="1A7B484C"/>
    <w:rsid w:val="1A891BE3"/>
    <w:rsid w:val="1B201437"/>
    <w:rsid w:val="1B3672A9"/>
    <w:rsid w:val="1B8D003A"/>
    <w:rsid w:val="1BB46305"/>
    <w:rsid w:val="1BF62F50"/>
    <w:rsid w:val="1C0B003D"/>
    <w:rsid w:val="1C4E763B"/>
    <w:rsid w:val="1C50700B"/>
    <w:rsid w:val="1C5E2A6D"/>
    <w:rsid w:val="1C63267E"/>
    <w:rsid w:val="1CF76192"/>
    <w:rsid w:val="1D075FBA"/>
    <w:rsid w:val="1D226646"/>
    <w:rsid w:val="1D2F5C4B"/>
    <w:rsid w:val="1D3E7BE0"/>
    <w:rsid w:val="1D57445C"/>
    <w:rsid w:val="1D691241"/>
    <w:rsid w:val="1DC6060E"/>
    <w:rsid w:val="1E026C3D"/>
    <w:rsid w:val="1E0F7885"/>
    <w:rsid w:val="1E1952E6"/>
    <w:rsid w:val="1E6A6074"/>
    <w:rsid w:val="1E9C0E51"/>
    <w:rsid w:val="1EBB4B56"/>
    <w:rsid w:val="1F2D695B"/>
    <w:rsid w:val="1F3B03AF"/>
    <w:rsid w:val="1F497C60"/>
    <w:rsid w:val="1F4D2E69"/>
    <w:rsid w:val="1F9377D0"/>
    <w:rsid w:val="20397D68"/>
    <w:rsid w:val="20593D15"/>
    <w:rsid w:val="213118C3"/>
    <w:rsid w:val="216E446A"/>
    <w:rsid w:val="219276BE"/>
    <w:rsid w:val="21E05BE3"/>
    <w:rsid w:val="21FC4B2C"/>
    <w:rsid w:val="220E0D56"/>
    <w:rsid w:val="227834E5"/>
    <w:rsid w:val="22785715"/>
    <w:rsid w:val="22CF3D2A"/>
    <w:rsid w:val="23782D02"/>
    <w:rsid w:val="24114269"/>
    <w:rsid w:val="24756566"/>
    <w:rsid w:val="24B619C5"/>
    <w:rsid w:val="24C50961"/>
    <w:rsid w:val="24FE1903"/>
    <w:rsid w:val="25170CE0"/>
    <w:rsid w:val="253E670B"/>
    <w:rsid w:val="254A1F3C"/>
    <w:rsid w:val="258C240D"/>
    <w:rsid w:val="25A14E0E"/>
    <w:rsid w:val="26BC17D3"/>
    <w:rsid w:val="27394E69"/>
    <w:rsid w:val="27E71675"/>
    <w:rsid w:val="28396156"/>
    <w:rsid w:val="28430C7D"/>
    <w:rsid w:val="28460094"/>
    <w:rsid w:val="28547ABB"/>
    <w:rsid w:val="288966F4"/>
    <w:rsid w:val="28AC526C"/>
    <w:rsid w:val="29006488"/>
    <w:rsid w:val="29A42EEA"/>
    <w:rsid w:val="29C9356B"/>
    <w:rsid w:val="29E80EB7"/>
    <w:rsid w:val="2A8F1DF8"/>
    <w:rsid w:val="2B224C7F"/>
    <w:rsid w:val="2B281CD7"/>
    <w:rsid w:val="2B2820E9"/>
    <w:rsid w:val="2B4C7806"/>
    <w:rsid w:val="2BEF5CC4"/>
    <w:rsid w:val="2C086D87"/>
    <w:rsid w:val="2C3733F1"/>
    <w:rsid w:val="2C4613C9"/>
    <w:rsid w:val="2C562D1C"/>
    <w:rsid w:val="2C5A1F63"/>
    <w:rsid w:val="2C603BDB"/>
    <w:rsid w:val="2CCA7B2C"/>
    <w:rsid w:val="2D0C3CCD"/>
    <w:rsid w:val="2D1155FB"/>
    <w:rsid w:val="2D5E23D3"/>
    <w:rsid w:val="2DD96808"/>
    <w:rsid w:val="2E302183"/>
    <w:rsid w:val="2EA91FD6"/>
    <w:rsid w:val="2F1D6160"/>
    <w:rsid w:val="2F46162E"/>
    <w:rsid w:val="2FD60BD5"/>
    <w:rsid w:val="2FDD0CA8"/>
    <w:rsid w:val="2FE01E71"/>
    <w:rsid w:val="2FE95FD2"/>
    <w:rsid w:val="305F2235"/>
    <w:rsid w:val="30DF03FF"/>
    <w:rsid w:val="3154525B"/>
    <w:rsid w:val="31CC0DBF"/>
    <w:rsid w:val="32A70098"/>
    <w:rsid w:val="32BC6072"/>
    <w:rsid w:val="32DD5AB0"/>
    <w:rsid w:val="32F52795"/>
    <w:rsid w:val="337C3E29"/>
    <w:rsid w:val="33CE7EB5"/>
    <w:rsid w:val="33F02C3D"/>
    <w:rsid w:val="34393497"/>
    <w:rsid w:val="345A4A97"/>
    <w:rsid w:val="34E16FD5"/>
    <w:rsid w:val="35043636"/>
    <w:rsid w:val="354C5F74"/>
    <w:rsid w:val="359E384F"/>
    <w:rsid w:val="35A7633D"/>
    <w:rsid w:val="35DA3E7A"/>
    <w:rsid w:val="35DE1766"/>
    <w:rsid w:val="36304163"/>
    <w:rsid w:val="36316A75"/>
    <w:rsid w:val="36477B12"/>
    <w:rsid w:val="3670241C"/>
    <w:rsid w:val="36855AA6"/>
    <w:rsid w:val="37184804"/>
    <w:rsid w:val="37F47586"/>
    <w:rsid w:val="381D4B68"/>
    <w:rsid w:val="38313FBC"/>
    <w:rsid w:val="38C74734"/>
    <w:rsid w:val="391F32DE"/>
    <w:rsid w:val="392B15B0"/>
    <w:rsid w:val="398B1863"/>
    <w:rsid w:val="3A012039"/>
    <w:rsid w:val="3A2425E2"/>
    <w:rsid w:val="3AAA1A14"/>
    <w:rsid w:val="3AB57EE0"/>
    <w:rsid w:val="3AE95F7C"/>
    <w:rsid w:val="3B630051"/>
    <w:rsid w:val="3B8D5021"/>
    <w:rsid w:val="3C0B2E86"/>
    <w:rsid w:val="3C521C6E"/>
    <w:rsid w:val="3C91106D"/>
    <w:rsid w:val="3CA75790"/>
    <w:rsid w:val="3CF320FD"/>
    <w:rsid w:val="3D0F00E3"/>
    <w:rsid w:val="3D5A76A1"/>
    <w:rsid w:val="3D893611"/>
    <w:rsid w:val="3D934EBE"/>
    <w:rsid w:val="3DBD470A"/>
    <w:rsid w:val="3DE61720"/>
    <w:rsid w:val="3E0074D1"/>
    <w:rsid w:val="3E964FFC"/>
    <w:rsid w:val="3ED53919"/>
    <w:rsid w:val="3EDC0A98"/>
    <w:rsid w:val="3F6202E5"/>
    <w:rsid w:val="40360E64"/>
    <w:rsid w:val="40A67B23"/>
    <w:rsid w:val="411150BF"/>
    <w:rsid w:val="41195858"/>
    <w:rsid w:val="419E77B3"/>
    <w:rsid w:val="422239F0"/>
    <w:rsid w:val="42631182"/>
    <w:rsid w:val="429F588C"/>
    <w:rsid w:val="42D55ECF"/>
    <w:rsid w:val="42E84DC1"/>
    <w:rsid w:val="4336063D"/>
    <w:rsid w:val="438A60A1"/>
    <w:rsid w:val="43A22E83"/>
    <w:rsid w:val="43B1537A"/>
    <w:rsid w:val="43FF2A5C"/>
    <w:rsid w:val="447839DC"/>
    <w:rsid w:val="44981847"/>
    <w:rsid w:val="44DF4BB3"/>
    <w:rsid w:val="4545100B"/>
    <w:rsid w:val="459A6660"/>
    <w:rsid w:val="459B4F7E"/>
    <w:rsid w:val="464004CF"/>
    <w:rsid w:val="468C72C9"/>
    <w:rsid w:val="46EF7DD9"/>
    <w:rsid w:val="46F26E20"/>
    <w:rsid w:val="47D12ED9"/>
    <w:rsid w:val="48032552"/>
    <w:rsid w:val="483F6908"/>
    <w:rsid w:val="48790AA1"/>
    <w:rsid w:val="48A11A2A"/>
    <w:rsid w:val="48CF4000"/>
    <w:rsid w:val="495E2987"/>
    <w:rsid w:val="49C255DA"/>
    <w:rsid w:val="49D2118A"/>
    <w:rsid w:val="49DD484A"/>
    <w:rsid w:val="49E61E9B"/>
    <w:rsid w:val="4AAB46A7"/>
    <w:rsid w:val="4AF31554"/>
    <w:rsid w:val="4B1E60F5"/>
    <w:rsid w:val="4B6D116B"/>
    <w:rsid w:val="4BDA0780"/>
    <w:rsid w:val="4C6156AA"/>
    <w:rsid w:val="4C663BA1"/>
    <w:rsid w:val="4C6A6D6A"/>
    <w:rsid w:val="4C7E52FC"/>
    <w:rsid w:val="4D0B0A3C"/>
    <w:rsid w:val="4D58651D"/>
    <w:rsid w:val="4D5A3B75"/>
    <w:rsid w:val="4D923BFA"/>
    <w:rsid w:val="4D93478D"/>
    <w:rsid w:val="4DE16D4D"/>
    <w:rsid w:val="4DEE5F5A"/>
    <w:rsid w:val="4E1C21C2"/>
    <w:rsid w:val="4E47273F"/>
    <w:rsid w:val="4E601E02"/>
    <w:rsid w:val="4E8F4BF2"/>
    <w:rsid w:val="4F0022F6"/>
    <w:rsid w:val="4F1941EA"/>
    <w:rsid w:val="4F6457CE"/>
    <w:rsid w:val="4F8D1AFB"/>
    <w:rsid w:val="4F925E3F"/>
    <w:rsid w:val="4FB13FE5"/>
    <w:rsid w:val="4FCE41A2"/>
    <w:rsid w:val="4FEA6BA5"/>
    <w:rsid w:val="502C2612"/>
    <w:rsid w:val="50724FC4"/>
    <w:rsid w:val="508B00C1"/>
    <w:rsid w:val="50C959BB"/>
    <w:rsid w:val="50ED24D2"/>
    <w:rsid w:val="511711AE"/>
    <w:rsid w:val="51582E84"/>
    <w:rsid w:val="518B5E73"/>
    <w:rsid w:val="51AC22C1"/>
    <w:rsid w:val="53185FA2"/>
    <w:rsid w:val="533B1B4E"/>
    <w:rsid w:val="53655287"/>
    <w:rsid w:val="53752E19"/>
    <w:rsid w:val="537863BA"/>
    <w:rsid w:val="538A011C"/>
    <w:rsid w:val="5434369E"/>
    <w:rsid w:val="54406946"/>
    <w:rsid w:val="5483005A"/>
    <w:rsid w:val="54E81862"/>
    <w:rsid w:val="54F407E1"/>
    <w:rsid w:val="54FE6DE4"/>
    <w:rsid w:val="556348E4"/>
    <w:rsid w:val="562C39D0"/>
    <w:rsid w:val="56910414"/>
    <w:rsid w:val="56C4428F"/>
    <w:rsid w:val="56ED10C3"/>
    <w:rsid w:val="56F23931"/>
    <w:rsid w:val="578030FE"/>
    <w:rsid w:val="57836AA3"/>
    <w:rsid w:val="578F6DC3"/>
    <w:rsid w:val="57EC21F6"/>
    <w:rsid w:val="580007B9"/>
    <w:rsid w:val="585E4020"/>
    <w:rsid w:val="58970413"/>
    <w:rsid w:val="58984C53"/>
    <w:rsid w:val="58A67A6A"/>
    <w:rsid w:val="58AF3D0C"/>
    <w:rsid w:val="59C13ACF"/>
    <w:rsid w:val="5A194A8B"/>
    <w:rsid w:val="5A1D1FAE"/>
    <w:rsid w:val="5B6A0251"/>
    <w:rsid w:val="5B965575"/>
    <w:rsid w:val="5BAB1071"/>
    <w:rsid w:val="5BBA0BBE"/>
    <w:rsid w:val="5C045E86"/>
    <w:rsid w:val="5C4C447D"/>
    <w:rsid w:val="5C712A93"/>
    <w:rsid w:val="5CA95E43"/>
    <w:rsid w:val="5CAC0BBD"/>
    <w:rsid w:val="5CB53DB8"/>
    <w:rsid w:val="5CE74247"/>
    <w:rsid w:val="5D224C5C"/>
    <w:rsid w:val="5D30766A"/>
    <w:rsid w:val="5D352EBF"/>
    <w:rsid w:val="5D3E3A06"/>
    <w:rsid w:val="5D4A4AF4"/>
    <w:rsid w:val="5D5A096B"/>
    <w:rsid w:val="5D9E797D"/>
    <w:rsid w:val="5EC14129"/>
    <w:rsid w:val="5F4B5A23"/>
    <w:rsid w:val="5F654690"/>
    <w:rsid w:val="5F6A52F0"/>
    <w:rsid w:val="5F6F2CF6"/>
    <w:rsid w:val="5FF34E64"/>
    <w:rsid w:val="5FF67D93"/>
    <w:rsid w:val="5FFFA5BA"/>
    <w:rsid w:val="608D50E3"/>
    <w:rsid w:val="60C467DE"/>
    <w:rsid w:val="61321BF9"/>
    <w:rsid w:val="61336C3E"/>
    <w:rsid w:val="616C7508"/>
    <w:rsid w:val="618E37BF"/>
    <w:rsid w:val="61F2719C"/>
    <w:rsid w:val="62270D63"/>
    <w:rsid w:val="62350D4E"/>
    <w:rsid w:val="62576DF4"/>
    <w:rsid w:val="629657CC"/>
    <w:rsid w:val="62966D56"/>
    <w:rsid w:val="62DA69BD"/>
    <w:rsid w:val="634E2E75"/>
    <w:rsid w:val="63D413B5"/>
    <w:rsid w:val="63E43225"/>
    <w:rsid w:val="64023BAD"/>
    <w:rsid w:val="643E324C"/>
    <w:rsid w:val="647501B5"/>
    <w:rsid w:val="65315CE7"/>
    <w:rsid w:val="653E7CA9"/>
    <w:rsid w:val="654E6DB7"/>
    <w:rsid w:val="65B7085A"/>
    <w:rsid w:val="6628635C"/>
    <w:rsid w:val="663A7182"/>
    <w:rsid w:val="664F4996"/>
    <w:rsid w:val="66510A6B"/>
    <w:rsid w:val="66B477F6"/>
    <w:rsid w:val="66EA24BB"/>
    <w:rsid w:val="67021202"/>
    <w:rsid w:val="671B3BFA"/>
    <w:rsid w:val="674B1BF0"/>
    <w:rsid w:val="678711A5"/>
    <w:rsid w:val="683A4167"/>
    <w:rsid w:val="687572B0"/>
    <w:rsid w:val="691C4D0B"/>
    <w:rsid w:val="69205385"/>
    <w:rsid w:val="69612333"/>
    <w:rsid w:val="69993794"/>
    <w:rsid w:val="69D925B6"/>
    <w:rsid w:val="6B241800"/>
    <w:rsid w:val="6B3A6CFA"/>
    <w:rsid w:val="6C5B5FEC"/>
    <w:rsid w:val="6D192C2B"/>
    <w:rsid w:val="6D1B2157"/>
    <w:rsid w:val="6D1B57B3"/>
    <w:rsid w:val="6D320A1A"/>
    <w:rsid w:val="6DA225D9"/>
    <w:rsid w:val="6DAE189E"/>
    <w:rsid w:val="6E8C114F"/>
    <w:rsid w:val="6EA27EBD"/>
    <w:rsid w:val="6EBD534C"/>
    <w:rsid w:val="6F1057E5"/>
    <w:rsid w:val="6F152DFC"/>
    <w:rsid w:val="6F170A31"/>
    <w:rsid w:val="6F1D24E3"/>
    <w:rsid w:val="6F5D4165"/>
    <w:rsid w:val="6F7B4B26"/>
    <w:rsid w:val="6F9B3AF4"/>
    <w:rsid w:val="70592455"/>
    <w:rsid w:val="70626711"/>
    <w:rsid w:val="70930067"/>
    <w:rsid w:val="71D80DD7"/>
    <w:rsid w:val="71DD780B"/>
    <w:rsid w:val="72097C24"/>
    <w:rsid w:val="728B74D9"/>
    <w:rsid w:val="72A83CA7"/>
    <w:rsid w:val="72E4701B"/>
    <w:rsid w:val="747F5E6F"/>
    <w:rsid w:val="74A358D5"/>
    <w:rsid w:val="74AE37EC"/>
    <w:rsid w:val="74ED2202"/>
    <w:rsid w:val="74F5159C"/>
    <w:rsid w:val="750D1834"/>
    <w:rsid w:val="75291FFF"/>
    <w:rsid w:val="754548E7"/>
    <w:rsid w:val="75461F38"/>
    <w:rsid w:val="75574211"/>
    <w:rsid w:val="761B5546"/>
    <w:rsid w:val="76401F90"/>
    <w:rsid w:val="768B61FD"/>
    <w:rsid w:val="76C1660D"/>
    <w:rsid w:val="76C50705"/>
    <w:rsid w:val="77974740"/>
    <w:rsid w:val="782013BC"/>
    <w:rsid w:val="788A0850"/>
    <w:rsid w:val="78FD0173"/>
    <w:rsid w:val="79940D02"/>
    <w:rsid w:val="79D704F2"/>
    <w:rsid w:val="79FF197D"/>
    <w:rsid w:val="7A261BA7"/>
    <w:rsid w:val="7A3F671C"/>
    <w:rsid w:val="7A4F27D3"/>
    <w:rsid w:val="7A8652DB"/>
    <w:rsid w:val="7B03665F"/>
    <w:rsid w:val="7B2B7B1F"/>
    <w:rsid w:val="7B4D4BAA"/>
    <w:rsid w:val="7B63040D"/>
    <w:rsid w:val="7B8B4B71"/>
    <w:rsid w:val="7C212B58"/>
    <w:rsid w:val="7C264D67"/>
    <w:rsid w:val="7C282A21"/>
    <w:rsid w:val="7C6443FF"/>
    <w:rsid w:val="7CA5738C"/>
    <w:rsid w:val="7CBC5C4D"/>
    <w:rsid w:val="7CEB7C58"/>
    <w:rsid w:val="7CF07FCF"/>
    <w:rsid w:val="7CF34F0C"/>
    <w:rsid w:val="7D0F532E"/>
    <w:rsid w:val="7D922E11"/>
    <w:rsid w:val="7DC10B3E"/>
    <w:rsid w:val="7DDA473D"/>
    <w:rsid w:val="7E6C5BAC"/>
    <w:rsid w:val="7F291A16"/>
    <w:rsid w:val="7F846319"/>
    <w:rsid w:val="7FDF1168"/>
    <w:rsid w:val="7FEB5712"/>
    <w:rsid w:val="7FF5E73E"/>
    <w:rsid w:val="86DF48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30"/>
    <w:qFormat/>
    <w:uiPriority w:val="99"/>
    <w:rPr>
      <w:rFonts w:ascii="宋体" w:hAnsi="Courier New" w:eastAsia="宋体"/>
      <w:szCs w:val="21"/>
    </w:rPr>
  </w:style>
  <w:style w:type="paragraph" w:styleId="7">
    <w:name w:val="Normal Indent"/>
    <w:basedOn w:val="1"/>
    <w:qFormat/>
    <w:uiPriority w:val="0"/>
    <w:pPr>
      <w:adjustRightInd w:val="0"/>
      <w:spacing w:line="360" w:lineRule="atLeast"/>
      <w:ind w:firstLine="482"/>
      <w:textAlignment w:val="baseline"/>
    </w:pPr>
    <w:rPr>
      <w:kern w:val="0"/>
      <w:sz w:val="24"/>
      <w:szCs w:val="20"/>
    </w:rPr>
  </w:style>
  <w:style w:type="paragraph" w:styleId="8">
    <w:name w:val="annotation text"/>
    <w:basedOn w:val="1"/>
    <w:link w:val="23"/>
    <w:qFormat/>
    <w:uiPriority w:val="0"/>
    <w:pPr>
      <w:jc w:val="left"/>
    </w:pPr>
  </w:style>
  <w:style w:type="paragraph" w:styleId="9">
    <w:name w:val="Body Text"/>
    <w:basedOn w:val="1"/>
    <w:qFormat/>
    <w:uiPriority w:val="0"/>
    <w:rPr>
      <w:sz w:val="24"/>
    </w:rPr>
  </w:style>
  <w:style w:type="paragraph" w:styleId="10">
    <w:name w:val="Body Text Indent"/>
    <w:basedOn w:val="1"/>
    <w:qFormat/>
    <w:uiPriority w:val="0"/>
    <w:pPr>
      <w:adjustRightInd w:val="0"/>
      <w:spacing w:line="312" w:lineRule="atLeast"/>
      <w:ind w:firstLine="420"/>
      <w:textAlignment w:val="baseline"/>
    </w:pPr>
    <w:rPr>
      <w:kern w:val="0"/>
      <w:szCs w:val="20"/>
    </w:rPr>
  </w:style>
  <w:style w:type="paragraph" w:styleId="11">
    <w:name w:val="Balloon Text"/>
    <w:basedOn w:val="1"/>
    <w:semiHidden/>
    <w:qFormat/>
    <w:uiPriority w:val="0"/>
    <w:rPr>
      <w:sz w:val="18"/>
      <w:szCs w:val="18"/>
    </w:rPr>
  </w:style>
  <w:style w:type="paragraph" w:styleId="12">
    <w:name w:val="footer"/>
    <w:basedOn w:val="1"/>
    <w:link w:val="26"/>
    <w:qFormat/>
    <w:uiPriority w:val="0"/>
    <w:pPr>
      <w:tabs>
        <w:tab w:val="center" w:pos="4153"/>
        <w:tab w:val="right" w:pos="8306"/>
      </w:tabs>
      <w:snapToGrid w:val="0"/>
      <w:jc w:val="left"/>
    </w:pPr>
    <w:rPr>
      <w:sz w:val="18"/>
      <w:szCs w:val="18"/>
    </w:rPr>
  </w:style>
  <w:style w:type="paragraph" w:styleId="13">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Autospacing="1" w:afterAutospacing="1"/>
      <w:jc w:val="left"/>
    </w:pPr>
    <w:rPr>
      <w:sz w:val="24"/>
    </w:rPr>
  </w:style>
  <w:style w:type="paragraph" w:styleId="15">
    <w:name w:val="Title"/>
    <w:basedOn w:val="1"/>
    <w:next w:val="1"/>
    <w:qFormat/>
    <w:uiPriority w:val="0"/>
    <w:pPr>
      <w:spacing w:before="240" w:after="60"/>
      <w:jc w:val="center"/>
      <w:outlineLvl w:val="0"/>
    </w:pPr>
    <w:rPr>
      <w:rFonts w:ascii="Cambria" w:hAnsi="Cambria"/>
      <w:b/>
      <w:bCs/>
      <w:sz w:val="32"/>
      <w:szCs w:val="32"/>
    </w:rPr>
  </w:style>
  <w:style w:type="paragraph" w:styleId="16">
    <w:name w:val="annotation subject"/>
    <w:basedOn w:val="8"/>
    <w:next w:val="8"/>
    <w:link w:val="25"/>
    <w:qFormat/>
    <w:uiPriority w:val="0"/>
    <w:rPr>
      <w:b/>
      <w:bCs/>
    </w:rPr>
  </w:style>
  <w:style w:type="table" w:styleId="18">
    <w:name w:val="Table Grid"/>
    <w:basedOn w:val="17"/>
    <w:qFormat/>
    <w:uiPriority w:val="59"/>
    <w:rPr>
      <w:rFonts w:ascii="Calibri" w:hAnsi="Calibri" w:eastAsia="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page number"/>
    <w:basedOn w:val="19"/>
    <w:qFormat/>
    <w:uiPriority w:val="0"/>
  </w:style>
  <w:style w:type="character" w:styleId="22">
    <w:name w:val="annotation reference"/>
    <w:basedOn w:val="19"/>
    <w:qFormat/>
    <w:uiPriority w:val="0"/>
    <w:rPr>
      <w:sz w:val="21"/>
      <w:szCs w:val="21"/>
    </w:rPr>
  </w:style>
  <w:style w:type="character" w:customStyle="1" w:styleId="23">
    <w:name w:val="批注文字 Char"/>
    <w:basedOn w:val="19"/>
    <w:link w:val="8"/>
    <w:qFormat/>
    <w:uiPriority w:val="0"/>
    <w:rPr>
      <w:kern w:val="2"/>
      <w:sz w:val="21"/>
      <w:szCs w:val="24"/>
    </w:rPr>
  </w:style>
  <w:style w:type="character" w:customStyle="1" w:styleId="24">
    <w:name w:val="页眉 Char"/>
    <w:link w:val="13"/>
    <w:qFormat/>
    <w:uiPriority w:val="0"/>
    <w:rPr>
      <w:kern w:val="2"/>
      <w:sz w:val="18"/>
      <w:szCs w:val="18"/>
    </w:rPr>
  </w:style>
  <w:style w:type="character" w:customStyle="1" w:styleId="25">
    <w:name w:val="批注主题 Char"/>
    <w:basedOn w:val="23"/>
    <w:link w:val="16"/>
    <w:qFormat/>
    <w:uiPriority w:val="0"/>
    <w:rPr>
      <w:kern w:val="2"/>
      <w:sz w:val="21"/>
      <w:szCs w:val="24"/>
    </w:rPr>
  </w:style>
  <w:style w:type="character" w:customStyle="1" w:styleId="26">
    <w:name w:val="页脚 Char"/>
    <w:link w:val="12"/>
    <w:qFormat/>
    <w:uiPriority w:val="0"/>
    <w:rPr>
      <w:kern w:val="2"/>
      <w:sz w:val="18"/>
      <w:szCs w:val="18"/>
    </w:rPr>
  </w:style>
  <w:style w:type="paragraph" w:styleId="27">
    <w:name w:val="List Paragraph"/>
    <w:basedOn w:val="1"/>
    <w:qFormat/>
    <w:uiPriority w:val="34"/>
    <w:pPr>
      <w:ind w:left="720"/>
      <w:contextualSpacing/>
    </w:pPr>
  </w:style>
  <w:style w:type="paragraph" w:customStyle="1" w:styleId="28">
    <w:name w:val="修订1"/>
    <w:unhideWhenUsed/>
    <w:qFormat/>
    <w:uiPriority w:val="99"/>
    <w:rPr>
      <w:rFonts w:ascii="等线" w:hAnsi="等线" w:eastAsia="等线" w:cs="Times New Roman"/>
      <w:kern w:val="2"/>
      <w:sz w:val="21"/>
      <w:szCs w:val="24"/>
      <w:lang w:val="en-US" w:eastAsia="zh-CN" w:bidi="ar-SA"/>
    </w:rPr>
  </w:style>
  <w:style w:type="paragraph" w:customStyle="1" w:styleId="29">
    <w:name w:val="第三层标题"/>
    <w:basedOn w:val="1"/>
    <w:qFormat/>
    <w:uiPriority w:val="0"/>
    <w:pPr>
      <w:keepNext/>
      <w:keepLines/>
      <w:spacing w:before="140" w:after="140" w:line="360" w:lineRule="exact"/>
      <w:outlineLvl w:val="1"/>
    </w:pPr>
    <w:rPr>
      <w:rFonts w:ascii="Cambria" w:hAnsi="Cambria" w:eastAsia="宋体"/>
      <w:bCs/>
      <w:sz w:val="24"/>
    </w:rPr>
  </w:style>
  <w:style w:type="character" w:customStyle="1" w:styleId="30">
    <w:name w:val="纯文本 Char"/>
    <w:basedOn w:val="19"/>
    <w:link w:val="2"/>
    <w:qFormat/>
    <w:uiPriority w:val="99"/>
    <w:rPr>
      <w:rFonts w:ascii="宋体" w:hAnsi="Courier New" w:eastAsia="宋体"/>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B15FF7-FAF4-4FB6-A2CB-7C358C3B71A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4287</Words>
  <Characters>4450</Characters>
  <Lines>129</Lines>
  <Paragraphs>36</Paragraphs>
  <TotalTime>37</TotalTime>
  <ScaleCrop>false</ScaleCrop>
  <LinksUpToDate>false</LinksUpToDate>
  <CharactersWithSpaces>4703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2025-06-05T01:43:00Z</dcterms:created>
  <dc:creator>微软用户</dc:creator>
  <cp:lastModifiedBy>啦啦啦</cp:lastModifiedBy>
  <cp:lastPrinted>2024-02-01T02:21:00Z</cp:lastPrinted>
  <dcterms:modified xsi:type="dcterms:W3CDTF">2026-05-14T07:08:42Z</dcterms:modified>
  <dc:title>询　 价   单</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499215E2A59C4F51A9174885A349F343_13</vt:lpwstr>
  </property>
  <property fmtid="{D5CDD505-2E9C-101B-9397-08002B2CF9AE}" pid="4" name="KSOTemplateDocerSaveRecord">
    <vt:lpwstr>eyJoZGlkIjoiMjgzOTVjYWYxZmRiMjRhODY1M2Q1OWZkZjNkYzhhOTIiLCJ1c2VySWQiOiIzNzc0NDQ5NTYifQ==</vt:lpwstr>
  </property>
</Properties>
</file>