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0BE2F">
      <w:pPr>
        <w:pageBreakBefore/>
        <w:adjustRightInd w:val="0"/>
        <w:snapToGrid w:val="0"/>
        <w:spacing w:line="360" w:lineRule="auto"/>
        <w:jc w:val="center"/>
        <w:rPr>
          <w:rFonts w:hint="eastAsia" w:ascii="宋体" w:hAnsi="宋体" w:eastAsia="宋体" w:cs="宋体"/>
          <w:sz w:val="36"/>
          <w:szCs w:val="36"/>
        </w:rPr>
      </w:pPr>
      <w:r>
        <w:rPr>
          <w:rFonts w:hint="eastAsia" w:ascii="宋体" w:hAnsi="宋体" w:eastAsia="宋体" w:cs="宋体"/>
          <w:sz w:val="36"/>
          <w:szCs w:val="36"/>
        </w:rPr>
        <w:t>南京禄口国际机场空港科技有限公司采购招标文件</w:t>
      </w:r>
    </w:p>
    <w:p w14:paraId="002CE081">
      <w:pPr>
        <w:snapToGrid w:val="0"/>
        <w:spacing w:line="360" w:lineRule="auto"/>
        <w:jc w:val="center"/>
        <w:rPr>
          <w:rFonts w:hint="eastAsia" w:ascii="宋体" w:hAnsi="宋体" w:eastAsia="宋体" w:cs="宋体"/>
          <w:sz w:val="28"/>
          <w:szCs w:val="28"/>
        </w:rPr>
      </w:pPr>
    </w:p>
    <w:p w14:paraId="54AD56A8">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南京禄口国际机场空港科技有限公司拟通过自主招标方式采购10KV配电装置设备一批，现邀请有意向且满足要求的投标人参加，为统一投标文件的编制标准，现明确如下事项：</w:t>
      </w:r>
    </w:p>
    <w:p w14:paraId="18E241CD">
      <w:pPr>
        <w:snapToGrid w:val="0"/>
        <w:spacing w:line="360" w:lineRule="auto"/>
        <w:rPr>
          <w:rFonts w:hint="eastAsia" w:ascii="宋体" w:hAnsi="宋体" w:eastAsia="宋体" w:cs="宋体"/>
          <w:szCs w:val="21"/>
        </w:rPr>
      </w:pPr>
      <w:r>
        <w:rPr>
          <w:rFonts w:hint="eastAsia" w:ascii="宋体" w:hAnsi="宋体" w:eastAsia="宋体" w:cs="宋体"/>
          <w:szCs w:val="21"/>
        </w:rPr>
        <w:t>招标项目内容：</w:t>
      </w:r>
    </w:p>
    <w:p w14:paraId="3B0324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本项目为设备采购招标。中标人应按照供货时间要求提供设备，设备规格型号必须完全符合招标人要求，招标人有权根据实际需要调整内容，投标人应无条件满足。</w:t>
      </w:r>
    </w:p>
    <w:p w14:paraId="0297349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最高投标限制总价：人民币：1</w:t>
      </w:r>
      <w:r>
        <w:rPr>
          <w:rFonts w:hint="eastAsia" w:ascii="宋体" w:hAnsi="宋体" w:eastAsia="宋体" w:cs="宋体"/>
          <w:szCs w:val="21"/>
          <w:lang w:val="en-US" w:eastAsia="zh-CN"/>
        </w:rPr>
        <w:t>65</w:t>
      </w:r>
      <w:bookmarkStart w:id="41" w:name="_GoBack"/>
      <w:bookmarkEnd w:id="41"/>
      <w:r>
        <w:rPr>
          <w:rFonts w:hint="eastAsia" w:ascii="宋体" w:hAnsi="宋体" w:eastAsia="宋体" w:cs="宋体"/>
          <w:szCs w:val="21"/>
        </w:rPr>
        <w:t>万元（注：报价应含13%增值专用发票、运费、安装、调试等全部费用）。</w:t>
      </w:r>
    </w:p>
    <w:p w14:paraId="7DCA5EA5">
      <w:pPr>
        <w:spacing w:line="360" w:lineRule="auto"/>
        <w:rPr>
          <w:rFonts w:hint="eastAsia" w:ascii="宋体" w:hAnsi="宋体" w:eastAsia="宋体" w:cs="宋体"/>
          <w:szCs w:val="21"/>
        </w:rPr>
      </w:pPr>
      <w:r>
        <w:rPr>
          <w:rFonts w:hint="eastAsia" w:ascii="宋体" w:hAnsi="宋体" w:eastAsia="宋体" w:cs="宋体"/>
          <w:szCs w:val="21"/>
        </w:rPr>
        <w:t>一、投标人资质要求：</w:t>
      </w:r>
    </w:p>
    <w:p w14:paraId="579DEA8F">
      <w:pPr>
        <w:widowControl/>
        <w:spacing w:line="360" w:lineRule="auto"/>
        <w:jc w:val="left"/>
        <w:textAlignment w:val="center"/>
        <w:rPr>
          <w:rFonts w:hint="eastAsia" w:ascii="宋体" w:hAnsi="宋体" w:eastAsia="宋体" w:cs="宋体"/>
          <w:color w:val="FF0000"/>
          <w:szCs w:val="21"/>
        </w:rPr>
      </w:pPr>
      <w:r>
        <w:rPr>
          <w:rFonts w:hint="eastAsia" w:ascii="宋体" w:hAnsi="宋体" w:eastAsia="宋体" w:cs="宋体"/>
          <w:szCs w:val="21"/>
        </w:rPr>
        <w:t>1、投标人须是中华人民共和国境内正式注册并具有有效独立法人资格的法人，投标人注册资金不得少于500万元。（需提供加盖公章的营业执照复印件）</w:t>
      </w:r>
      <w:r>
        <w:rPr>
          <w:rFonts w:hint="eastAsia" w:ascii="宋体" w:hAnsi="宋体" w:eastAsia="宋体" w:cs="宋体"/>
          <w:szCs w:val="21"/>
        </w:rPr>
        <w:br w:type="textWrapping"/>
      </w:r>
      <w:r>
        <w:rPr>
          <w:rFonts w:hint="eastAsia" w:ascii="宋体" w:hAnsi="宋体" w:eastAsia="宋体" w:cs="宋体"/>
          <w:szCs w:val="21"/>
        </w:rPr>
        <w:t>2、投标人须提供2022年1月1日至本公告发布之日止本次采购类似供货合同。（提供加盖公章的合同复印件，原件备查）。</w:t>
      </w:r>
    </w:p>
    <w:p w14:paraId="603C6237">
      <w:pPr>
        <w:pStyle w:val="17"/>
        <w:widowControl/>
        <w:shd w:val="clear" w:color="auto" w:fill="FFFFFF"/>
        <w:spacing w:beforeAutospacing="0" w:afterAutospacing="0" w:line="360" w:lineRule="auto"/>
        <w:rPr>
          <w:rFonts w:hint="eastAsia" w:ascii="宋体" w:hAnsi="宋体" w:eastAsia="宋体" w:cs="宋体"/>
          <w:kern w:val="2"/>
          <w:sz w:val="21"/>
          <w:szCs w:val="21"/>
        </w:rPr>
      </w:pPr>
      <w:r>
        <w:rPr>
          <w:rFonts w:hint="eastAsia" w:ascii="宋体" w:hAnsi="宋体" w:eastAsia="宋体" w:cs="宋体"/>
          <w:kern w:val="2"/>
          <w:sz w:val="21"/>
          <w:szCs w:val="21"/>
        </w:rPr>
        <w:t>3</w:t>
      </w:r>
      <w:r>
        <w:rPr>
          <w:rFonts w:hint="eastAsia" w:ascii="宋体" w:hAnsi="宋体" w:eastAsia="宋体" w:cs="宋体"/>
          <w:szCs w:val="21"/>
        </w:rPr>
        <w:t>、</w:t>
      </w:r>
      <w:r>
        <w:rPr>
          <w:rFonts w:hint="eastAsia" w:ascii="宋体" w:hAnsi="宋体" w:eastAsia="宋体" w:cs="宋体"/>
          <w:kern w:val="2"/>
          <w:sz w:val="21"/>
          <w:szCs w:val="21"/>
        </w:rPr>
        <w:t>投标人须信誉良好，在经营活动中没有严重违法记录，在“国家企业信用信息公示系统”网站没有被列入严重违法失信企业名单（黑名单）查询结果截图，“黑名单”栏显示为0条记录，加盖投标人公章。若结果截图显示“查询不到该企业”，视同未被列入严重违法失信企业名单）；</w:t>
      </w:r>
    </w:p>
    <w:p w14:paraId="0790B1E6">
      <w:pPr>
        <w:pStyle w:val="17"/>
        <w:widowControl/>
        <w:shd w:val="clear" w:color="auto" w:fill="FFFFFF"/>
        <w:spacing w:beforeAutospacing="0" w:afterAutospacing="0" w:line="360" w:lineRule="auto"/>
        <w:rPr>
          <w:rFonts w:hint="eastAsia" w:ascii="宋体" w:hAnsi="宋体" w:eastAsia="宋体" w:cs="宋体"/>
          <w:kern w:val="2"/>
          <w:sz w:val="21"/>
          <w:szCs w:val="21"/>
        </w:rPr>
      </w:pPr>
      <w:r>
        <w:rPr>
          <w:rFonts w:hint="eastAsia" w:ascii="宋体" w:hAnsi="宋体" w:eastAsia="宋体" w:cs="宋体"/>
          <w:kern w:val="2"/>
          <w:sz w:val="21"/>
          <w:szCs w:val="21"/>
        </w:rPr>
        <w:t>4</w:t>
      </w:r>
      <w:r>
        <w:rPr>
          <w:rFonts w:hint="eastAsia" w:ascii="宋体" w:hAnsi="宋体" w:eastAsia="宋体" w:cs="宋体"/>
          <w:szCs w:val="21"/>
        </w:rPr>
        <w:t>、</w:t>
      </w:r>
      <w:r>
        <w:rPr>
          <w:rFonts w:hint="eastAsia" w:ascii="宋体" w:hAnsi="宋体" w:eastAsia="宋体" w:cs="宋体"/>
          <w:kern w:val="2"/>
          <w:sz w:val="21"/>
          <w:szCs w:val="21"/>
        </w:rPr>
        <w:t>提供近一年来公司财务报表或审计报告、人员社保证明和履约承诺函。</w:t>
      </w:r>
    </w:p>
    <w:p w14:paraId="550576D5">
      <w:pPr>
        <w:pStyle w:val="17"/>
        <w:widowControl/>
        <w:shd w:val="clear" w:color="auto" w:fill="FFFFFF"/>
        <w:spacing w:beforeAutospacing="0" w:afterAutospacing="0" w:line="360" w:lineRule="auto"/>
        <w:rPr>
          <w:rFonts w:hint="eastAsia" w:ascii="宋体" w:hAnsi="宋体" w:eastAsia="宋体" w:cs="宋体"/>
          <w:kern w:val="2"/>
          <w:sz w:val="21"/>
          <w:szCs w:val="21"/>
        </w:rPr>
      </w:pPr>
      <w:r>
        <w:rPr>
          <w:rFonts w:hint="eastAsia" w:ascii="宋体" w:hAnsi="宋体" w:eastAsia="宋体" w:cs="宋体"/>
          <w:kern w:val="2"/>
          <w:sz w:val="21"/>
          <w:szCs w:val="21"/>
        </w:rPr>
        <w:t>5、投标人需提供本项目主要品牌原厂授权函、原厂授权盘柜生产厂授权经销商和质保书。</w:t>
      </w:r>
    </w:p>
    <w:p w14:paraId="4DAC9EA6">
      <w:pPr>
        <w:pStyle w:val="17"/>
        <w:widowControl/>
        <w:shd w:val="clear" w:color="auto" w:fill="FFFFFF"/>
        <w:spacing w:beforeAutospacing="0" w:afterAutospacing="0" w:line="360" w:lineRule="auto"/>
        <w:rPr>
          <w:rFonts w:hint="eastAsia" w:ascii="宋体" w:hAnsi="宋体" w:eastAsia="宋体" w:cs="宋体"/>
          <w:kern w:val="2"/>
          <w:sz w:val="21"/>
          <w:szCs w:val="21"/>
        </w:rPr>
      </w:pPr>
      <w:r>
        <w:rPr>
          <w:rFonts w:hint="eastAsia" w:ascii="宋体" w:hAnsi="宋体" w:eastAsia="宋体" w:cs="宋体"/>
          <w:kern w:val="2"/>
          <w:sz w:val="21"/>
          <w:szCs w:val="21"/>
        </w:rPr>
        <w:t>6、本项目不接受联合体投标。</w:t>
      </w:r>
    </w:p>
    <w:p w14:paraId="724F14E7">
      <w:pPr>
        <w:spacing w:line="360" w:lineRule="auto"/>
        <w:rPr>
          <w:rFonts w:hint="eastAsia" w:ascii="宋体" w:hAnsi="宋体" w:eastAsia="宋体" w:cs="宋体"/>
          <w:szCs w:val="21"/>
        </w:rPr>
      </w:pPr>
      <w:r>
        <w:rPr>
          <w:rFonts w:hint="eastAsia" w:ascii="宋体" w:hAnsi="宋体" w:eastAsia="宋体" w:cs="宋体"/>
          <w:szCs w:val="21"/>
        </w:rPr>
        <w:t>二、报价方式：</w:t>
      </w:r>
    </w:p>
    <w:p w14:paraId="5EE1D083">
      <w:pPr>
        <w:spacing w:line="360" w:lineRule="auto"/>
        <w:rPr>
          <w:rFonts w:hint="eastAsia" w:ascii="宋体" w:hAnsi="宋体" w:eastAsia="宋体" w:cs="宋体"/>
          <w:szCs w:val="21"/>
        </w:rPr>
      </w:pPr>
      <w:r>
        <w:rPr>
          <w:rFonts w:hint="eastAsia" w:ascii="宋体" w:hAnsi="宋体" w:eastAsia="宋体" w:cs="宋体"/>
          <w:szCs w:val="21"/>
        </w:rPr>
        <w:t>1、请按报价一览表格式填写。</w:t>
      </w:r>
    </w:p>
    <w:p w14:paraId="18090F54">
      <w:pPr>
        <w:spacing w:line="360" w:lineRule="auto"/>
        <w:rPr>
          <w:rFonts w:hint="eastAsia" w:ascii="宋体" w:hAnsi="宋体" w:eastAsia="宋体" w:cs="宋体"/>
          <w:szCs w:val="21"/>
        </w:rPr>
      </w:pPr>
      <w:r>
        <w:rPr>
          <w:rFonts w:hint="eastAsia" w:ascii="宋体" w:hAnsi="宋体" w:eastAsia="宋体" w:cs="宋体"/>
          <w:szCs w:val="21"/>
        </w:rPr>
        <w:t>2、本项目的最终报价，为完成该项目全部费用之总和，一旦投标人中标并和招标人签订了本项目合同后，即使投标人发现在报价时费用有计算错误，也不得另行增加费用。</w:t>
      </w:r>
    </w:p>
    <w:p w14:paraId="2E9DC5E9">
      <w:pPr>
        <w:spacing w:line="360" w:lineRule="auto"/>
        <w:rPr>
          <w:rFonts w:hint="eastAsia" w:ascii="宋体" w:hAnsi="宋体" w:eastAsia="宋体" w:cs="宋体"/>
          <w:szCs w:val="21"/>
        </w:rPr>
      </w:pPr>
      <w:r>
        <w:rPr>
          <w:rFonts w:hint="eastAsia" w:ascii="宋体" w:hAnsi="宋体" w:eastAsia="宋体" w:cs="宋体"/>
          <w:szCs w:val="21"/>
        </w:rPr>
        <w:t>3、根据招标人的实际需求，投标人实际提供的软件开发项数量如有所变化，在合同单价不变的基础上，招标人可对所增加或减少的产品作相应的费用调整。投标文件中的漏项，投标人必须按要求实施，但费用不增加。</w:t>
      </w:r>
    </w:p>
    <w:p w14:paraId="75BE3E8D">
      <w:pPr>
        <w:spacing w:line="360" w:lineRule="auto"/>
        <w:rPr>
          <w:rFonts w:hint="eastAsia" w:ascii="宋体" w:hAnsi="宋体" w:eastAsia="宋体" w:cs="宋体"/>
          <w:szCs w:val="21"/>
        </w:rPr>
      </w:pPr>
      <w:r>
        <w:rPr>
          <w:rFonts w:hint="eastAsia" w:ascii="宋体" w:hAnsi="宋体" w:eastAsia="宋体" w:cs="宋体"/>
          <w:szCs w:val="21"/>
        </w:rPr>
        <w:t>4、投标人的投标报价不得超过最高投标限价总价，否则投标将被否决。</w:t>
      </w:r>
    </w:p>
    <w:p w14:paraId="1E72AF4B">
      <w:pPr>
        <w:spacing w:line="360" w:lineRule="auto"/>
        <w:rPr>
          <w:rFonts w:hint="eastAsia" w:ascii="宋体" w:hAnsi="宋体" w:eastAsia="宋体" w:cs="宋体"/>
          <w:szCs w:val="21"/>
        </w:rPr>
      </w:pPr>
      <w:r>
        <w:rPr>
          <w:rFonts w:hint="eastAsia" w:ascii="宋体" w:hAnsi="宋体" w:eastAsia="宋体" w:cs="宋体"/>
          <w:szCs w:val="21"/>
        </w:rPr>
        <w:t>三、其它说明</w:t>
      </w:r>
    </w:p>
    <w:p w14:paraId="30BBA4B1">
      <w:pPr>
        <w:spacing w:line="360" w:lineRule="auto"/>
        <w:rPr>
          <w:rFonts w:hint="eastAsia" w:ascii="宋体" w:hAnsi="宋体" w:eastAsia="宋体" w:cs="宋体"/>
          <w:szCs w:val="21"/>
        </w:rPr>
      </w:pPr>
      <w:r>
        <w:rPr>
          <w:rFonts w:hint="eastAsia" w:ascii="宋体" w:hAnsi="宋体" w:eastAsia="宋体" w:cs="宋体"/>
          <w:szCs w:val="21"/>
        </w:rPr>
        <w:t>1、售后服务要求：卖方保证向我公司提供完善的售后服务，包括提供相应的技术资料及技术支持。</w:t>
      </w:r>
    </w:p>
    <w:p w14:paraId="29A9E8FA">
      <w:pPr>
        <w:spacing w:line="360" w:lineRule="auto"/>
        <w:rPr>
          <w:rFonts w:hint="eastAsia" w:ascii="宋体" w:hAnsi="宋体" w:eastAsia="宋体" w:cs="宋体"/>
          <w:szCs w:val="21"/>
        </w:rPr>
      </w:pPr>
      <w:r>
        <w:rPr>
          <w:rFonts w:hint="eastAsia" w:ascii="宋体" w:hAnsi="宋体" w:eastAsia="宋体" w:cs="宋体"/>
          <w:szCs w:val="21"/>
        </w:rPr>
        <w:t>2、不能实质性满足招标文件要求或不能提供实质性满足证明的按废标处理。</w:t>
      </w:r>
    </w:p>
    <w:p w14:paraId="765B8E04">
      <w:pPr>
        <w:spacing w:line="360" w:lineRule="auto"/>
        <w:rPr>
          <w:rFonts w:hint="eastAsia" w:ascii="宋体" w:hAnsi="宋体" w:eastAsia="宋体" w:cs="宋体"/>
          <w:szCs w:val="21"/>
        </w:rPr>
      </w:pPr>
      <w:r>
        <w:rPr>
          <w:rFonts w:hint="eastAsia" w:ascii="宋体" w:hAnsi="宋体" w:eastAsia="宋体" w:cs="宋体"/>
          <w:szCs w:val="21"/>
        </w:rPr>
        <w:t>3、投标人应对设备提供</w:t>
      </w:r>
      <w:r>
        <w:rPr>
          <w:rFonts w:hint="eastAsia" w:ascii="宋体" w:hAnsi="宋体" w:eastAsia="宋体" w:cs="宋体"/>
          <w:color w:val="444444"/>
          <w:sz w:val="24"/>
          <w:shd w:val="clear" w:color="auto" w:fill="FFFFFF"/>
        </w:rPr>
        <w:t>3</w:t>
      </w:r>
      <w:r>
        <w:rPr>
          <w:rFonts w:hint="eastAsia" w:ascii="宋体" w:hAnsi="宋体" w:eastAsia="宋体" w:cs="宋体"/>
          <w:szCs w:val="21"/>
        </w:rPr>
        <w:t>年质保，质保期自竣工验收合格之日起计算。</w:t>
      </w:r>
    </w:p>
    <w:p w14:paraId="31642F6F">
      <w:pPr>
        <w:spacing w:line="360" w:lineRule="auto"/>
        <w:rPr>
          <w:rFonts w:hint="eastAsia" w:ascii="宋体" w:hAnsi="宋体" w:eastAsia="宋体" w:cs="宋体"/>
          <w:szCs w:val="21"/>
        </w:rPr>
      </w:pPr>
      <w:r>
        <w:rPr>
          <w:rFonts w:hint="eastAsia" w:ascii="宋体" w:hAnsi="宋体" w:eastAsia="宋体" w:cs="宋体"/>
          <w:szCs w:val="21"/>
        </w:rPr>
        <w:t>四、交货时间、地点及相关费用：</w:t>
      </w:r>
    </w:p>
    <w:p w14:paraId="6B7C7217">
      <w:pPr>
        <w:spacing w:line="360" w:lineRule="auto"/>
        <w:rPr>
          <w:rFonts w:hint="eastAsia" w:ascii="宋体" w:hAnsi="宋体" w:eastAsia="宋体" w:cs="宋体"/>
          <w:szCs w:val="21"/>
        </w:rPr>
      </w:pPr>
      <w:r>
        <w:rPr>
          <w:rFonts w:hint="eastAsia" w:ascii="宋体" w:hAnsi="宋体" w:eastAsia="宋体" w:cs="宋体"/>
          <w:szCs w:val="21"/>
        </w:rPr>
        <w:t>1、交货地点：以合同地址为准。</w:t>
      </w:r>
    </w:p>
    <w:p w14:paraId="2031C21C">
      <w:pPr>
        <w:spacing w:line="360" w:lineRule="auto"/>
        <w:rPr>
          <w:rFonts w:hint="eastAsia" w:ascii="宋体" w:hAnsi="宋体" w:eastAsia="宋体" w:cs="宋体"/>
          <w:szCs w:val="21"/>
        </w:rPr>
      </w:pPr>
      <w:r>
        <w:rPr>
          <w:rFonts w:hint="eastAsia" w:ascii="宋体" w:hAnsi="宋体" w:eastAsia="宋体" w:cs="宋体"/>
          <w:szCs w:val="21"/>
        </w:rPr>
        <w:t>2、交货时间：以合同签订为主。</w:t>
      </w:r>
    </w:p>
    <w:p w14:paraId="2FF0796D">
      <w:pPr>
        <w:spacing w:line="360" w:lineRule="auto"/>
        <w:rPr>
          <w:rFonts w:hint="eastAsia" w:ascii="宋体" w:hAnsi="宋体" w:eastAsia="宋体" w:cs="宋体"/>
          <w:szCs w:val="21"/>
        </w:rPr>
      </w:pPr>
      <w:r>
        <w:rPr>
          <w:rFonts w:hint="eastAsia" w:ascii="宋体" w:hAnsi="宋体" w:eastAsia="宋体" w:cs="宋体"/>
          <w:szCs w:val="21"/>
        </w:rPr>
        <w:t>五、评标方法：</w:t>
      </w:r>
    </w:p>
    <w:p w14:paraId="376F087D">
      <w:pPr>
        <w:pStyle w:val="25"/>
        <w:autoSpaceDE w:val="0"/>
        <w:autoSpaceDN w:val="0"/>
        <w:spacing w:line="360" w:lineRule="auto"/>
        <w:ind w:left="108"/>
        <w:rPr>
          <w:rFonts w:hint="eastAsia"/>
        </w:rPr>
      </w:pPr>
      <w:r>
        <w:rPr>
          <w:rFonts w:hint="eastAsia"/>
          <w:szCs w:val="21"/>
        </w:rPr>
        <w:t>1、本项目采用合理最低价中标。</w:t>
      </w:r>
      <w:r>
        <w:rPr>
          <w:rFonts w:hint="eastAsia"/>
          <w:sz w:val="18"/>
          <w:szCs w:val="18"/>
        </w:rPr>
        <w:t xml:space="preserve">                                                                                                                                                                                                                                                             </w:t>
      </w:r>
    </w:p>
    <w:p w14:paraId="39A57E99">
      <w:pPr>
        <w:spacing w:line="360" w:lineRule="auto"/>
        <w:rPr>
          <w:rFonts w:hint="eastAsia" w:ascii="宋体" w:hAnsi="宋体" w:eastAsia="宋体" w:cs="宋体"/>
          <w:szCs w:val="21"/>
        </w:rPr>
      </w:pPr>
      <w:r>
        <w:rPr>
          <w:rFonts w:hint="eastAsia" w:ascii="宋体" w:hAnsi="宋体" w:eastAsia="宋体" w:cs="宋体"/>
          <w:szCs w:val="21"/>
        </w:rPr>
        <w:t>六、投标文件的递交</w:t>
      </w:r>
    </w:p>
    <w:p w14:paraId="1CF68F99">
      <w:pPr>
        <w:spacing w:line="360" w:lineRule="auto"/>
        <w:rPr>
          <w:rFonts w:hint="eastAsia" w:ascii="宋体" w:hAnsi="宋体" w:eastAsia="宋体" w:cs="宋体"/>
          <w:szCs w:val="21"/>
        </w:rPr>
      </w:pPr>
      <w:r>
        <w:rPr>
          <w:rFonts w:hint="eastAsia" w:ascii="宋体" w:hAnsi="宋体" w:eastAsia="宋体" w:cs="宋体"/>
          <w:szCs w:val="21"/>
        </w:rPr>
        <w:t>1、投标文件一式贰份（正本壹本、副本壹本），并明确表明“正本”和“副本”，正、副本如有不同之处，以正本为准，密封后加盖公章，否则无效。</w:t>
      </w:r>
    </w:p>
    <w:p w14:paraId="39EF9628">
      <w:pPr>
        <w:spacing w:line="360" w:lineRule="auto"/>
        <w:rPr>
          <w:rFonts w:hint="eastAsia" w:ascii="宋体" w:hAnsi="宋体" w:eastAsia="宋体" w:cs="宋体"/>
          <w:szCs w:val="21"/>
        </w:rPr>
      </w:pPr>
      <w:r>
        <w:rPr>
          <w:rFonts w:hint="eastAsia" w:ascii="宋体" w:hAnsi="宋体" w:eastAsia="宋体" w:cs="宋体"/>
          <w:szCs w:val="21"/>
        </w:rPr>
        <w:t>2、投标人在收到招标文件后，若需答疑，应在投标文件的截止时间2天前向招标人以书面形式提出。</w:t>
      </w:r>
    </w:p>
    <w:p w14:paraId="37605180">
      <w:pPr>
        <w:spacing w:line="360" w:lineRule="auto"/>
        <w:rPr>
          <w:rFonts w:hint="eastAsia" w:ascii="宋体" w:hAnsi="宋体" w:eastAsia="宋体" w:cs="宋体"/>
          <w:szCs w:val="21"/>
        </w:rPr>
      </w:pPr>
      <w:r>
        <w:rPr>
          <w:rFonts w:hint="eastAsia" w:ascii="宋体" w:hAnsi="宋体" w:eastAsia="宋体" w:cs="宋体"/>
          <w:szCs w:val="21"/>
        </w:rPr>
        <w:t>3、递交投标文件的截止时间为2026年6月19日12时整，超过截止时间的投标文件将被拒收。</w:t>
      </w:r>
    </w:p>
    <w:p w14:paraId="05237498">
      <w:pPr>
        <w:spacing w:line="360" w:lineRule="auto"/>
        <w:rPr>
          <w:rFonts w:hint="eastAsia" w:ascii="宋体" w:hAnsi="宋体" w:eastAsia="宋体" w:cs="宋体"/>
          <w:szCs w:val="21"/>
        </w:rPr>
      </w:pPr>
      <w:r>
        <w:rPr>
          <w:rFonts w:hint="eastAsia" w:ascii="宋体" w:hAnsi="宋体" w:eastAsia="宋体" w:cs="宋体"/>
          <w:szCs w:val="21"/>
        </w:rPr>
        <w:t>4、投标文件可采用快递（顺丰或EMS）邮寄或送达我公司，投标书需盖章密封，并在信封上注明项目编号“KG2026-X002-ZB01”，邮寄地址：南京市江宁区秣陵街道天元西路199号东部机场集团10楼。</w:t>
      </w:r>
    </w:p>
    <w:p w14:paraId="3C3C9D92">
      <w:pPr>
        <w:spacing w:line="360" w:lineRule="auto"/>
        <w:rPr>
          <w:rFonts w:hint="eastAsia" w:ascii="宋体" w:hAnsi="宋体" w:eastAsia="宋体" w:cs="宋体"/>
          <w:szCs w:val="21"/>
        </w:rPr>
      </w:pPr>
      <w:r>
        <w:rPr>
          <w:rFonts w:hint="eastAsia" w:ascii="宋体" w:hAnsi="宋体" w:eastAsia="宋体" w:cs="宋体"/>
          <w:szCs w:val="21"/>
        </w:rPr>
        <w:t>投标事宜的联系：唐工  电话：025-69821257</w:t>
      </w:r>
    </w:p>
    <w:p w14:paraId="7C75C646">
      <w:pPr>
        <w:spacing w:line="360" w:lineRule="auto"/>
        <w:jc w:val="right"/>
        <w:rPr>
          <w:rFonts w:hint="eastAsia" w:ascii="宋体" w:hAnsi="宋体" w:eastAsia="宋体" w:cs="宋体"/>
          <w:szCs w:val="21"/>
        </w:rPr>
      </w:pPr>
      <w:r>
        <w:rPr>
          <w:rFonts w:hint="eastAsia" w:ascii="宋体" w:hAnsi="宋体" w:eastAsia="宋体" w:cs="宋体"/>
          <w:szCs w:val="21"/>
        </w:rPr>
        <w:t>南京禄口国际机场空港科技有限公司</w:t>
      </w:r>
    </w:p>
    <w:p w14:paraId="4D445C45">
      <w:pPr>
        <w:spacing w:line="360" w:lineRule="auto"/>
        <w:jc w:val="right"/>
        <w:rPr>
          <w:rFonts w:hint="eastAsia" w:ascii="宋体" w:hAnsi="宋体" w:eastAsia="宋体" w:cs="宋体"/>
          <w:szCs w:val="21"/>
        </w:rPr>
      </w:pPr>
      <w:r>
        <w:rPr>
          <w:rFonts w:hint="eastAsia" w:ascii="宋体" w:hAnsi="宋体" w:eastAsia="宋体" w:cs="宋体"/>
          <w:szCs w:val="21"/>
        </w:rPr>
        <w:t xml:space="preserve">  2026年6月12日</w:t>
      </w:r>
    </w:p>
    <w:p w14:paraId="5294B22F">
      <w:pPr>
        <w:pageBreakBefore/>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投 标 文 件 组 成</w:t>
      </w:r>
    </w:p>
    <w:p w14:paraId="2D849D3A">
      <w:pPr>
        <w:snapToGrid w:val="0"/>
        <w:spacing w:line="360" w:lineRule="auto"/>
        <w:jc w:val="center"/>
        <w:rPr>
          <w:rFonts w:hint="eastAsia" w:ascii="宋体" w:hAnsi="宋体" w:eastAsia="宋体" w:cs="宋体"/>
          <w:szCs w:val="21"/>
        </w:rPr>
      </w:pPr>
    </w:p>
    <w:p w14:paraId="53907FFA">
      <w:pPr>
        <w:numPr>
          <w:ilvl w:val="0"/>
          <w:numId w:val="1"/>
        </w:num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投标函（格式见附件一）</w:t>
      </w:r>
    </w:p>
    <w:p w14:paraId="698A85B7">
      <w:pPr>
        <w:numPr>
          <w:ilvl w:val="0"/>
          <w:numId w:val="1"/>
        </w:num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法定代表人授权委托书（格式见附件二）</w:t>
      </w:r>
    </w:p>
    <w:p w14:paraId="0238ACE7">
      <w:pPr>
        <w:numPr>
          <w:ilvl w:val="0"/>
          <w:numId w:val="1"/>
        </w:numPr>
        <w:adjustRightInd w:val="0"/>
        <w:snapToGrid w:val="0"/>
        <w:spacing w:line="360" w:lineRule="auto"/>
        <w:rPr>
          <w:rFonts w:hint="eastAsia" w:ascii="宋体" w:hAnsi="宋体" w:eastAsia="宋体" w:cs="宋体"/>
          <w:szCs w:val="21"/>
        </w:rPr>
      </w:pPr>
      <w:r>
        <w:rPr>
          <w:rFonts w:hint="eastAsia" w:ascii="宋体" w:hAnsi="宋体" w:eastAsia="宋体" w:cs="宋体"/>
          <w:snapToGrid w:val="0"/>
          <w:szCs w:val="21"/>
        </w:rPr>
        <w:t>报价一览表</w:t>
      </w:r>
      <w:r>
        <w:rPr>
          <w:rFonts w:hint="eastAsia" w:ascii="宋体" w:hAnsi="宋体" w:eastAsia="宋体" w:cs="宋体"/>
          <w:szCs w:val="21"/>
        </w:rPr>
        <w:t>（格式见附件三）</w:t>
      </w:r>
    </w:p>
    <w:p w14:paraId="534DD137">
      <w:pPr>
        <w:numPr>
          <w:ilvl w:val="0"/>
          <w:numId w:val="1"/>
        </w:numPr>
        <w:adjustRightInd w:val="0"/>
        <w:snapToGrid w:val="0"/>
        <w:spacing w:line="360" w:lineRule="auto"/>
        <w:rPr>
          <w:rFonts w:hint="eastAsia" w:ascii="宋体" w:hAnsi="宋体" w:eastAsia="宋体" w:cs="宋体"/>
          <w:snapToGrid w:val="0"/>
          <w:szCs w:val="21"/>
        </w:rPr>
      </w:pPr>
      <w:r>
        <w:rPr>
          <w:rFonts w:hint="eastAsia" w:ascii="宋体" w:hAnsi="宋体" w:eastAsia="宋体" w:cs="宋体"/>
          <w:snapToGrid w:val="0"/>
          <w:szCs w:val="21"/>
        </w:rPr>
        <w:t>营业执照</w:t>
      </w:r>
    </w:p>
    <w:p w14:paraId="6B6006C5">
      <w:pPr>
        <w:numPr>
          <w:ilvl w:val="0"/>
          <w:numId w:val="1"/>
        </w:numPr>
        <w:adjustRightInd w:val="0"/>
        <w:snapToGrid w:val="0"/>
        <w:spacing w:line="360" w:lineRule="auto"/>
        <w:rPr>
          <w:rFonts w:hint="eastAsia" w:ascii="宋体" w:hAnsi="宋体" w:eastAsia="宋体" w:cs="宋体"/>
          <w:snapToGrid w:val="0"/>
          <w:szCs w:val="21"/>
        </w:rPr>
      </w:pPr>
      <w:r>
        <w:rPr>
          <w:rFonts w:hint="eastAsia" w:ascii="宋体" w:hAnsi="宋体" w:eastAsia="宋体" w:cs="宋体"/>
          <w:snapToGrid w:val="0"/>
          <w:szCs w:val="21"/>
        </w:rPr>
        <w:t>履约承诺书（格式见附件四）</w:t>
      </w:r>
    </w:p>
    <w:p w14:paraId="5DF0919A">
      <w:pPr>
        <w:adjustRightInd w:val="0"/>
        <w:snapToGrid w:val="0"/>
        <w:spacing w:line="360" w:lineRule="auto"/>
        <w:rPr>
          <w:rFonts w:hint="eastAsia" w:ascii="宋体" w:hAnsi="宋体" w:eastAsia="宋体" w:cs="宋体"/>
          <w:snapToGrid w:val="0"/>
          <w:szCs w:val="21"/>
        </w:rPr>
      </w:pPr>
      <w:r>
        <w:rPr>
          <w:rFonts w:hint="eastAsia" w:ascii="宋体" w:hAnsi="宋体" w:eastAsia="宋体" w:cs="宋体"/>
          <w:szCs w:val="21"/>
        </w:rPr>
        <w:t>5、</w:t>
      </w:r>
      <w:r>
        <w:rPr>
          <w:rFonts w:hint="eastAsia" w:ascii="宋体" w:hAnsi="宋体" w:eastAsia="宋体" w:cs="宋体"/>
          <w:snapToGrid w:val="0"/>
          <w:szCs w:val="21"/>
        </w:rPr>
        <w:t>业绩扫描件</w:t>
      </w:r>
    </w:p>
    <w:p w14:paraId="710E9948">
      <w:pPr>
        <w:adjustRightInd w:val="0"/>
        <w:snapToGrid w:val="0"/>
        <w:spacing w:line="360" w:lineRule="auto"/>
        <w:rPr>
          <w:rFonts w:hint="eastAsia" w:ascii="宋体" w:hAnsi="宋体" w:eastAsia="宋体" w:cs="宋体"/>
          <w:snapToGrid w:val="0"/>
          <w:szCs w:val="21"/>
        </w:rPr>
      </w:pPr>
      <w:r>
        <w:rPr>
          <w:rFonts w:hint="eastAsia" w:ascii="宋体" w:hAnsi="宋体" w:eastAsia="宋体" w:cs="宋体"/>
          <w:snapToGrid w:val="0"/>
          <w:szCs w:val="21"/>
        </w:rPr>
        <w:t>6、合同模板（格式见附件五）,合同条款中标后由双方协商一致后决定。</w:t>
      </w:r>
    </w:p>
    <w:p w14:paraId="581B6547">
      <w:pPr>
        <w:pStyle w:val="18"/>
        <w:ind w:firstLine="0" w:firstLineChars="0"/>
        <w:rPr>
          <w:rFonts w:hint="eastAsia" w:ascii="宋体" w:hAnsi="宋体" w:eastAsia="宋体" w:cs="宋体"/>
        </w:rPr>
      </w:pPr>
      <w:r>
        <w:rPr>
          <w:rFonts w:hint="eastAsia" w:ascii="宋体" w:hAnsi="宋体" w:eastAsia="宋体" w:cs="宋体"/>
        </w:rPr>
        <w:t>7、技术参数及图纸见附件六</w:t>
      </w:r>
    </w:p>
    <w:p w14:paraId="2E093407">
      <w:pPr>
        <w:pStyle w:val="2"/>
        <w:spacing w:line="360" w:lineRule="auto"/>
        <w:rPr>
          <w:rFonts w:hint="eastAsia" w:ascii="宋体" w:hAnsi="宋体" w:eastAsia="宋体" w:cs="宋体"/>
          <w:b w:val="0"/>
          <w:bCs w:val="0"/>
        </w:rPr>
      </w:pPr>
    </w:p>
    <w:p w14:paraId="321DC537">
      <w:pPr>
        <w:spacing w:line="360" w:lineRule="auto"/>
        <w:rPr>
          <w:rFonts w:hint="eastAsia" w:ascii="宋体" w:hAnsi="宋体" w:eastAsia="宋体" w:cs="宋体"/>
          <w:snapToGrid w:val="0"/>
          <w:szCs w:val="21"/>
        </w:rPr>
      </w:pPr>
      <w:r>
        <w:rPr>
          <w:rFonts w:hint="eastAsia" w:ascii="宋体" w:hAnsi="宋体" w:eastAsia="宋体" w:cs="宋体"/>
          <w:snapToGrid w:val="0"/>
          <w:szCs w:val="21"/>
        </w:rPr>
        <w:br w:type="page"/>
      </w:r>
    </w:p>
    <w:p w14:paraId="3B238C33">
      <w:pPr>
        <w:pageBreakBefore/>
        <w:spacing w:line="360" w:lineRule="auto"/>
        <w:rPr>
          <w:rFonts w:hint="eastAsia" w:ascii="宋体" w:hAnsi="宋体" w:eastAsia="宋体" w:cs="宋体"/>
        </w:rPr>
      </w:pPr>
      <w:r>
        <w:rPr>
          <w:rFonts w:hint="eastAsia" w:ascii="宋体" w:hAnsi="宋体" w:eastAsia="宋体" w:cs="宋体"/>
          <w:szCs w:val="21"/>
        </w:rPr>
        <w:t>附件一：投标函</w:t>
      </w:r>
    </w:p>
    <w:p w14:paraId="5DC6435D">
      <w:pPr>
        <w:adjustRightInd w:val="0"/>
        <w:snapToGrid w:val="0"/>
        <w:spacing w:line="360" w:lineRule="auto"/>
        <w:rPr>
          <w:rFonts w:hint="eastAsia" w:ascii="宋体" w:hAnsi="宋体" w:eastAsia="宋体" w:cs="宋体"/>
        </w:rPr>
      </w:pPr>
      <w:r>
        <w:rPr>
          <w:rFonts w:hint="eastAsia" w:ascii="宋体" w:hAnsi="宋体" w:eastAsia="宋体" w:cs="宋体"/>
        </w:rPr>
        <w:t>招标人名称：</w:t>
      </w:r>
    </w:p>
    <w:p w14:paraId="1A132187">
      <w:pPr>
        <w:adjustRightInd w:val="0"/>
        <w:snapToGrid w:val="0"/>
        <w:spacing w:line="360" w:lineRule="auto"/>
        <w:rPr>
          <w:rFonts w:hint="eastAsia" w:ascii="宋体" w:hAnsi="宋体" w:eastAsia="宋体" w:cs="宋体"/>
        </w:rPr>
      </w:pPr>
      <w:r>
        <w:rPr>
          <w:rFonts w:hint="eastAsia" w:ascii="宋体" w:hAnsi="宋体" w:eastAsia="宋体" w:cs="宋体"/>
        </w:rPr>
        <w:t>1、我方已仔细研究了（项目名称：东部机场集团有限公司南京禄口机场7.49MW光充一体化项目EPC总承包）招标文件的全部内容，愿意以人民币</w:t>
      </w:r>
      <w:r>
        <w:rPr>
          <w:rFonts w:hint="eastAsia" w:ascii="宋体" w:hAnsi="宋体" w:eastAsia="宋体" w:cs="宋体"/>
          <w:color w:val="444444"/>
          <w:sz w:val="24"/>
          <w:shd w:val="clear" w:color="auto" w:fill="FFFFFF"/>
        </w:rPr>
        <w:t>****</w:t>
      </w:r>
      <w:r>
        <w:rPr>
          <w:rFonts w:hint="eastAsia" w:ascii="宋体" w:hAnsi="宋体" w:eastAsia="宋体" w:cs="宋体"/>
        </w:rPr>
        <w:t>（大写）元（¥</w:t>
      </w:r>
      <w:r>
        <w:rPr>
          <w:rFonts w:hint="eastAsia" w:ascii="宋体" w:hAnsi="宋体" w:eastAsia="宋体" w:cs="宋体"/>
          <w:color w:val="444444"/>
          <w:sz w:val="24"/>
          <w:shd w:val="clear" w:color="auto" w:fill="FFFFFF"/>
        </w:rPr>
        <w:t>****</w:t>
      </w:r>
      <w:r>
        <w:rPr>
          <w:rFonts w:hint="eastAsia" w:ascii="宋体" w:hAnsi="宋体" w:eastAsia="宋体" w:cs="宋体"/>
        </w:rPr>
        <w:t>）的投标报价，项目周期</w:t>
      </w:r>
      <w:r>
        <w:rPr>
          <w:rFonts w:hint="eastAsia" w:ascii="宋体" w:hAnsi="宋体" w:eastAsia="宋体" w:cs="宋体"/>
          <w:color w:val="444444"/>
          <w:sz w:val="24"/>
          <w:shd w:val="clear" w:color="auto" w:fill="FFFFFF"/>
        </w:rPr>
        <w:t>****</w:t>
      </w:r>
      <w:r>
        <w:rPr>
          <w:rFonts w:hint="eastAsia" w:ascii="宋体" w:hAnsi="宋体" w:eastAsia="宋体" w:cs="宋体"/>
        </w:rPr>
        <w:t>，按合同约定时间提供相应服务。</w:t>
      </w:r>
    </w:p>
    <w:p w14:paraId="6AF9EA3E">
      <w:pPr>
        <w:adjustRightInd w:val="0"/>
        <w:snapToGrid w:val="0"/>
        <w:spacing w:line="360" w:lineRule="auto"/>
        <w:rPr>
          <w:rFonts w:hint="eastAsia" w:ascii="宋体" w:hAnsi="宋体" w:eastAsia="宋体" w:cs="宋体"/>
        </w:rPr>
      </w:pPr>
      <w:r>
        <w:rPr>
          <w:rFonts w:hint="eastAsia" w:ascii="宋体" w:hAnsi="宋体" w:eastAsia="宋体" w:cs="宋体"/>
        </w:rPr>
        <w:t>2、我方承诺投标时填写的单价、合价及合同总价在合同实施期间不因市场和政策性调价等变化因素而变动，该价格己经考虑合理损耗，为包干费用。</w:t>
      </w:r>
    </w:p>
    <w:p w14:paraId="109C4131">
      <w:pPr>
        <w:adjustRightInd w:val="0"/>
        <w:snapToGrid w:val="0"/>
        <w:spacing w:line="360" w:lineRule="auto"/>
        <w:rPr>
          <w:rFonts w:hint="eastAsia" w:ascii="宋体" w:hAnsi="宋体" w:eastAsia="宋体" w:cs="宋体"/>
        </w:rPr>
      </w:pPr>
      <w:r>
        <w:rPr>
          <w:rFonts w:hint="eastAsia" w:ascii="宋体" w:hAnsi="宋体" w:eastAsia="宋体" w:cs="宋体"/>
        </w:rPr>
        <w:t>3、我方承诺在投标有效期</w:t>
      </w:r>
      <w:r>
        <w:rPr>
          <w:rFonts w:hint="eastAsia" w:ascii="宋体" w:hAnsi="宋体" w:eastAsia="宋体" w:cs="宋体"/>
          <w:color w:val="444444"/>
          <w:sz w:val="24"/>
          <w:shd w:val="clear" w:color="auto" w:fill="FFFFFF"/>
        </w:rPr>
        <w:t>****</w:t>
      </w:r>
      <w:r>
        <w:rPr>
          <w:rFonts w:hint="eastAsia" w:ascii="宋体" w:hAnsi="宋体" w:eastAsia="宋体" w:cs="宋体"/>
        </w:rPr>
        <w:t>日内不修改、撤销投标文件。</w:t>
      </w:r>
    </w:p>
    <w:p w14:paraId="557DA13B">
      <w:pPr>
        <w:adjustRightInd w:val="0"/>
        <w:snapToGrid w:val="0"/>
        <w:spacing w:line="360" w:lineRule="auto"/>
        <w:rPr>
          <w:rFonts w:hint="eastAsia" w:ascii="宋体" w:hAnsi="宋体" w:eastAsia="宋体" w:cs="宋体"/>
        </w:rPr>
      </w:pPr>
      <w:r>
        <w:rPr>
          <w:rFonts w:hint="eastAsia" w:ascii="宋体" w:hAnsi="宋体" w:eastAsia="宋体" w:cs="宋体"/>
        </w:rPr>
        <w:t>4、如我方中标：</w:t>
      </w:r>
    </w:p>
    <w:p w14:paraId="4F9F499F">
      <w:pPr>
        <w:adjustRightInd w:val="0"/>
        <w:snapToGrid w:val="0"/>
        <w:spacing w:line="360" w:lineRule="auto"/>
        <w:ind w:firstLine="210" w:firstLineChars="100"/>
        <w:rPr>
          <w:rFonts w:hint="eastAsia" w:ascii="宋体" w:hAnsi="宋体" w:eastAsia="宋体" w:cs="宋体"/>
        </w:rPr>
      </w:pPr>
      <w:r>
        <w:rPr>
          <w:rFonts w:hint="eastAsia" w:ascii="宋体" w:hAnsi="宋体" w:eastAsia="宋体" w:cs="宋体"/>
        </w:rPr>
        <w:t>4.1、我方承诺在收到中标通知书后，在中标通知书规定的期限内与你方签订合同。</w:t>
      </w:r>
    </w:p>
    <w:p w14:paraId="2CD835E6">
      <w:pPr>
        <w:adjustRightInd w:val="0"/>
        <w:snapToGrid w:val="0"/>
        <w:spacing w:line="360" w:lineRule="auto"/>
        <w:ind w:firstLine="210" w:firstLineChars="100"/>
        <w:rPr>
          <w:rFonts w:hint="eastAsia" w:ascii="宋体" w:hAnsi="宋体" w:eastAsia="宋体" w:cs="宋体"/>
        </w:rPr>
      </w:pPr>
      <w:r>
        <w:rPr>
          <w:rFonts w:hint="eastAsia" w:ascii="宋体" w:hAnsi="宋体" w:eastAsia="宋体" w:cs="宋体"/>
        </w:rPr>
        <w:t>4.2、我方承诺按照招标文件规定的主要合同条款及格式签订合同。</w:t>
      </w:r>
    </w:p>
    <w:p w14:paraId="7D9889EC">
      <w:pPr>
        <w:adjustRightInd w:val="0"/>
        <w:snapToGrid w:val="0"/>
        <w:spacing w:line="360" w:lineRule="auto"/>
        <w:ind w:firstLine="210" w:firstLineChars="100"/>
        <w:rPr>
          <w:rFonts w:hint="eastAsia" w:ascii="宋体" w:hAnsi="宋体" w:eastAsia="宋体" w:cs="宋体"/>
        </w:rPr>
      </w:pPr>
      <w:r>
        <w:rPr>
          <w:rFonts w:hint="eastAsia" w:ascii="宋体" w:hAnsi="宋体" w:eastAsia="宋体" w:cs="宋体"/>
        </w:rPr>
        <w:t>4.3、我方承诺在合同约定的期限内完成并移交全部合同工程。</w:t>
      </w:r>
    </w:p>
    <w:p w14:paraId="5FF02CFA">
      <w:pPr>
        <w:adjustRightInd w:val="0"/>
        <w:snapToGrid w:val="0"/>
        <w:spacing w:line="360" w:lineRule="auto"/>
        <w:rPr>
          <w:rFonts w:hint="eastAsia" w:ascii="宋体" w:hAnsi="宋体" w:eastAsia="宋体" w:cs="宋体"/>
        </w:rPr>
      </w:pPr>
      <w:r>
        <w:rPr>
          <w:rFonts w:hint="eastAsia" w:ascii="宋体" w:hAnsi="宋体" w:eastAsia="宋体" w:cs="宋体"/>
        </w:rPr>
        <w:t xml:space="preserve">  4.4、我方承诺投标文件内容及形式完全符合招标文件相关要求。</w:t>
      </w:r>
    </w:p>
    <w:p w14:paraId="1BFA519B">
      <w:pPr>
        <w:adjustRightInd w:val="0"/>
        <w:snapToGrid w:val="0"/>
        <w:spacing w:line="360" w:lineRule="auto"/>
        <w:ind w:firstLine="210" w:firstLineChars="100"/>
        <w:rPr>
          <w:rFonts w:hint="eastAsia" w:ascii="宋体" w:hAnsi="宋体" w:eastAsia="宋体" w:cs="宋体"/>
        </w:rPr>
      </w:pPr>
      <w:r>
        <w:rPr>
          <w:rFonts w:hint="eastAsia" w:ascii="宋体" w:hAnsi="宋体" w:eastAsia="宋体" w:cs="宋体"/>
        </w:rPr>
        <w:t>4.5、我方在此声明，所递交的投标文件及有关资料内容完整、真实和准确。</w:t>
      </w:r>
    </w:p>
    <w:p w14:paraId="6D197887">
      <w:pPr>
        <w:adjustRightInd w:val="0"/>
        <w:snapToGrid w:val="0"/>
        <w:spacing w:line="360" w:lineRule="auto"/>
        <w:ind w:firstLine="210" w:firstLineChars="100"/>
        <w:rPr>
          <w:rFonts w:hint="eastAsia" w:ascii="宋体" w:hAnsi="宋体" w:eastAsia="宋体" w:cs="宋体"/>
        </w:rPr>
      </w:pPr>
      <w:r>
        <w:rPr>
          <w:rFonts w:hint="eastAsia" w:ascii="宋体" w:hAnsi="宋体" w:eastAsia="宋体" w:cs="宋体"/>
        </w:rPr>
        <w:t>4.6、</w:t>
      </w:r>
      <w:r>
        <w:rPr>
          <w:rFonts w:hint="eastAsia" w:ascii="宋体" w:hAnsi="宋体" w:eastAsia="宋体" w:cs="宋体"/>
          <w:color w:val="444444"/>
          <w:sz w:val="24"/>
          <w:shd w:val="clear" w:color="auto" w:fill="FFFFFF"/>
        </w:rPr>
        <w:t>****</w:t>
      </w:r>
      <w:r>
        <w:rPr>
          <w:rFonts w:hint="eastAsia" w:ascii="宋体" w:hAnsi="宋体" w:eastAsia="宋体" w:cs="宋体"/>
        </w:rPr>
        <w:t>(其他补充说明）。</w:t>
      </w:r>
    </w:p>
    <w:p w14:paraId="0531CF5A">
      <w:pPr>
        <w:adjustRightInd w:val="0"/>
        <w:snapToGrid w:val="0"/>
        <w:spacing w:line="360" w:lineRule="auto"/>
        <w:rPr>
          <w:rFonts w:hint="eastAsia" w:ascii="宋体" w:hAnsi="宋体" w:eastAsia="宋体" w:cs="宋体"/>
        </w:rPr>
      </w:pPr>
    </w:p>
    <w:p w14:paraId="62EC705B">
      <w:pPr>
        <w:adjustRightInd w:val="0"/>
        <w:snapToGrid w:val="0"/>
        <w:spacing w:line="360" w:lineRule="auto"/>
        <w:rPr>
          <w:rFonts w:hint="eastAsia" w:ascii="宋体" w:hAnsi="宋体" w:eastAsia="宋体" w:cs="宋体"/>
        </w:rPr>
      </w:pPr>
    </w:p>
    <w:p w14:paraId="239F49E6">
      <w:pPr>
        <w:adjustRightInd w:val="0"/>
        <w:snapToGrid w:val="0"/>
        <w:spacing w:line="360" w:lineRule="auto"/>
        <w:rPr>
          <w:rFonts w:hint="eastAsia" w:ascii="宋体" w:hAnsi="宋体" w:eastAsia="宋体" w:cs="宋体"/>
        </w:rPr>
      </w:pPr>
    </w:p>
    <w:p w14:paraId="30E2B32E">
      <w:pPr>
        <w:adjustRightInd w:val="0"/>
        <w:snapToGrid w:val="0"/>
        <w:spacing w:line="360" w:lineRule="auto"/>
        <w:jc w:val="center"/>
        <w:rPr>
          <w:rFonts w:hint="eastAsia" w:ascii="宋体" w:hAnsi="宋体" w:eastAsia="宋体" w:cs="宋体"/>
        </w:rPr>
      </w:pPr>
      <w:r>
        <w:rPr>
          <w:rFonts w:hint="eastAsia" w:ascii="宋体" w:hAnsi="宋体" w:eastAsia="宋体" w:cs="宋体"/>
        </w:rPr>
        <w:t xml:space="preserve">                                投标人：（盖单位章）</w:t>
      </w:r>
    </w:p>
    <w:p w14:paraId="0400AF26">
      <w:pPr>
        <w:adjustRightInd w:val="0"/>
        <w:snapToGrid w:val="0"/>
        <w:spacing w:line="360" w:lineRule="auto"/>
        <w:jc w:val="right"/>
        <w:rPr>
          <w:rFonts w:hint="eastAsia" w:ascii="宋体" w:hAnsi="宋体" w:eastAsia="宋体" w:cs="宋体"/>
        </w:rPr>
      </w:pPr>
      <w:r>
        <w:rPr>
          <w:rFonts w:hint="eastAsia" w:ascii="宋体" w:hAnsi="宋体" w:eastAsia="宋体" w:cs="宋体"/>
        </w:rPr>
        <w:t>法定代表人或期委托代理人：（签字）</w:t>
      </w:r>
    </w:p>
    <w:p w14:paraId="294C0A91">
      <w:pPr>
        <w:adjustRightInd w:val="0"/>
        <w:snapToGrid w:val="0"/>
        <w:spacing w:line="360" w:lineRule="auto"/>
        <w:ind w:firstLine="840" w:firstLineChars="400"/>
        <w:jc w:val="right"/>
        <w:rPr>
          <w:rFonts w:hint="eastAsia" w:ascii="宋体" w:hAnsi="宋体" w:eastAsia="宋体" w:cs="宋体"/>
        </w:rPr>
      </w:pPr>
      <w:r>
        <w:rPr>
          <w:rFonts w:hint="eastAsia" w:ascii="宋体" w:hAnsi="宋体" w:eastAsia="宋体" w:cs="宋体"/>
        </w:rPr>
        <w:t>年    月     日</w:t>
      </w:r>
    </w:p>
    <w:p w14:paraId="653E1445">
      <w:pPr>
        <w:adjustRightInd w:val="0"/>
        <w:snapToGrid w:val="0"/>
        <w:spacing w:line="360" w:lineRule="auto"/>
        <w:rPr>
          <w:rFonts w:hint="eastAsia" w:ascii="宋体" w:hAnsi="宋体" w:eastAsia="宋体" w:cs="宋体"/>
        </w:rPr>
      </w:pPr>
    </w:p>
    <w:p w14:paraId="199C92BB">
      <w:pPr>
        <w:adjustRightInd w:val="0"/>
        <w:snapToGrid w:val="0"/>
        <w:spacing w:line="360" w:lineRule="auto"/>
        <w:rPr>
          <w:rFonts w:hint="eastAsia" w:ascii="宋体" w:hAnsi="宋体" w:eastAsia="宋体" w:cs="宋体"/>
        </w:rPr>
      </w:pPr>
    </w:p>
    <w:p w14:paraId="26B5C67C">
      <w:pPr>
        <w:adjustRightInd w:val="0"/>
        <w:snapToGrid w:val="0"/>
        <w:spacing w:line="360" w:lineRule="auto"/>
        <w:rPr>
          <w:rFonts w:hint="eastAsia" w:ascii="宋体" w:hAnsi="宋体" w:eastAsia="宋体" w:cs="宋体"/>
        </w:rPr>
      </w:pPr>
    </w:p>
    <w:p w14:paraId="268C3F84">
      <w:pPr>
        <w:adjustRightInd w:val="0"/>
        <w:snapToGrid w:val="0"/>
        <w:spacing w:line="360" w:lineRule="auto"/>
        <w:rPr>
          <w:rFonts w:hint="eastAsia" w:ascii="宋体" w:hAnsi="宋体" w:eastAsia="宋体" w:cs="宋体"/>
        </w:rPr>
      </w:pPr>
    </w:p>
    <w:p w14:paraId="6D6D74D4">
      <w:pPr>
        <w:adjustRightInd w:val="0"/>
        <w:snapToGrid w:val="0"/>
        <w:spacing w:line="360" w:lineRule="auto"/>
        <w:rPr>
          <w:rFonts w:hint="eastAsia" w:ascii="宋体" w:hAnsi="宋体" w:eastAsia="宋体" w:cs="宋体"/>
        </w:rPr>
      </w:pPr>
    </w:p>
    <w:p w14:paraId="1B27ECF8">
      <w:pPr>
        <w:adjustRightInd w:val="0"/>
        <w:snapToGrid w:val="0"/>
        <w:spacing w:line="360" w:lineRule="auto"/>
        <w:rPr>
          <w:rFonts w:hint="eastAsia" w:ascii="宋体" w:hAnsi="宋体" w:eastAsia="宋体" w:cs="宋体"/>
        </w:rPr>
      </w:pPr>
    </w:p>
    <w:p w14:paraId="65BA949F">
      <w:pPr>
        <w:adjustRightInd w:val="0"/>
        <w:snapToGrid w:val="0"/>
        <w:spacing w:line="360" w:lineRule="auto"/>
        <w:rPr>
          <w:rFonts w:hint="eastAsia" w:ascii="宋体" w:hAnsi="宋体" w:eastAsia="宋体" w:cs="宋体"/>
        </w:rPr>
      </w:pPr>
    </w:p>
    <w:p w14:paraId="41E4903F">
      <w:pPr>
        <w:adjustRightInd w:val="0"/>
        <w:snapToGrid w:val="0"/>
        <w:spacing w:line="360" w:lineRule="auto"/>
        <w:rPr>
          <w:rFonts w:hint="eastAsia" w:ascii="宋体" w:hAnsi="宋体" w:eastAsia="宋体" w:cs="宋体"/>
        </w:rPr>
      </w:pPr>
    </w:p>
    <w:p w14:paraId="787E9DB8">
      <w:pPr>
        <w:adjustRightInd w:val="0"/>
        <w:snapToGrid w:val="0"/>
        <w:spacing w:line="360" w:lineRule="auto"/>
        <w:rPr>
          <w:rFonts w:hint="eastAsia" w:ascii="宋体" w:hAnsi="宋体" w:eastAsia="宋体" w:cs="宋体"/>
        </w:rPr>
      </w:pPr>
    </w:p>
    <w:p w14:paraId="2C759E12">
      <w:pPr>
        <w:pageBreakBefore/>
        <w:adjustRightInd w:val="0"/>
        <w:snapToGrid w:val="0"/>
        <w:spacing w:line="360" w:lineRule="auto"/>
        <w:rPr>
          <w:rFonts w:hint="eastAsia" w:ascii="宋体" w:hAnsi="宋体" w:eastAsia="宋体" w:cs="宋体"/>
          <w:szCs w:val="21"/>
        </w:rPr>
      </w:pPr>
      <w:r>
        <w:rPr>
          <w:rFonts w:hint="eastAsia" w:ascii="宋体" w:hAnsi="宋体" w:eastAsia="宋体" w:cs="宋体"/>
        </w:rPr>
        <w:t>附件二：法定代表人授权委托书</w:t>
      </w:r>
    </w:p>
    <w:p w14:paraId="373DE6B1">
      <w:pPr>
        <w:adjustRightInd w:val="0"/>
        <w:snapToGrid w:val="0"/>
        <w:spacing w:line="360" w:lineRule="auto"/>
        <w:rPr>
          <w:rFonts w:hint="eastAsia" w:ascii="宋体" w:hAnsi="宋体" w:eastAsia="宋体" w:cs="宋体"/>
        </w:rPr>
      </w:pPr>
      <w:r>
        <w:rPr>
          <w:rFonts w:hint="eastAsia" w:ascii="宋体" w:hAnsi="宋体" w:eastAsia="宋体" w:cs="宋体"/>
        </w:rPr>
        <w:t xml:space="preserve">   本人（姓名）系（投标人名称）的法定代表人，现委托（姓名）为我方代理人，代理人根据授权，以我方名义签署、澄清、说明、补正、递交、撤回、修改（项目名称）投标文件、签订合同和处理有关事宜，其法律后果由我方承担。</w:t>
      </w:r>
    </w:p>
    <w:p w14:paraId="5CC7D915">
      <w:pPr>
        <w:adjustRightInd w:val="0"/>
        <w:snapToGrid w:val="0"/>
        <w:spacing w:line="360" w:lineRule="auto"/>
        <w:rPr>
          <w:rFonts w:hint="eastAsia" w:ascii="宋体" w:hAnsi="宋体" w:eastAsia="宋体" w:cs="宋体"/>
        </w:rPr>
      </w:pPr>
      <w:r>
        <w:rPr>
          <w:rFonts w:hint="eastAsia" w:ascii="宋体" w:hAnsi="宋体" w:eastAsia="宋体" w:cs="宋体"/>
        </w:rPr>
        <w:t>代理人无转委托权。</w:t>
      </w:r>
    </w:p>
    <w:p w14:paraId="79DFF116">
      <w:pPr>
        <w:adjustRightInd w:val="0"/>
        <w:snapToGrid w:val="0"/>
        <w:spacing w:line="360" w:lineRule="auto"/>
        <w:rPr>
          <w:rFonts w:hint="eastAsia" w:ascii="宋体" w:hAnsi="宋体" w:eastAsia="宋体" w:cs="宋体"/>
        </w:rPr>
      </w:pPr>
      <w:r>
        <w:rPr>
          <w:rFonts w:hint="eastAsia" w:ascii="宋体" w:hAnsi="宋体" w:eastAsia="宋体" w:cs="宋体"/>
        </w:rPr>
        <w:t>附：法定代表人身份证明</w:t>
      </w:r>
    </w:p>
    <w:p w14:paraId="1F30DFDE">
      <w:pPr>
        <w:adjustRightInd w:val="0"/>
        <w:snapToGrid w:val="0"/>
        <w:spacing w:line="360" w:lineRule="auto"/>
        <w:rPr>
          <w:rFonts w:hint="eastAsia" w:ascii="宋体" w:hAnsi="宋体" w:eastAsia="宋体" w:cs="宋体"/>
        </w:rPr>
      </w:pPr>
      <w:r>
        <w:rPr>
          <w:rFonts w:hint="eastAsia" w:ascii="宋体" w:hAnsi="宋体" w:eastAsia="宋体" w:cs="宋体"/>
        </w:rPr>
        <w:t xml:space="preserve">附：委托代理人身份证明    </w:t>
      </w:r>
    </w:p>
    <w:p w14:paraId="3108F954">
      <w:pPr>
        <w:adjustRightInd w:val="0"/>
        <w:snapToGrid w:val="0"/>
        <w:spacing w:line="360" w:lineRule="auto"/>
        <w:rPr>
          <w:rFonts w:hint="eastAsia" w:ascii="宋体" w:hAnsi="宋体" w:eastAsia="宋体" w:cs="宋体"/>
        </w:rPr>
      </w:pPr>
      <w:r>
        <w:rPr>
          <w:rFonts w:hint="eastAsia" w:ascii="宋体" w:hAnsi="宋体" w:eastAsia="宋体" w:cs="宋体"/>
        </w:rPr>
        <w:t>投标人：（盖单位章）</w:t>
      </w:r>
    </w:p>
    <w:p w14:paraId="4051CF67">
      <w:pPr>
        <w:adjustRightInd w:val="0"/>
        <w:snapToGrid w:val="0"/>
        <w:spacing w:line="360" w:lineRule="auto"/>
        <w:rPr>
          <w:rFonts w:hint="eastAsia" w:ascii="宋体" w:hAnsi="宋体" w:eastAsia="宋体" w:cs="宋体"/>
        </w:rPr>
      </w:pPr>
      <w:r>
        <w:rPr>
          <w:rFonts w:hint="eastAsia" w:ascii="宋体" w:hAnsi="宋体" w:eastAsia="宋体" w:cs="宋体"/>
        </w:rPr>
        <w:t>法定代表人：（签字或盖章）</w:t>
      </w:r>
    </w:p>
    <w:p w14:paraId="1D8E6BA0">
      <w:pPr>
        <w:adjustRightInd w:val="0"/>
        <w:snapToGrid w:val="0"/>
        <w:spacing w:line="360" w:lineRule="auto"/>
        <w:rPr>
          <w:rFonts w:hint="eastAsia" w:ascii="宋体" w:hAnsi="宋体" w:eastAsia="宋体" w:cs="宋体"/>
        </w:rPr>
      </w:pPr>
      <w:r>
        <w:rPr>
          <w:rFonts w:hint="eastAsia" w:ascii="宋体" w:hAnsi="宋体" w:eastAsia="宋体" w:cs="宋体"/>
        </w:rPr>
        <w:t>身份证号码：</w:t>
      </w:r>
    </w:p>
    <w:p w14:paraId="7BC39E5B">
      <w:pPr>
        <w:adjustRightInd w:val="0"/>
        <w:snapToGrid w:val="0"/>
        <w:spacing w:line="360" w:lineRule="auto"/>
        <w:rPr>
          <w:rFonts w:hint="eastAsia" w:ascii="宋体" w:hAnsi="宋体" w:eastAsia="宋体" w:cs="宋体"/>
        </w:rPr>
      </w:pPr>
      <w:r>
        <w:rPr>
          <w:rFonts w:hint="eastAsia" w:ascii="宋体" w:hAnsi="宋体" w:eastAsia="宋体" w:cs="宋体"/>
        </w:rPr>
        <w:t>委托代理人：（签字）</w:t>
      </w:r>
    </w:p>
    <w:p w14:paraId="1A9F02F8">
      <w:pPr>
        <w:adjustRightInd w:val="0"/>
        <w:snapToGrid w:val="0"/>
        <w:spacing w:line="360" w:lineRule="auto"/>
        <w:rPr>
          <w:rFonts w:hint="eastAsia" w:ascii="宋体" w:hAnsi="宋体" w:eastAsia="宋体" w:cs="宋体"/>
        </w:rPr>
      </w:pPr>
      <w:r>
        <w:rPr>
          <w:rFonts w:hint="eastAsia" w:ascii="宋体" w:hAnsi="宋体" w:eastAsia="宋体" w:cs="宋体"/>
        </w:rPr>
        <w:t>身份证号码：</w:t>
      </w:r>
    </w:p>
    <w:p w14:paraId="6141ABF3">
      <w:pPr>
        <w:adjustRightInd w:val="0"/>
        <w:snapToGrid w:val="0"/>
        <w:spacing w:line="360" w:lineRule="auto"/>
        <w:rPr>
          <w:rFonts w:hint="eastAsia" w:ascii="宋体" w:hAnsi="宋体" w:eastAsia="宋体" w:cs="宋体"/>
        </w:rPr>
        <w:sectPr>
          <w:footerReference r:id="rId3" w:type="default"/>
          <w:pgSz w:w="11906" w:h="16838"/>
          <w:pgMar w:top="1270" w:right="1689" w:bottom="1270" w:left="1633" w:header="851" w:footer="992" w:gutter="0"/>
          <w:pgNumType w:start="1"/>
          <w:cols w:space="425" w:num="1"/>
          <w:docGrid w:type="lines" w:linePitch="312" w:charSpace="0"/>
        </w:sectPr>
      </w:pPr>
    </w:p>
    <w:p w14:paraId="2F6E6A89">
      <w:pPr>
        <w:pageBreakBefore/>
        <w:adjustRightInd w:val="0"/>
        <w:snapToGrid w:val="0"/>
        <w:spacing w:line="360" w:lineRule="auto"/>
        <w:rPr>
          <w:rFonts w:hint="eastAsia" w:ascii="宋体" w:hAnsi="宋体" w:eastAsia="宋体" w:cs="宋体"/>
          <w:snapToGrid w:val="0"/>
          <w:szCs w:val="21"/>
        </w:rPr>
      </w:pPr>
      <w:r>
        <w:rPr>
          <w:rFonts w:hint="eastAsia" w:ascii="宋体" w:hAnsi="宋体" w:eastAsia="宋体" w:cs="宋体"/>
        </w:rPr>
        <w:t>附件三：</w:t>
      </w:r>
      <w:r>
        <w:rPr>
          <w:rFonts w:hint="eastAsia" w:ascii="宋体" w:hAnsi="宋体" w:eastAsia="宋体" w:cs="宋体"/>
          <w:snapToGrid w:val="0"/>
          <w:szCs w:val="21"/>
        </w:rPr>
        <w:t>报价一览表</w:t>
      </w:r>
    </w:p>
    <w:p w14:paraId="39F9DAC5">
      <w:pPr>
        <w:pStyle w:val="18"/>
        <w:ind w:firstLine="210"/>
        <w:rPr>
          <w:rFonts w:hint="eastAsia" w:ascii="宋体" w:hAnsi="宋体" w:eastAsia="宋体" w:cs="宋体"/>
        </w:rPr>
      </w:pPr>
    </w:p>
    <w:tbl>
      <w:tblPr>
        <w:tblStyle w:val="19"/>
        <w:tblW w:w="14277" w:type="dxa"/>
        <w:tblInd w:w="93" w:type="dxa"/>
        <w:tblLayout w:type="fixed"/>
        <w:tblCellMar>
          <w:top w:w="0" w:type="dxa"/>
          <w:left w:w="108" w:type="dxa"/>
          <w:bottom w:w="0" w:type="dxa"/>
          <w:right w:w="108" w:type="dxa"/>
        </w:tblCellMar>
      </w:tblPr>
      <w:tblGrid>
        <w:gridCol w:w="716"/>
        <w:gridCol w:w="1868"/>
        <w:gridCol w:w="3757"/>
        <w:gridCol w:w="1499"/>
        <w:gridCol w:w="1477"/>
        <w:gridCol w:w="870"/>
        <w:gridCol w:w="1080"/>
        <w:gridCol w:w="1080"/>
        <w:gridCol w:w="1080"/>
        <w:gridCol w:w="850"/>
      </w:tblGrid>
      <w:tr w14:paraId="713B68D4">
        <w:tblPrEx>
          <w:tblCellMar>
            <w:top w:w="0" w:type="dxa"/>
            <w:left w:w="108" w:type="dxa"/>
            <w:bottom w:w="0" w:type="dxa"/>
            <w:right w:w="108" w:type="dxa"/>
          </w:tblCellMar>
        </w:tblPrEx>
        <w:trPr>
          <w:trHeight w:val="4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14A78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1868"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1019F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名称</w:t>
            </w:r>
          </w:p>
        </w:tc>
        <w:tc>
          <w:tcPr>
            <w:tcW w:w="3757"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164795B9">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技术参数</w:t>
            </w:r>
          </w:p>
        </w:tc>
        <w:tc>
          <w:tcPr>
            <w:tcW w:w="149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3479F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型号</w:t>
            </w:r>
          </w:p>
        </w:tc>
        <w:tc>
          <w:tcPr>
            <w:tcW w:w="1477"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DBF65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生产厂商</w:t>
            </w:r>
          </w:p>
        </w:tc>
        <w:tc>
          <w:tcPr>
            <w:tcW w:w="87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32A470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97348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06AB7D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BF141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总价（元）</w:t>
            </w:r>
          </w:p>
        </w:tc>
        <w:tc>
          <w:tcPr>
            <w:tcW w:w="8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17003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14:paraId="3666CC69">
        <w:tblPrEx>
          <w:tblCellMar>
            <w:top w:w="0" w:type="dxa"/>
            <w:left w:w="108" w:type="dxa"/>
            <w:bottom w:w="0" w:type="dxa"/>
            <w:right w:w="108" w:type="dxa"/>
          </w:tblCellMar>
        </w:tblPrEx>
        <w:trPr>
          <w:trHeight w:val="422"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0F316E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1</w:t>
            </w:r>
          </w:p>
        </w:tc>
        <w:tc>
          <w:tcPr>
            <w:tcW w:w="1868" w:type="dxa"/>
            <w:tcBorders>
              <w:top w:val="single" w:color="000000" w:sz="4" w:space="0"/>
              <w:left w:val="single" w:color="000000" w:sz="4" w:space="0"/>
              <w:bottom w:val="single" w:color="000000" w:sz="4" w:space="0"/>
              <w:right w:val="single" w:color="000000" w:sz="4" w:space="0"/>
            </w:tcBorders>
            <w:vAlign w:val="center"/>
          </w:tcPr>
          <w:p w14:paraId="766324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10kV</w:t>
            </w:r>
            <w:r>
              <w:rPr>
                <w:rFonts w:hint="eastAsia" w:ascii="宋体" w:hAnsi="宋体" w:eastAsia="宋体" w:cs="宋体"/>
                <w:color w:val="000000"/>
                <w:kern w:val="0"/>
                <w:szCs w:val="21"/>
                <w:lang w:bidi="ar"/>
              </w:rPr>
              <w:t>并网出线柜</w:t>
            </w:r>
          </w:p>
        </w:tc>
        <w:tc>
          <w:tcPr>
            <w:tcW w:w="3757" w:type="dxa"/>
            <w:tcBorders>
              <w:top w:val="single" w:color="000000" w:sz="4" w:space="0"/>
              <w:left w:val="single" w:color="000000" w:sz="4" w:space="0"/>
              <w:bottom w:val="single" w:color="000000" w:sz="4" w:space="0"/>
              <w:right w:val="single" w:color="000000" w:sz="4" w:space="0"/>
            </w:tcBorders>
            <w:vAlign w:val="center"/>
          </w:tcPr>
          <w:p w14:paraId="54773A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KYN28A-12,</w:t>
            </w:r>
            <w:r>
              <w:rPr>
                <w:rFonts w:hint="eastAsia" w:ascii="宋体" w:hAnsi="宋体" w:eastAsia="宋体" w:cs="宋体"/>
                <w:color w:val="000000"/>
                <w:kern w:val="0"/>
                <w:szCs w:val="21"/>
                <w:lang w:bidi="ar"/>
              </w:rPr>
              <w:t>真空断路器:630A-25kA</w:t>
            </w:r>
          </w:p>
        </w:tc>
        <w:tc>
          <w:tcPr>
            <w:tcW w:w="1499" w:type="dxa"/>
            <w:tcBorders>
              <w:top w:val="single" w:color="000000" w:sz="4" w:space="0"/>
              <w:left w:val="single" w:color="000000" w:sz="4" w:space="0"/>
              <w:bottom w:val="single" w:color="000000" w:sz="4" w:space="0"/>
              <w:right w:val="single" w:color="000000" w:sz="4" w:space="0"/>
            </w:tcBorders>
            <w:vAlign w:val="center"/>
          </w:tcPr>
          <w:p w14:paraId="7D1614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西门子授权柜</w:t>
            </w:r>
          </w:p>
        </w:tc>
        <w:tc>
          <w:tcPr>
            <w:tcW w:w="1477" w:type="dxa"/>
            <w:vMerge w:val="restart"/>
            <w:tcBorders>
              <w:top w:val="single" w:color="000000" w:sz="4" w:space="0"/>
              <w:left w:val="single" w:color="000000" w:sz="4" w:space="0"/>
              <w:right w:val="single" w:color="000000" w:sz="4" w:space="0"/>
            </w:tcBorders>
            <w:vAlign w:val="center"/>
          </w:tcPr>
          <w:p w14:paraId="3F95BA49">
            <w:pP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推荐生产厂家：吴江金通力、</w:t>
            </w:r>
          </w:p>
          <w:p w14:paraId="0C33F5E8">
            <w:pP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安徽中电鑫龙、</w:t>
            </w:r>
          </w:p>
          <w:p w14:paraId="2E0DDBF1">
            <w:pP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南京大全、</w:t>
            </w:r>
          </w:p>
          <w:p w14:paraId="53119555">
            <w:pPr>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江苏华衡电力、有能电气</w:t>
            </w:r>
          </w:p>
        </w:tc>
        <w:tc>
          <w:tcPr>
            <w:tcW w:w="870" w:type="dxa"/>
            <w:tcBorders>
              <w:top w:val="single" w:color="000000" w:sz="4" w:space="0"/>
              <w:left w:val="single" w:color="000000" w:sz="4" w:space="0"/>
              <w:bottom w:val="single" w:color="000000" w:sz="4" w:space="0"/>
              <w:right w:val="single" w:color="000000" w:sz="4" w:space="0"/>
            </w:tcBorders>
            <w:vAlign w:val="center"/>
          </w:tcPr>
          <w:p w14:paraId="649ACF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套</w:t>
            </w:r>
          </w:p>
        </w:tc>
        <w:tc>
          <w:tcPr>
            <w:tcW w:w="1080" w:type="dxa"/>
            <w:tcBorders>
              <w:top w:val="single" w:color="000000" w:sz="4" w:space="0"/>
              <w:left w:val="single" w:color="000000" w:sz="4" w:space="0"/>
              <w:bottom w:val="single" w:color="000000" w:sz="4" w:space="0"/>
              <w:right w:val="single" w:color="000000" w:sz="4" w:space="0"/>
            </w:tcBorders>
            <w:vAlign w:val="center"/>
          </w:tcPr>
          <w:p w14:paraId="221EB6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vAlign w:val="center"/>
          </w:tcPr>
          <w:p w14:paraId="0F3E015C">
            <w:pPr>
              <w:jc w:val="center"/>
              <w:rPr>
                <w:rFonts w:hint="eastAsia"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8C6D314">
            <w:pPr>
              <w:jc w:val="center"/>
              <w:rPr>
                <w:rFonts w:hint="eastAsia" w:ascii="宋体" w:hAnsi="宋体" w:eastAsia="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E9C89FE">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大航、</w:t>
            </w:r>
          </w:p>
        </w:tc>
      </w:tr>
      <w:tr w14:paraId="4659443A">
        <w:tblPrEx>
          <w:tblCellMar>
            <w:top w:w="0" w:type="dxa"/>
            <w:left w:w="108" w:type="dxa"/>
            <w:bottom w:w="0" w:type="dxa"/>
            <w:right w:w="108" w:type="dxa"/>
          </w:tblCellMar>
        </w:tblPrEx>
        <w:trPr>
          <w:trHeight w:val="977"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20BCAA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2</w:t>
            </w:r>
          </w:p>
        </w:tc>
        <w:tc>
          <w:tcPr>
            <w:tcW w:w="1868" w:type="dxa"/>
            <w:tcBorders>
              <w:top w:val="single" w:color="000000" w:sz="4" w:space="0"/>
              <w:left w:val="single" w:color="000000" w:sz="4" w:space="0"/>
              <w:bottom w:val="single" w:color="000000" w:sz="4" w:space="0"/>
              <w:right w:val="single" w:color="000000" w:sz="4" w:space="0"/>
            </w:tcBorders>
            <w:vAlign w:val="center"/>
          </w:tcPr>
          <w:p w14:paraId="00EB2E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10kV</w:t>
            </w:r>
            <w:r>
              <w:rPr>
                <w:rFonts w:hint="eastAsia" w:ascii="宋体" w:hAnsi="宋体" w:eastAsia="宋体" w:cs="宋体"/>
                <w:color w:val="000000"/>
                <w:kern w:val="0"/>
                <w:szCs w:val="21"/>
                <w:lang w:bidi="ar"/>
              </w:rPr>
              <w:t>并网接入柜（接入充电桩母线）</w:t>
            </w:r>
          </w:p>
        </w:tc>
        <w:tc>
          <w:tcPr>
            <w:tcW w:w="3757" w:type="dxa"/>
            <w:tcBorders>
              <w:top w:val="single" w:color="000000" w:sz="4" w:space="0"/>
              <w:left w:val="single" w:color="000000" w:sz="4" w:space="0"/>
              <w:bottom w:val="single" w:color="000000" w:sz="4" w:space="0"/>
              <w:right w:val="single" w:color="000000" w:sz="4" w:space="0"/>
            </w:tcBorders>
            <w:vAlign w:val="center"/>
          </w:tcPr>
          <w:p w14:paraId="5972CE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KYN28A-12,</w:t>
            </w:r>
            <w:r>
              <w:rPr>
                <w:rFonts w:hint="eastAsia" w:ascii="宋体" w:hAnsi="宋体" w:eastAsia="宋体" w:cs="宋体"/>
                <w:color w:val="000000"/>
                <w:kern w:val="0"/>
                <w:szCs w:val="21"/>
                <w:lang w:bidi="ar"/>
              </w:rPr>
              <w:t>真空断路器:630A-25kA</w:t>
            </w:r>
          </w:p>
        </w:tc>
        <w:tc>
          <w:tcPr>
            <w:tcW w:w="1499" w:type="dxa"/>
            <w:tcBorders>
              <w:top w:val="single" w:color="000000" w:sz="4" w:space="0"/>
              <w:left w:val="single" w:color="000000" w:sz="4" w:space="0"/>
              <w:bottom w:val="single" w:color="000000" w:sz="4" w:space="0"/>
              <w:right w:val="single" w:color="000000" w:sz="4" w:space="0"/>
            </w:tcBorders>
            <w:vAlign w:val="center"/>
          </w:tcPr>
          <w:p w14:paraId="2466E1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西门子授权柜</w:t>
            </w:r>
          </w:p>
        </w:tc>
        <w:tc>
          <w:tcPr>
            <w:tcW w:w="1477" w:type="dxa"/>
            <w:vMerge w:val="continue"/>
            <w:tcBorders>
              <w:left w:val="single" w:color="000000" w:sz="4" w:space="0"/>
              <w:right w:val="single" w:color="000000" w:sz="4" w:space="0"/>
            </w:tcBorders>
            <w:vAlign w:val="center"/>
          </w:tcPr>
          <w:p w14:paraId="19EB9ABD">
            <w:pPr>
              <w:jc w:val="center"/>
              <w:textAlignment w:val="center"/>
              <w:rPr>
                <w:rFonts w:hint="eastAsia" w:ascii="宋体" w:hAnsi="宋体" w:eastAsia="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7E9BFA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套</w:t>
            </w:r>
          </w:p>
        </w:tc>
        <w:tc>
          <w:tcPr>
            <w:tcW w:w="1080" w:type="dxa"/>
            <w:tcBorders>
              <w:top w:val="single" w:color="000000" w:sz="4" w:space="0"/>
              <w:left w:val="single" w:color="000000" w:sz="4" w:space="0"/>
              <w:bottom w:val="single" w:color="000000" w:sz="4" w:space="0"/>
              <w:right w:val="single" w:color="000000" w:sz="4" w:space="0"/>
            </w:tcBorders>
            <w:vAlign w:val="center"/>
          </w:tcPr>
          <w:p w14:paraId="40ECE3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vAlign w:val="center"/>
          </w:tcPr>
          <w:p w14:paraId="5AF347A3">
            <w:pPr>
              <w:jc w:val="center"/>
              <w:rPr>
                <w:rFonts w:hint="eastAsia"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210132E">
            <w:pPr>
              <w:jc w:val="center"/>
              <w:rPr>
                <w:rFonts w:hint="eastAsia" w:ascii="宋体" w:hAnsi="宋体" w:eastAsia="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DBC92D0">
            <w:pPr>
              <w:jc w:val="center"/>
              <w:rPr>
                <w:rFonts w:hint="eastAsia" w:ascii="宋体" w:hAnsi="宋体" w:eastAsia="宋体" w:cs="宋体"/>
                <w:color w:val="000000"/>
                <w:sz w:val="20"/>
                <w:szCs w:val="20"/>
              </w:rPr>
            </w:pPr>
          </w:p>
        </w:tc>
      </w:tr>
      <w:tr w14:paraId="649B088C">
        <w:tblPrEx>
          <w:tblCellMar>
            <w:top w:w="0" w:type="dxa"/>
            <w:left w:w="108" w:type="dxa"/>
            <w:bottom w:w="0" w:type="dxa"/>
            <w:right w:w="108" w:type="dxa"/>
          </w:tblCellMar>
        </w:tblPrEx>
        <w:trPr>
          <w:trHeight w:val="240"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699B38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3</w:t>
            </w:r>
          </w:p>
        </w:tc>
        <w:tc>
          <w:tcPr>
            <w:tcW w:w="1868" w:type="dxa"/>
            <w:tcBorders>
              <w:top w:val="single" w:color="000000" w:sz="4" w:space="0"/>
              <w:left w:val="single" w:color="000000" w:sz="4" w:space="0"/>
              <w:bottom w:val="single" w:color="000000" w:sz="4" w:space="0"/>
              <w:right w:val="single" w:color="000000" w:sz="4" w:space="0"/>
            </w:tcBorders>
            <w:vAlign w:val="center"/>
          </w:tcPr>
          <w:p w14:paraId="02E34C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10kV SVG</w:t>
            </w:r>
            <w:r>
              <w:rPr>
                <w:rFonts w:hint="eastAsia" w:ascii="宋体" w:hAnsi="宋体" w:eastAsia="宋体" w:cs="宋体"/>
                <w:color w:val="000000"/>
                <w:kern w:val="0"/>
                <w:szCs w:val="21"/>
                <w:lang w:bidi="ar"/>
              </w:rPr>
              <w:t>柜</w:t>
            </w:r>
          </w:p>
        </w:tc>
        <w:tc>
          <w:tcPr>
            <w:tcW w:w="3757" w:type="dxa"/>
            <w:tcBorders>
              <w:top w:val="single" w:color="000000" w:sz="4" w:space="0"/>
              <w:left w:val="single" w:color="000000" w:sz="4" w:space="0"/>
              <w:bottom w:val="single" w:color="000000" w:sz="4" w:space="0"/>
              <w:right w:val="single" w:color="000000" w:sz="4" w:space="0"/>
            </w:tcBorders>
            <w:vAlign w:val="center"/>
          </w:tcPr>
          <w:p w14:paraId="6500DF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KYN28A-12,</w:t>
            </w:r>
            <w:r>
              <w:rPr>
                <w:rFonts w:hint="eastAsia" w:ascii="宋体" w:hAnsi="宋体" w:eastAsia="宋体" w:cs="宋体"/>
                <w:color w:val="000000"/>
                <w:kern w:val="0"/>
                <w:szCs w:val="21"/>
                <w:lang w:bidi="ar"/>
              </w:rPr>
              <w:t>真空断路器:630A-25kA，</w:t>
            </w:r>
          </w:p>
        </w:tc>
        <w:tc>
          <w:tcPr>
            <w:tcW w:w="1499" w:type="dxa"/>
            <w:tcBorders>
              <w:top w:val="single" w:color="000000" w:sz="4" w:space="0"/>
              <w:left w:val="single" w:color="000000" w:sz="4" w:space="0"/>
              <w:bottom w:val="single" w:color="000000" w:sz="4" w:space="0"/>
              <w:right w:val="single" w:color="000000" w:sz="4" w:space="0"/>
            </w:tcBorders>
            <w:vAlign w:val="center"/>
          </w:tcPr>
          <w:p w14:paraId="6D8D6D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西门子授权柜</w:t>
            </w:r>
          </w:p>
        </w:tc>
        <w:tc>
          <w:tcPr>
            <w:tcW w:w="1477" w:type="dxa"/>
            <w:vMerge w:val="continue"/>
            <w:tcBorders>
              <w:left w:val="single" w:color="000000" w:sz="4" w:space="0"/>
              <w:right w:val="single" w:color="000000" w:sz="4" w:space="0"/>
            </w:tcBorders>
            <w:vAlign w:val="center"/>
          </w:tcPr>
          <w:p w14:paraId="65BF3367">
            <w:pPr>
              <w:jc w:val="center"/>
              <w:textAlignment w:val="center"/>
              <w:rPr>
                <w:rFonts w:hint="eastAsia" w:ascii="宋体" w:hAnsi="宋体" w:eastAsia="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7323DE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套</w:t>
            </w:r>
          </w:p>
        </w:tc>
        <w:tc>
          <w:tcPr>
            <w:tcW w:w="1080" w:type="dxa"/>
            <w:tcBorders>
              <w:top w:val="single" w:color="000000" w:sz="4" w:space="0"/>
              <w:left w:val="single" w:color="000000" w:sz="4" w:space="0"/>
              <w:bottom w:val="single" w:color="000000" w:sz="4" w:space="0"/>
              <w:right w:val="single" w:color="000000" w:sz="4" w:space="0"/>
            </w:tcBorders>
            <w:vAlign w:val="center"/>
          </w:tcPr>
          <w:p w14:paraId="42212C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vAlign w:val="center"/>
          </w:tcPr>
          <w:p w14:paraId="0DC135DB">
            <w:pPr>
              <w:jc w:val="center"/>
              <w:rPr>
                <w:rFonts w:hint="eastAsia"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83BC390">
            <w:pPr>
              <w:jc w:val="center"/>
              <w:rPr>
                <w:rFonts w:hint="eastAsia" w:ascii="宋体" w:hAnsi="宋体" w:eastAsia="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7CA3D36">
            <w:pPr>
              <w:jc w:val="center"/>
              <w:rPr>
                <w:rFonts w:hint="eastAsia" w:ascii="宋体" w:hAnsi="宋体" w:eastAsia="宋体" w:cs="宋体"/>
                <w:color w:val="000000"/>
                <w:sz w:val="20"/>
                <w:szCs w:val="20"/>
              </w:rPr>
            </w:pPr>
          </w:p>
        </w:tc>
      </w:tr>
      <w:tr w14:paraId="657FE97C">
        <w:tblPrEx>
          <w:tblCellMar>
            <w:top w:w="0" w:type="dxa"/>
            <w:left w:w="108" w:type="dxa"/>
            <w:bottom w:w="0" w:type="dxa"/>
            <w:right w:w="108" w:type="dxa"/>
          </w:tblCellMar>
        </w:tblPrEx>
        <w:trPr>
          <w:trHeight w:val="435"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2AA3CB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4</w:t>
            </w:r>
          </w:p>
        </w:tc>
        <w:tc>
          <w:tcPr>
            <w:tcW w:w="1868" w:type="dxa"/>
            <w:tcBorders>
              <w:top w:val="single" w:color="000000" w:sz="4" w:space="0"/>
              <w:left w:val="single" w:color="000000" w:sz="4" w:space="0"/>
              <w:bottom w:val="single" w:color="000000" w:sz="4" w:space="0"/>
              <w:right w:val="single" w:color="000000" w:sz="4" w:space="0"/>
            </w:tcBorders>
            <w:vAlign w:val="center"/>
          </w:tcPr>
          <w:p w14:paraId="68B2D7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10kV</w:t>
            </w:r>
            <w:r>
              <w:rPr>
                <w:rFonts w:hint="eastAsia" w:ascii="宋体" w:hAnsi="宋体" w:eastAsia="宋体" w:cs="宋体"/>
                <w:color w:val="000000"/>
                <w:kern w:val="0"/>
                <w:szCs w:val="21"/>
                <w:lang w:bidi="ar"/>
              </w:rPr>
              <w:t>光伏进线柜</w:t>
            </w:r>
          </w:p>
        </w:tc>
        <w:tc>
          <w:tcPr>
            <w:tcW w:w="3757" w:type="dxa"/>
            <w:tcBorders>
              <w:top w:val="single" w:color="000000" w:sz="4" w:space="0"/>
              <w:left w:val="single" w:color="000000" w:sz="4" w:space="0"/>
              <w:bottom w:val="single" w:color="000000" w:sz="4" w:space="0"/>
              <w:right w:val="single" w:color="000000" w:sz="4" w:space="0"/>
            </w:tcBorders>
            <w:vAlign w:val="center"/>
          </w:tcPr>
          <w:p w14:paraId="301047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KYN28A-12,</w:t>
            </w:r>
            <w:r>
              <w:rPr>
                <w:rFonts w:hint="eastAsia" w:ascii="宋体" w:hAnsi="宋体" w:eastAsia="宋体" w:cs="宋体"/>
                <w:color w:val="000000"/>
                <w:kern w:val="0"/>
                <w:szCs w:val="21"/>
                <w:lang w:bidi="ar"/>
              </w:rPr>
              <w:t>真空断路器:630A-25kA</w:t>
            </w:r>
          </w:p>
        </w:tc>
        <w:tc>
          <w:tcPr>
            <w:tcW w:w="1499" w:type="dxa"/>
            <w:tcBorders>
              <w:top w:val="single" w:color="000000" w:sz="4" w:space="0"/>
              <w:left w:val="single" w:color="000000" w:sz="4" w:space="0"/>
              <w:bottom w:val="single" w:color="000000" w:sz="4" w:space="0"/>
              <w:right w:val="single" w:color="000000" w:sz="4" w:space="0"/>
            </w:tcBorders>
            <w:vAlign w:val="center"/>
          </w:tcPr>
          <w:p w14:paraId="7B90EA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西门子授权柜</w:t>
            </w:r>
          </w:p>
        </w:tc>
        <w:tc>
          <w:tcPr>
            <w:tcW w:w="1477" w:type="dxa"/>
            <w:vMerge w:val="continue"/>
            <w:tcBorders>
              <w:left w:val="single" w:color="000000" w:sz="4" w:space="0"/>
              <w:right w:val="single" w:color="000000" w:sz="4" w:space="0"/>
            </w:tcBorders>
            <w:vAlign w:val="center"/>
          </w:tcPr>
          <w:p w14:paraId="016EE8B0">
            <w:pPr>
              <w:jc w:val="center"/>
              <w:textAlignment w:val="center"/>
              <w:rPr>
                <w:rFonts w:hint="eastAsia" w:ascii="宋体" w:hAnsi="宋体" w:eastAsia="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16E148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套</w:t>
            </w:r>
          </w:p>
        </w:tc>
        <w:tc>
          <w:tcPr>
            <w:tcW w:w="1080" w:type="dxa"/>
            <w:tcBorders>
              <w:top w:val="single" w:color="000000" w:sz="4" w:space="0"/>
              <w:left w:val="single" w:color="000000" w:sz="4" w:space="0"/>
              <w:bottom w:val="single" w:color="000000" w:sz="4" w:space="0"/>
              <w:right w:val="single" w:color="000000" w:sz="4" w:space="0"/>
            </w:tcBorders>
            <w:vAlign w:val="center"/>
          </w:tcPr>
          <w:p w14:paraId="5BB3E3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vAlign w:val="center"/>
          </w:tcPr>
          <w:p w14:paraId="1F220BB8">
            <w:pPr>
              <w:jc w:val="center"/>
              <w:rPr>
                <w:rFonts w:hint="eastAsia"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8285E91">
            <w:pPr>
              <w:jc w:val="center"/>
              <w:rPr>
                <w:rFonts w:hint="eastAsia" w:ascii="宋体" w:hAnsi="宋体" w:eastAsia="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FC0E0E1">
            <w:pPr>
              <w:jc w:val="center"/>
              <w:rPr>
                <w:rFonts w:hint="eastAsia" w:ascii="宋体" w:hAnsi="宋体" w:eastAsia="宋体" w:cs="宋体"/>
                <w:color w:val="000000"/>
                <w:sz w:val="20"/>
                <w:szCs w:val="20"/>
              </w:rPr>
            </w:pPr>
          </w:p>
        </w:tc>
      </w:tr>
      <w:tr w14:paraId="174D3863">
        <w:tblPrEx>
          <w:tblCellMar>
            <w:top w:w="0" w:type="dxa"/>
            <w:left w:w="108" w:type="dxa"/>
            <w:bottom w:w="0" w:type="dxa"/>
            <w:right w:w="108" w:type="dxa"/>
          </w:tblCellMar>
        </w:tblPrEx>
        <w:trPr>
          <w:trHeight w:val="398"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772D1A6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5</w:t>
            </w:r>
          </w:p>
        </w:tc>
        <w:tc>
          <w:tcPr>
            <w:tcW w:w="1868" w:type="dxa"/>
            <w:tcBorders>
              <w:top w:val="single" w:color="000000" w:sz="4" w:space="0"/>
              <w:left w:val="single" w:color="000000" w:sz="4" w:space="0"/>
              <w:bottom w:val="single" w:color="000000" w:sz="4" w:space="0"/>
              <w:right w:val="single" w:color="000000" w:sz="4" w:space="0"/>
            </w:tcBorders>
            <w:vAlign w:val="center"/>
          </w:tcPr>
          <w:p w14:paraId="185AD1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10kV PT</w:t>
            </w:r>
            <w:r>
              <w:rPr>
                <w:rStyle w:val="50"/>
                <w:rFonts w:hint="default"/>
                <w:lang w:bidi="ar"/>
              </w:rPr>
              <w:t>柜</w:t>
            </w:r>
          </w:p>
        </w:tc>
        <w:tc>
          <w:tcPr>
            <w:tcW w:w="3757" w:type="dxa"/>
            <w:tcBorders>
              <w:top w:val="single" w:color="000000" w:sz="4" w:space="0"/>
              <w:left w:val="single" w:color="000000" w:sz="4" w:space="0"/>
              <w:bottom w:val="single" w:color="000000" w:sz="4" w:space="0"/>
              <w:right w:val="single" w:color="000000" w:sz="4" w:space="0"/>
            </w:tcBorders>
            <w:vAlign w:val="center"/>
          </w:tcPr>
          <w:p w14:paraId="6F32BD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KYN28A-12</w:t>
            </w:r>
            <w:r>
              <w:rPr>
                <w:rFonts w:hint="eastAsia" w:ascii="宋体" w:hAnsi="宋体" w:eastAsia="宋体" w:cs="宋体"/>
                <w:color w:val="000000"/>
                <w:kern w:val="0"/>
                <w:szCs w:val="21"/>
                <w:lang w:bidi="ar"/>
              </w:rPr>
              <w:t>，</w:t>
            </w:r>
            <w:r>
              <w:rPr>
                <w:rStyle w:val="51"/>
                <w:rFonts w:hint="eastAsia" w:ascii="宋体" w:hAnsi="宋体" w:eastAsia="宋体" w:cs="宋体"/>
                <w:lang w:bidi="ar"/>
              </w:rPr>
              <w:t>PT</w:t>
            </w:r>
            <w:r>
              <w:rPr>
                <w:rFonts w:hint="eastAsia" w:ascii="宋体" w:hAnsi="宋体" w:eastAsia="宋体" w:cs="宋体"/>
                <w:color w:val="000000"/>
                <w:kern w:val="0"/>
                <w:szCs w:val="21"/>
                <w:lang w:bidi="ar"/>
              </w:rPr>
              <w:t>柜，配一次消谐装置</w:t>
            </w:r>
          </w:p>
        </w:tc>
        <w:tc>
          <w:tcPr>
            <w:tcW w:w="1499" w:type="dxa"/>
            <w:tcBorders>
              <w:top w:val="single" w:color="000000" w:sz="4" w:space="0"/>
              <w:left w:val="single" w:color="000000" w:sz="4" w:space="0"/>
              <w:bottom w:val="single" w:color="000000" w:sz="4" w:space="0"/>
              <w:right w:val="single" w:color="000000" w:sz="4" w:space="0"/>
            </w:tcBorders>
            <w:vAlign w:val="center"/>
          </w:tcPr>
          <w:p w14:paraId="08A318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西门子授权柜</w:t>
            </w:r>
          </w:p>
        </w:tc>
        <w:tc>
          <w:tcPr>
            <w:tcW w:w="1477" w:type="dxa"/>
            <w:vMerge w:val="continue"/>
            <w:tcBorders>
              <w:left w:val="single" w:color="000000" w:sz="4" w:space="0"/>
              <w:right w:val="single" w:color="000000" w:sz="4" w:space="0"/>
            </w:tcBorders>
            <w:vAlign w:val="center"/>
          </w:tcPr>
          <w:p w14:paraId="73F17B03">
            <w:pPr>
              <w:jc w:val="center"/>
              <w:textAlignment w:val="center"/>
              <w:rPr>
                <w:rFonts w:hint="eastAsia" w:ascii="宋体" w:hAnsi="宋体" w:eastAsia="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12091F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套</w:t>
            </w:r>
          </w:p>
        </w:tc>
        <w:tc>
          <w:tcPr>
            <w:tcW w:w="1080" w:type="dxa"/>
            <w:tcBorders>
              <w:top w:val="single" w:color="000000" w:sz="4" w:space="0"/>
              <w:left w:val="single" w:color="000000" w:sz="4" w:space="0"/>
              <w:bottom w:val="single" w:color="000000" w:sz="4" w:space="0"/>
              <w:right w:val="single" w:color="000000" w:sz="4" w:space="0"/>
            </w:tcBorders>
            <w:vAlign w:val="center"/>
          </w:tcPr>
          <w:p w14:paraId="02FF8E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vAlign w:val="center"/>
          </w:tcPr>
          <w:p w14:paraId="2105A2FD">
            <w:pPr>
              <w:jc w:val="center"/>
              <w:rPr>
                <w:rFonts w:hint="eastAsia"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04A7A88">
            <w:pPr>
              <w:jc w:val="center"/>
              <w:rPr>
                <w:rFonts w:hint="eastAsia" w:ascii="宋体" w:hAnsi="宋体" w:eastAsia="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44BB435">
            <w:pPr>
              <w:jc w:val="center"/>
              <w:rPr>
                <w:rFonts w:hint="eastAsia" w:ascii="宋体" w:hAnsi="宋体" w:eastAsia="宋体" w:cs="宋体"/>
                <w:color w:val="000000"/>
                <w:sz w:val="20"/>
                <w:szCs w:val="20"/>
              </w:rPr>
            </w:pPr>
          </w:p>
        </w:tc>
      </w:tr>
      <w:tr w14:paraId="3665A62B">
        <w:tblPrEx>
          <w:tblCellMar>
            <w:top w:w="0" w:type="dxa"/>
            <w:left w:w="108" w:type="dxa"/>
            <w:bottom w:w="0" w:type="dxa"/>
            <w:right w:w="108" w:type="dxa"/>
          </w:tblCellMar>
        </w:tblPrEx>
        <w:trPr>
          <w:trHeight w:val="385"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0878ED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6</w:t>
            </w:r>
          </w:p>
        </w:tc>
        <w:tc>
          <w:tcPr>
            <w:tcW w:w="1868" w:type="dxa"/>
            <w:tcBorders>
              <w:top w:val="single" w:color="000000" w:sz="4" w:space="0"/>
              <w:left w:val="single" w:color="000000" w:sz="4" w:space="0"/>
              <w:bottom w:val="single" w:color="000000" w:sz="4" w:space="0"/>
              <w:right w:val="single" w:color="000000" w:sz="4" w:space="0"/>
            </w:tcBorders>
            <w:vAlign w:val="center"/>
          </w:tcPr>
          <w:p w14:paraId="223969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10kV</w:t>
            </w:r>
            <w:r>
              <w:rPr>
                <w:rStyle w:val="50"/>
                <w:rFonts w:hint="default"/>
                <w:lang w:bidi="ar"/>
              </w:rPr>
              <w:t>计量柜</w:t>
            </w:r>
          </w:p>
        </w:tc>
        <w:tc>
          <w:tcPr>
            <w:tcW w:w="3757" w:type="dxa"/>
            <w:tcBorders>
              <w:top w:val="single" w:color="000000" w:sz="4" w:space="0"/>
              <w:left w:val="single" w:color="000000" w:sz="4" w:space="0"/>
              <w:bottom w:val="single" w:color="000000" w:sz="4" w:space="0"/>
              <w:right w:val="single" w:color="000000" w:sz="4" w:space="0"/>
            </w:tcBorders>
            <w:vAlign w:val="center"/>
          </w:tcPr>
          <w:p w14:paraId="0F7F2A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KYN28A-12</w:t>
            </w:r>
          </w:p>
        </w:tc>
        <w:tc>
          <w:tcPr>
            <w:tcW w:w="1499" w:type="dxa"/>
            <w:tcBorders>
              <w:top w:val="single" w:color="000000" w:sz="4" w:space="0"/>
              <w:left w:val="single" w:color="000000" w:sz="4" w:space="0"/>
              <w:bottom w:val="single" w:color="000000" w:sz="4" w:space="0"/>
              <w:right w:val="single" w:color="000000" w:sz="4" w:space="0"/>
            </w:tcBorders>
            <w:vAlign w:val="center"/>
          </w:tcPr>
          <w:p w14:paraId="1C7F0B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西门子授权柜</w:t>
            </w:r>
          </w:p>
        </w:tc>
        <w:tc>
          <w:tcPr>
            <w:tcW w:w="1477" w:type="dxa"/>
            <w:vMerge w:val="continue"/>
            <w:tcBorders>
              <w:left w:val="single" w:color="000000" w:sz="4" w:space="0"/>
              <w:right w:val="single" w:color="000000" w:sz="4" w:space="0"/>
            </w:tcBorders>
            <w:vAlign w:val="center"/>
          </w:tcPr>
          <w:p w14:paraId="50DF6DFE">
            <w:pPr>
              <w:jc w:val="center"/>
              <w:textAlignment w:val="center"/>
              <w:rPr>
                <w:rFonts w:hint="eastAsia" w:ascii="宋体" w:hAnsi="宋体" w:eastAsia="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268B77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套</w:t>
            </w:r>
          </w:p>
        </w:tc>
        <w:tc>
          <w:tcPr>
            <w:tcW w:w="1080" w:type="dxa"/>
            <w:tcBorders>
              <w:top w:val="single" w:color="000000" w:sz="4" w:space="0"/>
              <w:left w:val="single" w:color="000000" w:sz="4" w:space="0"/>
              <w:bottom w:val="single" w:color="000000" w:sz="4" w:space="0"/>
              <w:right w:val="single" w:color="000000" w:sz="4" w:space="0"/>
            </w:tcBorders>
            <w:vAlign w:val="center"/>
          </w:tcPr>
          <w:p w14:paraId="4F79F4F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vAlign w:val="center"/>
          </w:tcPr>
          <w:p w14:paraId="14B89E60">
            <w:pPr>
              <w:jc w:val="center"/>
              <w:rPr>
                <w:rFonts w:hint="eastAsia"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9A08426">
            <w:pPr>
              <w:jc w:val="center"/>
              <w:rPr>
                <w:rFonts w:hint="eastAsia" w:ascii="宋体" w:hAnsi="宋体" w:eastAsia="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DFA4CEA">
            <w:pPr>
              <w:jc w:val="center"/>
              <w:rPr>
                <w:rFonts w:hint="eastAsia" w:ascii="宋体" w:hAnsi="宋体" w:eastAsia="宋体" w:cs="宋体"/>
                <w:color w:val="000000"/>
                <w:sz w:val="20"/>
                <w:szCs w:val="20"/>
              </w:rPr>
            </w:pPr>
          </w:p>
        </w:tc>
      </w:tr>
      <w:tr w14:paraId="0E987B57">
        <w:tblPrEx>
          <w:tblCellMar>
            <w:top w:w="0" w:type="dxa"/>
            <w:left w:w="108" w:type="dxa"/>
            <w:bottom w:w="0" w:type="dxa"/>
            <w:right w:w="108" w:type="dxa"/>
          </w:tblCellMar>
        </w:tblPrEx>
        <w:trPr>
          <w:trHeight w:val="240"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74A48E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7</w:t>
            </w:r>
          </w:p>
        </w:tc>
        <w:tc>
          <w:tcPr>
            <w:tcW w:w="1868" w:type="dxa"/>
            <w:tcBorders>
              <w:top w:val="single" w:color="000000" w:sz="4" w:space="0"/>
              <w:left w:val="single" w:color="000000" w:sz="4" w:space="0"/>
              <w:bottom w:val="single" w:color="000000" w:sz="4" w:space="0"/>
              <w:right w:val="single" w:color="000000" w:sz="4" w:space="0"/>
            </w:tcBorders>
            <w:vAlign w:val="center"/>
          </w:tcPr>
          <w:p w14:paraId="67FC68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10kV</w:t>
            </w:r>
            <w:r>
              <w:rPr>
                <w:rStyle w:val="50"/>
                <w:rFonts w:hint="default"/>
                <w:lang w:bidi="ar"/>
              </w:rPr>
              <w:t>站用变柜</w:t>
            </w:r>
          </w:p>
        </w:tc>
        <w:tc>
          <w:tcPr>
            <w:tcW w:w="3757" w:type="dxa"/>
            <w:tcBorders>
              <w:top w:val="single" w:color="000000" w:sz="4" w:space="0"/>
              <w:left w:val="single" w:color="000000" w:sz="4" w:space="0"/>
              <w:bottom w:val="single" w:color="000000" w:sz="4" w:space="0"/>
              <w:right w:val="single" w:color="000000" w:sz="4" w:space="0"/>
            </w:tcBorders>
            <w:vAlign w:val="center"/>
          </w:tcPr>
          <w:p w14:paraId="593EC4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KYN28A-12</w:t>
            </w:r>
            <w:r>
              <w:rPr>
                <w:rFonts w:hint="eastAsia" w:ascii="宋体" w:hAnsi="宋体" w:eastAsia="宋体" w:cs="宋体"/>
                <w:color w:val="000000"/>
                <w:kern w:val="0"/>
                <w:szCs w:val="21"/>
                <w:lang w:bidi="ar"/>
              </w:rPr>
              <w:t>真空断路器:630A-25kA</w:t>
            </w:r>
          </w:p>
        </w:tc>
        <w:tc>
          <w:tcPr>
            <w:tcW w:w="1499" w:type="dxa"/>
            <w:tcBorders>
              <w:top w:val="single" w:color="000000" w:sz="4" w:space="0"/>
              <w:left w:val="single" w:color="000000" w:sz="4" w:space="0"/>
              <w:bottom w:val="single" w:color="000000" w:sz="4" w:space="0"/>
              <w:right w:val="single" w:color="000000" w:sz="4" w:space="0"/>
            </w:tcBorders>
            <w:vAlign w:val="center"/>
          </w:tcPr>
          <w:p w14:paraId="5804AD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西门子授权柜</w:t>
            </w:r>
          </w:p>
        </w:tc>
        <w:tc>
          <w:tcPr>
            <w:tcW w:w="1477" w:type="dxa"/>
            <w:vMerge w:val="continue"/>
            <w:tcBorders>
              <w:left w:val="single" w:color="000000" w:sz="4" w:space="0"/>
              <w:right w:val="single" w:color="000000" w:sz="4" w:space="0"/>
            </w:tcBorders>
            <w:vAlign w:val="center"/>
          </w:tcPr>
          <w:p w14:paraId="46793E29">
            <w:pPr>
              <w:jc w:val="center"/>
              <w:textAlignment w:val="center"/>
              <w:rPr>
                <w:rFonts w:hint="eastAsia" w:ascii="宋体" w:hAnsi="宋体" w:eastAsia="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345286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套</w:t>
            </w:r>
          </w:p>
        </w:tc>
        <w:tc>
          <w:tcPr>
            <w:tcW w:w="1080" w:type="dxa"/>
            <w:tcBorders>
              <w:top w:val="single" w:color="000000" w:sz="4" w:space="0"/>
              <w:left w:val="single" w:color="000000" w:sz="4" w:space="0"/>
              <w:bottom w:val="single" w:color="000000" w:sz="4" w:space="0"/>
              <w:right w:val="single" w:color="000000" w:sz="4" w:space="0"/>
            </w:tcBorders>
            <w:vAlign w:val="center"/>
          </w:tcPr>
          <w:p w14:paraId="5D0E4E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vAlign w:val="center"/>
          </w:tcPr>
          <w:p w14:paraId="08DB8F51">
            <w:pPr>
              <w:jc w:val="center"/>
              <w:rPr>
                <w:rFonts w:hint="eastAsia"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A15C926">
            <w:pPr>
              <w:jc w:val="center"/>
              <w:rPr>
                <w:rFonts w:hint="eastAsia" w:ascii="宋体" w:hAnsi="宋体" w:eastAsia="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0D2B5E2">
            <w:pPr>
              <w:jc w:val="center"/>
              <w:rPr>
                <w:rFonts w:hint="eastAsia" w:ascii="宋体" w:hAnsi="宋体" w:eastAsia="宋体" w:cs="宋体"/>
                <w:color w:val="000000"/>
                <w:sz w:val="20"/>
                <w:szCs w:val="20"/>
              </w:rPr>
            </w:pPr>
          </w:p>
        </w:tc>
      </w:tr>
      <w:tr w14:paraId="1E334B56">
        <w:tblPrEx>
          <w:tblCellMar>
            <w:top w:w="0" w:type="dxa"/>
            <w:left w:w="108" w:type="dxa"/>
            <w:bottom w:w="0" w:type="dxa"/>
            <w:right w:w="108" w:type="dxa"/>
          </w:tblCellMar>
        </w:tblPrEx>
        <w:trPr>
          <w:trHeight w:val="240"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0AC083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8</w:t>
            </w:r>
          </w:p>
        </w:tc>
        <w:tc>
          <w:tcPr>
            <w:tcW w:w="1868" w:type="dxa"/>
            <w:tcBorders>
              <w:top w:val="single" w:color="000000" w:sz="4" w:space="0"/>
              <w:left w:val="single" w:color="000000" w:sz="4" w:space="0"/>
              <w:bottom w:val="single" w:color="000000" w:sz="4" w:space="0"/>
              <w:right w:val="single" w:color="000000" w:sz="4" w:space="0"/>
            </w:tcBorders>
            <w:vAlign w:val="center"/>
          </w:tcPr>
          <w:p w14:paraId="1671AB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10kV</w:t>
            </w:r>
            <w:r>
              <w:rPr>
                <w:rStyle w:val="50"/>
                <w:rFonts w:hint="default"/>
                <w:lang w:bidi="ar"/>
              </w:rPr>
              <w:t>电源进线柜（接入中心变）</w:t>
            </w:r>
          </w:p>
        </w:tc>
        <w:tc>
          <w:tcPr>
            <w:tcW w:w="3757" w:type="dxa"/>
            <w:tcBorders>
              <w:top w:val="single" w:color="000000" w:sz="4" w:space="0"/>
              <w:left w:val="single" w:color="000000" w:sz="4" w:space="0"/>
              <w:bottom w:val="single" w:color="000000" w:sz="4" w:space="0"/>
              <w:right w:val="single" w:color="000000" w:sz="4" w:space="0"/>
            </w:tcBorders>
            <w:vAlign w:val="center"/>
          </w:tcPr>
          <w:p w14:paraId="21D0E6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KYN28A-12,</w:t>
            </w:r>
            <w:r>
              <w:rPr>
                <w:rFonts w:hint="eastAsia" w:ascii="宋体" w:hAnsi="宋体" w:eastAsia="宋体" w:cs="宋体"/>
                <w:color w:val="000000"/>
                <w:kern w:val="0"/>
                <w:szCs w:val="21"/>
                <w:lang w:bidi="ar"/>
              </w:rPr>
              <w:t>真空断路器</w:t>
            </w:r>
            <w:r>
              <w:rPr>
                <w:rStyle w:val="51"/>
                <w:rFonts w:hint="eastAsia" w:ascii="宋体" w:hAnsi="宋体" w:eastAsia="宋体" w:cs="宋体"/>
                <w:lang w:bidi="ar"/>
              </w:rPr>
              <w:t>:630A-25kA</w:t>
            </w:r>
            <w:r>
              <w:rPr>
                <w:rFonts w:hint="eastAsia" w:ascii="宋体" w:hAnsi="宋体" w:eastAsia="宋体" w:cs="宋体"/>
                <w:color w:val="000000"/>
                <w:kern w:val="0"/>
                <w:szCs w:val="21"/>
                <w:lang w:bidi="ar"/>
              </w:rPr>
              <w:t>，含方向过流保护测控装置等</w:t>
            </w:r>
          </w:p>
        </w:tc>
        <w:tc>
          <w:tcPr>
            <w:tcW w:w="1499" w:type="dxa"/>
            <w:tcBorders>
              <w:top w:val="single" w:color="000000" w:sz="4" w:space="0"/>
              <w:left w:val="single" w:color="000000" w:sz="4" w:space="0"/>
              <w:bottom w:val="single" w:color="000000" w:sz="4" w:space="0"/>
              <w:right w:val="single" w:color="000000" w:sz="4" w:space="0"/>
            </w:tcBorders>
            <w:vAlign w:val="center"/>
          </w:tcPr>
          <w:p w14:paraId="6632EE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西门子授权柜</w:t>
            </w:r>
          </w:p>
        </w:tc>
        <w:tc>
          <w:tcPr>
            <w:tcW w:w="1477" w:type="dxa"/>
            <w:vMerge w:val="continue"/>
            <w:tcBorders>
              <w:left w:val="single" w:color="000000" w:sz="4" w:space="0"/>
              <w:right w:val="single" w:color="000000" w:sz="4" w:space="0"/>
            </w:tcBorders>
            <w:vAlign w:val="center"/>
          </w:tcPr>
          <w:p w14:paraId="4AEB4520">
            <w:pPr>
              <w:jc w:val="center"/>
              <w:textAlignment w:val="center"/>
              <w:rPr>
                <w:rFonts w:hint="eastAsia" w:ascii="宋体" w:hAnsi="宋体" w:eastAsia="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3EC7AC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套</w:t>
            </w:r>
          </w:p>
        </w:tc>
        <w:tc>
          <w:tcPr>
            <w:tcW w:w="1080" w:type="dxa"/>
            <w:tcBorders>
              <w:top w:val="single" w:color="000000" w:sz="4" w:space="0"/>
              <w:left w:val="single" w:color="000000" w:sz="4" w:space="0"/>
              <w:bottom w:val="single" w:color="000000" w:sz="4" w:space="0"/>
              <w:right w:val="single" w:color="000000" w:sz="4" w:space="0"/>
            </w:tcBorders>
            <w:vAlign w:val="center"/>
          </w:tcPr>
          <w:p w14:paraId="0D3A15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vAlign w:val="center"/>
          </w:tcPr>
          <w:p w14:paraId="085FE586">
            <w:pPr>
              <w:jc w:val="center"/>
              <w:rPr>
                <w:rFonts w:hint="eastAsia"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1F50990">
            <w:pPr>
              <w:jc w:val="center"/>
              <w:rPr>
                <w:rFonts w:hint="eastAsia" w:ascii="宋体" w:hAnsi="宋体" w:eastAsia="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07CC8E2">
            <w:pPr>
              <w:jc w:val="center"/>
              <w:rPr>
                <w:rFonts w:hint="eastAsia" w:ascii="宋体" w:hAnsi="宋体" w:eastAsia="宋体" w:cs="宋体"/>
                <w:color w:val="000000"/>
                <w:sz w:val="20"/>
                <w:szCs w:val="20"/>
              </w:rPr>
            </w:pPr>
          </w:p>
        </w:tc>
      </w:tr>
      <w:tr w14:paraId="709669EE">
        <w:tblPrEx>
          <w:tblCellMar>
            <w:top w:w="0" w:type="dxa"/>
            <w:left w:w="108" w:type="dxa"/>
            <w:bottom w:w="0" w:type="dxa"/>
            <w:right w:w="108" w:type="dxa"/>
          </w:tblCellMar>
        </w:tblPrEx>
        <w:trPr>
          <w:trHeight w:val="480"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30DDF5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9</w:t>
            </w:r>
          </w:p>
        </w:tc>
        <w:tc>
          <w:tcPr>
            <w:tcW w:w="1868" w:type="dxa"/>
            <w:tcBorders>
              <w:top w:val="single" w:color="000000" w:sz="4" w:space="0"/>
              <w:left w:val="single" w:color="000000" w:sz="4" w:space="0"/>
              <w:bottom w:val="single" w:color="000000" w:sz="4" w:space="0"/>
              <w:right w:val="single" w:color="000000" w:sz="4" w:space="0"/>
            </w:tcBorders>
            <w:vAlign w:val="center"/>
          </w:tcPr>
          <w:p w14:paraId="4E2B0E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10kV</w:t>
            </w:r>
            <w:r>
              <w:rPr>
                <w:rStyle w:val="50"/>
                <w:rFonts w:hint="default"/>
                <w:lang w:bidi="ar"/>
              </w:rPr>
              <w:t>计量柜</w:t>
            </w:r>
          </w:p>
        </w:tc>
        <w:tc>
          <w:tcPr>
            <w:tcW w:w="3757" w:type="dxa"/>
            <w:tcBorders>
              <w:top w:val="single" w:color="000000" w:sz="4" w:space="0"/>
              <w:left w:val="single" w:color="000000" w:sz="4" w:space="0"/>
              <w:bottom w:val="single" w:color="000000" w:sz="4" w:space="0"/>
              <w:right w:val="single" w:color="000000" w:sz="4" w:space="0"/>
            </w:tcBorders>
            <w:vAlign w:val="center"/>
          </w:tcPr>
          <w:p w14:paraId="64CB3B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KYN28A-12</w:t>
            </w:r>
            <w:r>
              <w:rPr>
                <w:rFonts w:hint="eastAsia" w:ascii="宋体" w:hAnsi="宋体" w:eastAsia="宋体" w:cs="宋体"/>
                <w:color w:val="000000"/>
                <w:kern w:val="0"/>
                <w:szCs w:val="21"/>
                <w:lang w:bidi="ar"/>
              </w:rPr>
              <w:t>，含计量设备等</w:t>
            </w:r>
          </w:p>
        </w:tc>
        <w:tc>
          <w:tcPr>
            <w:tcW w:w="1499" w:type="dxa"/>
            <w:tcBorders>
              <w:top w:val="single" w:color="000000" w:sz="4" w:space="0"/>
              <w:left w:val="single" w:color="000000" w:sz="4" w:space="0"/>
              <w:bottom w:val="single" w:color="000000" w:sz="4" w:space="0"/>
              <w:right w:val="single" w:color="000000" w:sz="4" w:space="0"/>
            </w:tcBorders>
            <w:vAlign w:val="center"/>
          </w:tcPr>
          <w:p w14:paraId="63B83E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西门子授权柜</w:t>
            </w:r>
          </w:p>
        </w:tc>
        <w:tc>
          <w:tcPr>
            <w:tcW w:w="1477" w:type="dxa"/>
            <w:vMerge w:val="continue"/>
            <w:tcBorders>
              <w:left w:val="single" w:color="000000" w:sz="4" w:space="0"/>
              <w:right w:val="single" w:color="000000" w:sz="4" w:space="0"/>
            </w:tcBorders>
            <w:vAlign w:val="center"/>
          </w:tcPr>
          <w:p w14:paraId="2E54E3D9">
            <w:pPr>
              <w:jc w:val="center"/>
              <w:textAlignment w:val="center"/>
              <w:rPr>
                <w:rFonts w:hint="eastAsia" w:ascii="宋体" w:hAnsi="宋体" w:eastAsia="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09B5CC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套</w:t>
            </w:r>
          </w:p>
        </w:tc>
        <w:tc>
          <w:tcPr>
            <w:tcW w:w="1080" w:type="dxa"/>
            <w:tcBorders>
              <w:top w:val="single" w:color="000000" w:sz="4" w:space="0"/>
              <w:left w:val="single" w:color="000000" w:sz="4" w:space="0"/>
              <w:bottom w:val="single" w:color="000000" w:sz="4" w:space="0"/>
              <w:right w:val="single" w:color="000000" w:sz="4" w:space="0"/>
            </w:tcBorders>
            <w:vAlign w:val="center"/>
          </w:tcPr>
          <w:p w14:paraId="1E6BA9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vAlign w:val="center"/>
          </w:tcPr>
          <w:p w14:paraId="234B9897">
            <w:pPr>
              <w:jc w:val="center"/>
              <w:rPr>
                <w:rFonts w:hint="eastAsia"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6299E9E">
            <w:pPr>
              <w:jc w:val="center"/>
              <w:rPr>
                <w:rFonts w:hint="eastAsia" w:ascii="宋体" w:hAnsi="宋体" w:eastAsia="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5B6CAFF">
            <w:pPr>
              <w:jc w:val="center"/>
              <w:rPr>
                <w:rFonts w:hint="eastAsia" w:ascii="宋体" w:hAnsi="宋体" w:eastAsia="宋体" w:cs="宋体"/>
                <w:color w:val="000000"/>
                <w:sz w:val="20"/>
                <w:szCs w:val="20"/>
              </w:rPr>
            </w:pPr>
          </w:p>
        </w:tc>
      </w:tr>
      <w:tr w14:paraId="78DF3066">
        <w:tblPrEx>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556AD2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10</w:t>
            </w:r>
          </w:p>
        </w:tc>
        <w:tc>
          <w:tcPr>
            <w:tcW w:w="1868" w:type="dxa"/>
            <w:tcBorders>
              <w:top w:val="single" w:color="000000" w:sz="4" w:space="0"/>
              <w:left w:val="single" w:color="000000" w:sz="4" w:space="0"/>
              <w:bottom w:val="single" w:color="000000" w:sz="4" w:space="0"/>
              <w:right w:val="single" w:color="000000" w:sz="4" w:space="0"/>
            </w:tcBorders>
            <w:vAlign w:val="center"/>
          </w:tcPr>
          <w:p w14:paraId="7E2359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10kV PT</w:t>
            </w:r>
            <w:r>
              <w:rPr>
                <w:rStyle w:val="50"/>
                <w:rFonts w:hint="default"/>
                <w:lang w:bidi="ar"/>
              </w:rPr>
              <w:t>柜</w:t>
            </w:r>
          </w:p>
        </w:tc>
        <w:tc>
          <w:tcPr>
            <w:tcW w:w="3757" w:type="dxa"/>
            <w:tcBorders>
              <w:top w:val="single" w:color="000000" w:sz="4" w:space="0"/>
              <w:left w:val="single" w:color="000000" w:sz="4" w:space="0"/>
              <w:bottom w:val="single" w:color="000000" w:sz="4" w:space="0"/>
              <w:right w:val="single" w:color="000000" w:sz="4" w:space="0"/>
            </w:tcBorders>
            <w:vAlign w:val="center"/>
          </w:tcPr>
          <w:p w14:paraId="2D1F10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KYN28A-12</w:t>
            </w:r>
            <w:r>
              <w:rPr>
                <w:rFonts w:hint="eastAsia" w:ascii="宋体" w:hAnsi="宋体" w:eastAsia="宋体" w:cs="宋体"/>
                <w:color w:val="000000"/>
                <w:kern w:val="0"/>
                <w:szCs w:val="21"/>
                <w:lang w:bidi="ar"/>
              </w:rPr>
              <w:t>，</w:t>
            </w:r>
            <w:r>
              <w:rPr>
                <w:rStyle w:val="51"/>
                <w:rFonts w:hint="eastAsia" w:ascii="宋体" w:hAnsi="宋体" w:eastAsia="宋体" w:cs="宋体"/>
                <w:lang w:bidi="ar"/>
              </w:rPr>
              <w:t>PT</w:t>
            </w:r>
            <w:r>
              <w:rPr>
                <w:rFonts w:hint="eastAsia" w:ascii="宋体" w:hAnsi="宋体" w:eastAsia="宋体" w:cs="宋体"/>
                <w:color w:val="000000"/>
                <w:kern w:val="0"/>
                <w:szCs w:val="21"/>
                <w:lang w:bidi="ar"/>
              </w:rPr>
              <w:t>柜，配一次消谐装置</w:t>
            </w:r>
          </w:p>
        </w:tc>
        <w:tc>
          <w:tcPr>
            <w:tcW w:w="1499" w:type="dxa"/>
            <w:tcBorders>
              <w:top w:val="single" w:color="000000" w:sz="4" w:space="0"/>
              <w:left w:val="single" w:color="000000" w:sz="4" w:space="0"/>
              <w:bottom w:val="single" w:color="000000" w:sz="4" w:space="0"/>
              <w:right w:val="single" w:color="000000" w:sz="4" w:space="0"/>
            </w:tcBorders>
            <w:vAlign w:val="center"/>
          </w:tcPr>
          <w:p w14:paraId="1BD6F2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西门子授权柜</w:t>
            </w:r>
          </w:p>
        </w:tc>
        <w:tc>
          <w:tcPr>
            <w:tcW w:w="1477" w:type="dxa"/>
            <w:vMerge w:val="continue"/>
            <w:tcBorders>
              <w:left w:val="single" w:color="000000" w:sz="4" w:space="0"/>
              <w:right w:val="single" w:color="000000" w:sz="4" w:space="0"/>
            </w:tcBorders>
            <w:vAlign w:val="center"/>
          </w:tcPr>
          <w:p w14:paraId="201D7C5C">
            <w:pPr>
              <w:jc w:val="center"/>
              <w:textAlignment w:val="center"/>
              <w:rPr>
                <w:rFonts w:hint="eastAsia" w:ascii="宋体" w:hAnsi="宋体" w:eastAsia="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263898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套</w:t>
            </w:r>
          </w:p>
        </w:tc>
        <w:tc>
          <w:tcPr>
            <w:tcW w:w="1080" w:type="dxa"/>
            <w:tcBorders>
              <w:top w:val="single" w:color="000000" w:sz="4" w:space="0"/>
              <w:left w:val="single" w:color="000000" w:sz="4" w:space="0"/>
              <w:bottom w:val="single" w:color="000000" w:sz="4" w:space="0"/>
              <w:right w:val="single" w:color="000000" w:sz="4" w:space="0"/>
            </w:tcBorders>
            <w:vAlign w:val="center"/>
          </w:tcPr>
          <w:p w14:paraId="6438D6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vAlign w:val="center"/>
          </w:tcPr>
          <w:p w14:paraId="738D0CEF">
            <w:pPr>
              <w:jc w:val="center"/>
              <w:rPr>
                <w:rFonts w:hint="eastAsia"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53621DE">
            <w:pPr>
              <w:jc w:val="center"/>
              <w:rPr>
                <w:rFonts w:hint="eastAsia" w:ascii="宋体" w:hAnsi="宋体" w:eastAsia="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8BDEAA3">
            <w:pPr>
              <w:jc w:val="center"/>
              <w:rPr>
                <w:rFonts w:hint="eastAsia" w:ascii="宋体" w:hAnsi="宋体" w:eastAsia="宋体" w:cs="宋体"/>
                <w:color w:val="000000"/>
                <w:sz w:val="20"/>
                <w:szCs w:val="20"/>
              </w:rPr>
            </w:pPr>
          </w:p>
        </w:tc>
      </w:tr>
      <w:tr w14:paraId="47146EFD">
        <w:tblPrEx>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2550BA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11</w:t>
            </w:r>
          </w:p>
        </w:tc>
        <w:tc>
          <w:tcPr>
            <w:tcW w:w="1868" w:type="dxa"/>
            <w:tcBorders>
              <w:top w:val="single" w:color="000000" w:sz="4" w:space="0"/>
              <w:left w:val="single" w:color="000000" w:sz="4" w:space="0"/>
              <w:bottom w:val="single" w:color="000000" w:sz="4" w:space="0"/>
              <w:right w:val="single" w:color="000000" w:sz="4" w:space="0"/>
            </w:tcBorders>
            <w:vAlign w:val="center"/>
          </w:tcPr>
          <w:p w14:paraId="250828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10kV</w:t>
            </w:r>
            <w:r>
              <w:rPr>
                <w:rStyle w:val="50"/>
                <w:rFonts w:hint="default"/>
                <w:lang w:bidi="ar"/>
              </w:rPr>
              <w:t>充电箱变出线柜</w:t>
            </w:r>
          </w:p>
        </w:tc>
        <w:tc>
          <w:tcPr>
            <w:tcW w:w="3757" w:type="dxa"/>
            <w:tcBorders>
              <w:top w:val="single" w:color="000000" w:sz="4" w:space="0"/>
              <w:left w:val="single" w:color="000000" w:sz="4" w:space="0"/>
              <w:bottom w:val="single" w:color="000000" w:sz="4" w:space="0"/>
              <w:right w:val="single" w:color="000000" w:sz="4" w:space="0"/>
            </w:tcBorders>
            <w:vAlign w:val="center"/>
          </w:tcPr>
          <w:p w14:paraId="451666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KYN28A-12,</w:t>
            </w:r>
            <w:r>
              <w:rPr>
                <w:rFonts w:hint="eastAsia" w:ascii="宋体" w:hAnsi="宋体" w:eastAsia="宋体" w:cs="宋体"/>
                <w:color w:val="000000"/>
                <w:kern w:val="0"/>
                <w:szCs w:val="21"/>
                <w:lang w:bidi="ar"/>
              </w:rPr>
              <w:t>真空断路器</w:t>
            </w:r>
            <w:r>
              <w:rPr>
                <w:rStyle w:val="51"/>
                <w:rFonts w:hint="eastAsia" w:ascii="宋体" w:hAnsi="宋体" w:eastAsia="宋体" w:cs="宋体"/>
                <w:lang w:bidi="ar"/>
              </w:rPr>
              <w:t>:630A-25kA</w:t>
            </w:r>
            <w:r>
              <w:rPr>
                <w:rFonts w:hint="eastAsia" w:ascii="宋体" w:hAnsi="宋体" w:eastAsia="宋体" w:cs="宋体"/>
                <w:color w:val="000000"/>
                <w:kern w:val="0"/>
                <w:szCs w:val="21"/>
                <w:lang w:bidi="ar"/>
              </w:rPr>
              <w:t>，含过流保护测控装置等</w:t>
            </w:r>
          </w:p>
        </w:tc>
        <w:tc>
          <w:tcPr>
            <w:tcW w:w="1499" w:type="dxa"/>
            <w:tcBorders>
              <w:top w:val="single" w:color="000000" w:sz="4" w:space="0"/>
              <w:left w:val="single" w:color="000000" w:sz="4" w:space="0"/>
              <w:bottom w:val="single" w:color="000000" w:sz="4" w:space="0"/>
              <w:right w:val="single" w:color="000000" w:sz="4" w:space="0"/>
            </w:tcBorders>
            <w:vAlign w:val="center"/>
          </w:tcPr>
          <w:p w14:paraId="075536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西门子授权柜</w:t>
            </w:r>
          </w:p>
        </w:tc>
        <w:tc>
          <w:tcPr>
            <w:tcW w:w="1477" w:type="dxa"/>
            <w:vMerge w:val="continue"/>
            <w:tcBorders>
              <w:left w:val="single" w:color="000000" w:sz="4" w:space="0"/>
              <w:right w:val="single" w:color="000000" w:sz="4" w:space="0"/>
            </w:tcBorders>
            <w:vAlign w:val="center"/>
          </w:tcPr>
          <w:p w14:paraId="6B1D32F2">
            <w:pPr>
              <w:jc w:val="center"/>
              <w:textAlignment w:val="center"/>
              <w:rPr>
                <w:rFonts w:hint="eastAsia" w:ascii="宋体" w:hAnsi="宋体" w:eastAsia="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5A386F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套</w:t>
            </w:r>
          </w:p>
        </w:tc>
        <w:tc>
          <w:tcPr>
            <w:tcW w:w="1080" w:type="dxa"/>
            <w:tcBorders>
              <w:top w:val="single" w:color="000000" w:sz="4" w:space="0"/>
              <w:left w:val="single" w:color="000000" w:sz="4" w:space="0"/>
              <w:bottom w:val="single" w:color="000000" w:sz="4" w:space="0"/>
              <w:right w:val="single" w:color="000000" w:sz="4" w:space="0"/>
            </w:tcBorders>
            <w:vAlign w:val="center"/>
          </w:tcPr>
          <w:p w14:paraId="420D84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vAlign w:val="center"/>
          </w:tcPr>
          <w:p w14:paraId="1BADD2C5">
            <w:pPr>
              <w:jc w:val="center"/>
              <w:rPr>
                <w:rFonts w:hint="eastAsia"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67B9EEA">
            <w:pPr>
              <w:jc w:val="center"/>
              <w:rPr>
                <w:rFonts w:hint="eastAsia" w:ascii="宋体" w:hAnsi="宋体" w:eastAsia="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F8C5E8E">
            <w:pPr>
              <w:jc w:val="center"/>
              <w:rPr>
                <w:rFonts w:hint="eastAsia" w:ascii="宋体" w:hAnsi="宋体" w:eastAsia="宋体" w:cs="宋体"/>
                <w:color w:val="000000"/>
                <w:sz w:val="20"/>
                <w:szCs w:val="20"/>
              </w:rPr>
            </w:pPr>
          </w:p>
        </w:tc>
      </w:tr>
      <w:tr w14:paraId="4CA2CD84">
        <w:tblPrEx>
          <w:tblCellMar>
            <w:top w:w="0" w:type="dxa"/>
            <w:left w:w="108" w:type="dxa"/>
            <w:bottom w:w="0" w:type="dxa"/>
            <w:right w:w="108" w:type="dxa"/>
          </w:tblCellMar>
        </w:tblPrEx>
        <w:trPr>
          <w:trHeight w:val="735"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75F2AE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12</w:t>
            </w:r>
          </w:p>
        </w:tc>
        <w:tc>
          <w:tcPr>
            <w:tcW w:w="1868" w:type="dxa"/>
            <w:tcBorders>
              <w:top w:val="single" w:color="000000" w:sz="4" w:space="0"/>
              <w:left w:val="single" w:color="000000" w:sz="4" w:space="0"/>
              <w:bottom w:val="single" w:color="000000" w:sz="4" w:space="0"/>
              <w:right w:val="single" w:color="000000" w:sz="4" w:space="0"/>
            </w:tcBorders>
            <w:vAlign w:val="center"/>
          </w:tcPr>
          <w:p w14:paraId="7A0C609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10kV</w:t>
            </w:r>
            <w:r>
              <w:rPr>
                <w:rStyle w:val="50"/>
                <w:rFonts w:hint="default"/>
                <w:lang w:bidi="ar"/>
              </w:rPr>
              <w:t>用户箱变出线柜</w:t>
            </w:r>
          </w:p>
        </w:tc>
        <w:tc>
          <w:tcPr>
            <w:tcW w:w="3757" w:type="dxa"/>
            <w:tcBorders>
              <w:top w:val="single" w:color="000000" w:sz="4" w:space="0"/>
              <w:left w:val="single" w:color="000000" w:sz="4" w:space="0"/>
              <w:bottom w:val="single" w:color="000000" w:sz="4" w:space="0"/>
              <w:right w:val="single" w:color="000000" w:sz="4" w:space="0"/>
            </w:tcBorders>
            <w:vAlign w:val="center"/>
          </w:tcPr>
          <w:p w14:paraId="47E29D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KYN28A-12,</w:t>
            </w:r>
            <w:r>
              <w:rPr>
                <w:rFonts w:hint="eastAsia" w:ascii="宋体" w:hAnsi="宋体" w:eastAsia="宋体" w:cs="宋体"/>
                <w:color w:val="000000"/>
                <w:kern w:val="0"/>
                <w:szCs w:val="21"/>
                <w:lang w:bidi="ar"/>
              </w:rPr>
              <w:t>真空断路器</w:t>
            </w:r>
            <w:r>
              <w:rPr>
                <w:rStyle w:val="51"/>
                <w:rFonts w:hint="eastAsia" w:ascii="宋体" w:hAnsi="宋体" w:eastAsia="宋体" w:cs="宋体"/>
                <w:lang w:bidi="ar"/>
              </w:rPr>
              <w:t>:630A-25kA</w:t>
            </w:r>
            <w:r>
              <w:rPr>
                <w:rFonts w:hint="eastAsia" w:ascii="宋体" w:hAnsi="宋体" w:eastAsia="宋体" w:cs="宋体"/>
                <w:color w:val="000000"/>
                <w:kern w:val="0"/>
                <w:szCs w:val="21"/>
                <w:lang w:bidi="ar"/>
              </w:rPr>
              <w:t>，含过流保护测控装置等</w:t>
            </w:r>
          </w:p>
        </w:tc>
        <w:tc>
          <w:tcPr>
            <w:tcW w:w="1499" w:type="dxa"/>
            <w:tcBorders>
              <w:top w:val="single" w:color="000000" w:sz="4" w:space="0"/>
              <w:left w:val="single" w:color="000000" w:sz="4" w:space="0"/>
              <w:bottom w:val="single" w:color="000000" w:sz="4" w:space="0"/>
              <w:right w:val="single" w:color="000000" w:sz="4" w:space="0"/>
            </w:tcBorders>
            <w:noWrap/>
            <w:vAlign w:val="center"/>
          </w:tcPr>
          <w:p w14:paraId="5BCDBC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西门子授权柜</w:t>
            </w:r>
          </w:p>
        </w:tc>
        <w:tc>
          <w:tcPr>
            <w:tcW w:w="1477" w:type="dxa"/>
            <w:vMerge w:val="continue"/>
            <w:tcBorders>
              <w:left w:val="single" w:color="000000" w:sz="4" w:space="0"/>
              <w:bottom w:val="single" w:color="000000" w:sz="4" w:space="0"/>
              <w:right w:val="single" w:color="000000" w:sz="4" w:space="0"/>
            </w:tcBorders>
            <w:noWrap/>
            <w:vAlign w:val="center"/>
          </w:tcPr>
          <w:p w14:paraId="7EC6AA88">
            <w:pPr>
              <w:widowControl/>
              <w:jc w:val="center"/>
              <w:textAlignment w:val="center"/>
              <w:rPr>
                <w:rFonts w:hint="eastAsia" w:ascii="宋体" w:hAnsi="宋体" w:eastAsia="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268930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lang w:bidi="ar"/>
              </w:rPr>
              <w:t>套</w:t>
            </w:r>
          </w:p>
        </w:tc>
        <w:tc>
          <w:tcPr>
            <w:tcW w:w="1080" w:type="dxa"/>
            <w:tcBorders>
              <w:top w:val="single" w:color="000000" w:sz="4" w:space="0"/>
              <w:left w:val="single" w:color="000000" w:sz="4" w:space="0"/>
              <w:bottom w:val="single" w:color="000000" w:sz="4" w:space="0"/>
              <w:right w:val="single" w:color="000000" w:sz="4" w:space="0"/>
            </w:tcBorders>
            <w:vAlign w:val="center"/>
          </w:tcPr>
          <w:p w14:paraId="781C12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vAlign w:val="center"/>
          </w:tcPr>
          <w:p w14:paraId="680E8734">
            <w:pPr>
              <w:jc w:val="center"/>
              <w:rPr>
                <w:rFonts w:hint="eastAsia"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065BAD2">
            <w:pPr>
              <w:jc w:val="center"/>
              <w:rPr>
                <w:rFonts w:hint="eastAsia" w:ascii="宋体" w:hAnsi="宋体" w:eastAsia="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9BCD778">
            <w:pPr>
              <w:jc w:val="center"/>
              <w:rPr>
                <w:rFonts w:hint="eastAsia" w:ascii="宋体" w:hAnsi="宋体" w:eastAsia="宋体" w:cs="宋体"/>
                <w:color w:val="000000"/>
                <w:sz w:val="20"/>
                <w:szCs w:val="20"/>
              </w:rPr>
            </w:pPr>
          </w:p>
        </w:tc>
      </w:tr>
      <w:tr w14:paraId="52C91AB3">
        <w:tblPrEx>
          <w:tblCellMar>
            <w:top w:w="0" w:type="dxa"/>
            <w:left w:w="108" w:type="dxa"/>
            <w:bottom w:w="0" w:type="dxa"/>
            <w:right w:w="108" w:type="dxa"/>
          </w:tblCellMar>
        </w:tblPrEx>
        <w:trPr>
          <w:trHeight w:val="735"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1CB3204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w:t>
            </w:r>
          </w:p>
        </w:tc>
        <w:tc>
          <w:tcPr>
            <w:tcW w:w="1868" w:type="dxa"/>
            <w:tcBorders>
              <w:top w:val="single" w:color="000000" w:sz="4" w:space="0"/>
              <w:left w:val="single" w:color="000000" w:sz="4" w:space="0"/>
              <w:bottom w:val="single" w:color="000000" w:sz="4" w:space="0"/>
              <w:right w:val="single" w:color="000000" w:sz="4" w:space="0"/>
            </w:tcBorders>
            <w:vAlign w:val="center"/>
          </w:tcPr>
          <w:p w14:paraId="1EE985FB">
            <w:pPr>
              <w:widowControl/>
              <w:jc w:val="center"/>
              <w:textAlignment w:val="center"/>
              <w:rPr>
                <w:rFonts w:hint="eastAsia" w:ascii="宋体" w:hAnsi="宋体" w:eastAsia="宋体" w:cs="宋体"/>
                <w:color w:val="000000"/>
                <w:kern w:val="0"/>
                <w:sz w:val="20"/>
                <w:szCs w:val="20"/>
                <w:lang w:bidi="ar"/>
              </w:rPr>
            </w:pPr>
            <w:r>
              <w:rPr>
                <w:rFonts w:hint="eastAsia" w:ascii="微软雅黑" w:hAnsi="微软雅黑" w:eastAsia="微软雅黑" w:cs="微软雅黑"/>
                <w:color w:val="000000"/>
                <w:kern w:val="0"/>
                <w:sz w:val="20"/>
                <w:szCs w:val="20"/>
                <w:lang w:bidi="ar"/>
              </w:rPr>
              <w:t>变压器</w:t>
            </w:r>
          </w:p>
        </w:tc>
        <w:tc>
          <w:tcPr>
            <w:tcW w:w="3757" w:type="dxa"/>
            <w:tcBorders>
              <w:top w:val="single" w:color="000000" w:sz="4" w:space="0"/>
              <w:left w:val="single" w:color="000000" w:sz="4" w:space="0"/>
              <w:bottom w:val="single" w:color="000000" w:sz="4" w:space="0"/>
              <w:right w:val="single" w:color="000000" w:sz="4" w:space="0"/>
            </w:tcBorders>
            <w:vAlign w:val="center"/>
          </w:tcPr>
          <w:p w14:paraId="7FC5A746">
            <w:pPr>
              <w:widowControl/>
              <w:jc w:val="center"/>
              <w:textAlignment w:val="center"/>
              <w:rPr>
                <w:rFonts w:hint="eastAsia" w:ascii="宋体" w:hAnsi="宋体" w:eastAsia="宋体" w:cs="宋体"/>
                <w:color w:val="000000"/>
                <w:kern w:val="0"/>
                <w:sz w:val="20"/>
                <w:szCs w:val="20"/>
                <w:lang w:bidi="ar"/>
              </w:rPr>
            </w:pPr>
            <w:r>
              <w:rPr>
                <w:rFonts w:hint="eastAsia" w:ascii="微软雅黑" w:hAnsi="微软雅黑" w:eastAsia="微软雅黑" w:cs="微软雅黑"/>
                <w:color w:val="000000"/>
                <w:kern w:val="0"/>
                <w:sz w:val="20"/>
                <w:szCs w:val="20"/>
                <w:lang w:bidi="ar"/>
              </w:rPr>
              <w:t xml:space="preserve">SCB14-1000/10 </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10±2×2.5%/0.8kV, D/y11  Ud%=6%</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二级能效</w:t>
            </w:r>
          </w:p>
        </w:tc>
        <w:tc>
          <w:tcPr>
            <w:tcW w:w="1499" w:type="dxa"/>
            <w:tcBorders>
              <w:top w:val="single" w:color="000000" w:sz="4" w:space="0"/>
              <w:left w:val="single" w:color="000000" w:sz="4" w:space="0"/>
              <w:bottom w:val="single" w:color="000000" w:sz="4" w:space="0"/>
              <w:right w:val="single" w:color="000000" w:sz="4" w:space="0"/>
            </w:tcBorders>
            <w:noWrap/>
            <w:vAlign w:val="center"/>
          </w:tcPr>
          <w:p w14:paraId="5CAF385E">
            <w:pPr>
              <w:widowControl/>
              <w:jc w:val="center"/>
              <w:textAlignment w:val="center"/>
              <w:rPr>
                <w:rFonts w:hint="eastAsia" w:ascii="宋体" w:hAnsi="宋体" w:eastAsia="宋体" w:cs="宋体"/>
                <w:color w:val="000000"/>
                <w:sz w:val="20"/>
                <w:szCs w:val="20"/>
              </w:rPr>
            </w:pPr>
          </w:p>
        </w:tc>
        <w:tc>
          <w:tcPr>
            <w:tcW w:w="1477" w:type="dxa"/>
            <w:tcBorders>
              <w:top w:val="single" w:color="000000" w:sz="4" w:space="0"/>
              <w:left w:val="single" w:color="000000" w:sz="4" w:space="0"/>
              <w:bottom w:val="single" w:color="000000" w:sz="4" w:space="0"/>
              <w:right w:val="single" w:color="000000" w:sz="4" w:space="0"/>
            </w:tcBorders>
            <w:noWrap/>
            <w:vAlign w:val="center"/>
          </w:tcPr>
          <w:p w14:paraId="49124571">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保定天威、特变电工、江苏华鹏、海南金盘智能</w:t>
            </w:r>
          </w:p>
        </w:tc>
        <w:tc>
          <w:tcPr>
            <w:tcW w:w="870" w:type="dxa"/>
            <w:tcBorders>
              <w:top w:val="single" w:color="000000" w:sz="4" w:space="0"/>
              <w:left w:val="single" w:color="000000" w:sz="4" w:space="0"/>
              <w:bottom w:val="single" w:color="000000" w:sz="4" w:space="0"/>
              <w:right w:val="single" w:color="000000" w:sz="4" w:space="0"/>
            </w:tcBorders>
            <w:vAlign w:val="center"/>
          </w:tcPr>
          <w:p w14:paraId="5CFECAFA">
            <w:pPr>
              <w:widowControl/>
              <w:jc w:val="center"/>
              <w:textAlignment w:val="center"/>
              <w:rPr>
                <w:rFonts w:hint="eastAsia" w:ascii="宋体" w:hAnsi="宋体" w:eastAsia="宋体" w:cs="宋体"/>
                <w:color w:val="000000"/>
                <w:kern w:val="0"/>
                <w:sz w:val="18"/>
                <w:szCs w:val="18"/>
                <w:lang w:bidi="ar"/>
              </w:rPr>
            </w:pPr>
            <w:r>
              <w:rPr>
                <w:rFonts w:hint="eastAsia" w:ascii="微软雅黑" w:hAnsi="微软雅黑" w:eastAsia="微软雅黑" w:cs="微软雅黑"/>
                <w:color w:val="000000"/>
                <w:kern w:val="0"/>
                <w:sz w:val="20"/>
                <w:szCs w:val="20"/>
                <w:lang w:bidi="ar"/>
              </w:rPr>
              <w:t>套</w:t>
            </w:r>
          </w:p>
        </w:tc>
        <w:tc>
          <w:tcPr>
            <w:tcW w:w="1080" w:type="dxa"/>
            <w:tcBorders>
              <w:top w:val="single" w:color="000000" w:sz="4" w:space="0"/>
              <w:left w:val="single" w:color="000000" w:sz="4" w:space="0"/>
              <w:bottom w:val="single" w:color="000000" w:sz="4" w:space="0"/>
              <w:right w:val="single" w:color="000000" w:sz="4" w:space="0"/>
            </w:tcBorders>
            <w:vAlign w:val="center"/>
          </w:tcPr>
          <w:p w14:paraId="35BDCB3D">
            <w:pPr>
              <w:widowControl/>
              <w:jc w:val="center"/>
              <w:textAlignment w:val="center"/>
              <w:rPr>
                <w:rFonts w:hint="eastAsia" w:ascii="宋体" w:hAnsi="宋体" w:eastAsia="宋体" w:cs="宋体"/>
                <w:color w:val="000000"/>
                <w:kern w:val="0"/>
                <w:sz w:val="20"/>
                <w:szCs w:val="20"/>
                <w:lang w:bidi="ar"/>
              </w:rPr>
            </w:pPr>
            <w:r>
              <w:rPr>
                <w:rFonts w:hint="eastAsia" w:ascii="微软雅黑" w:hAnsi="微软雅黑" w:eastAsia="微软雅黑" w:cs="微软雅黑"/>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vAlign w:val="center"/>
          </w:tcPr>
          <w:p w14:paraId="4D2AA4A6">
            <w:pPr>
              <w:jc w:val="center"/>
              <w:rPr>
                <w:rFonts w:hint="eastAsia"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7FB44B3">
            <w:pPr>
              <w:jc w:val="center"/>
              <w:rPr>
                <w:rFonts w:hint="eastAsia" w:ascii="宋体" w:hAnsi="宋体" w:eastAsia="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D878368">
            <w:pPr>
              <w:jc w:val="center"/>
              <w:rPr>
                <w:rFonts w:hint="eastAsia" w:ascii="宋体" w:hAnsi="宋体" w:eastAsia="宋体" w:cs="宋体"/>
                <w:color w:val="000000"/>
                <w:sz w:val="20"/>
                <w:szCs w:val="20"/>
              </w:rPr>
            </w:pPr>
          </w:p>
        </w:tc>
      </w:tr>
      <w:tr w14:paraId="2554FF3D">
        <w:tblPrEx>
          <w:tblCellMar>
            <w:top w:w="0" w:type="dxa"/>
            <w:left w:w="108" w:type="dxa"/>
            <w:bottom w:w="0" w:type="dxa"/>
            <w:right w:w="108" w:type="dxa"/>
          </w:tblCellMar>
        </w:tblPrEx>
        <w:trPr>
          <w:trHeight w:val="735"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081230D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w:t>
            </w:r>
          </w:p>
        </w:tc>
        <w:tc>
          <w:tcPr>
            <w:tcW w:w="1868" w:type="dxa"/>
            <w:tcBorders>
              <w:top w:val="single" w:color="000000" w:sz="4" w:space="0"/>
              <w:left w:val="single" w:color="000000" w:sz="4" w:space="0"/>
              <w:bottom w:val="single" w:color="000000" w:sz="4" w:space="0"/>
              <w:right w:val="single" w:color="000000" w:sz="4" w:space="0"/>
            </w:tcBorders>
            <w:vAlign w:val="center"/>
          </w:tcPr>
          <w:p w14:paraId="3CE8DD48">
            <w:pPr>
              <w:widowControl/>
              <w:jc w:val="center"/>
              <w:textAlignment w:val="center"/>
              <w:rPr>
                <w:rFonts w:hint="eastAsia" w:ascii="宋体" w:hAnsi="宋体" w:eastAsia="宋体" w:cs="宋体"/>
                <w:color w:val="000000"/>
                <w:kern w:val="0"/>
                <w:sz w:val="20"/>
                <w:szCs w:val="20"/>
                <w:lang w:bidi="ar"/>
              </w:rPr>
            </w:pPr>
            <w:r>
              <w:rPr>
                <w:rFonts w:hint="eastAsia" w:ascii="微软雅黑" w:hAnsi="微软雅黑" w:eastAsia="微软雅黑" w:cs="微软雅黑"/>
                <w:color w:val="000000"/>
                <w:kern w:val="0"/>
                <w:sz w:val="20"/>
                <w:szCs w:val="20"/>
                <w:lang w:bidi="ar"/>
              </w:rPr>
              <w:t>变压器</w:t>
            </w:r>
          </w:p>
        </w:tc>
        <w:tc>
          <w:tcPr>
            <w:tcW w:w="3757" w:type="dxa"/>
            <w:tcBorders>
              <w:top w:val="single" w:color="000000" w:sz="4" w:space="0"/>
              <w:left w:val="single" w:color="000000" w:sz="4" w:space="0"/>
              <w:bottom w:val="single" w:color="000000" w:sz="4" w:space="0"/>
              <w:right w:val="single" w:color="000000" w:sz="4" w:space="0"/>
            </w:tcBorders>
            <w:vAlign w:val="center"/>
          </w:tcPr>
          <w:p w14:paraId="4C7DF4F0">
            <w:pPr>
              <w:widowControl/>
              <w:jc w:val="center"/>
              <w:textAlignment w:val="center"/>
              <w:rPr>
                <w:rFonts w:hint="eastAsia" w:ascii="宋体" w:hAnsi="宋体" w:eastAsia="宋体" w:cs="宋体"/>
                <w:color w:val="000000"/>
                <w:kern w:val="0"/>
                <w:sz w:val="20"/>
                <w:szCs w:val="20"/>
                <w:lang w:bidi="ar"/>
              </w:rPr>
            </w:pPr>
            <w:r>
              <w:rPr>
                <w:rFonts w:hint="eastAsia" w:ascii="微软雅黑" w:hAnsi="微软雅黑" w:eastAsia="微软雅黑" w:cs="微软雅黑"/>
                <w:color w:val="000000"/>
                <w:kern w:val="0"/>
                <w:sz w:val="20"/>
                <w:szCs w:val="20"/>
                <w:lang w:bidi="ar"/>
              </w:rPr>
              <w:t xml:space="preserve">SCB14-2000/10 </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10±2×2.5%/0.4kV, D/y11  Ud%=6%</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二级能效</w:t>
            </w:r>
          </w:p>
        </w:tc>
        <w:tc>
          <w:tcPr>
            <w:tcW w:w="1499" w:type="dxa"/>
            <w:tcBorders>
              <w:top w:val="single" w:color="000000" w:sz="4" w:space="0"/>
              <w:left w:val="single" w:color="000000" w:sz="4" w:space="0"/>
              <w:bottom w:val="single" w:color="000000" w:sz="4" w:space="0"/>
              <w:right w:val="single" w:color="000000" w:sz="4" w:space="0"/>
            </w:tcBorders>
            <w:noWrap/>
            <w:vAlign w:val="center"/>
          </w:tcPr>
          <w:p w14:paraId="172A769A">
            <w:pPr>
              <w:widowControl/>
              <w:jc w:val="center"/>
              <w:textAlignment w:val="center"/>
              <w:rPr>
                <w:rFonts w:hint="eastAsia" w:ascii="宋体" w:hAnsi="宋体" w:eastAsia="宋体" w:cs="宋体"/>
                <w:color w:val="000000"/>
                <w:sz w:val="20"/>
                <w:szCs w:val="20"/>
              </w:rPr>
            </w:pPr>
          </w:p>
        </w:tc>
        <w:tc>
          <w:tcPr>
            <w:tcW w:w="1477" w:type="dxa"/>
            <w:tcBorders>
              <w:top w:val="single" w:color="000000" w:sz="4" w:space="0"/>
              <w:left w:val="single" w:color="000000" w:sz="4" w:space="0"/>
              <w:bottom w:val="single" w:color="000000" w:sz="4" w:space="0"/>
              <w:right w:val="single" w:color="000000" w:sz="4" w:space="0"/>
            </w:tcBorders>
            <w:noWrap/>
            <w:vAlign w:val="center"/>
          </w:tcPr>
          <w:p w14:paraId="5314BC80">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保定天威、特变电工、江苏华鹏、海南金盘智能</w:t>
            </w:r>
          </w:p>
        </w:tc>
        <w:tc>
          <w:tcPr>
            <w:tcW w:w="870" w:type="dxa"/>
            <w:tcBorders>
              <w:top w:val="single" w:color="000000" w:sz="4" w:space="0"/>
              <w:left w:val="single" w:color="000000" w:sz="4" w:space="0"/>
              <w:bottom w:val="single" w:color="000000" w:sz="4" w:space="0"/>
              <w:right w:val="single" w:color="000000" w:sz="4" w:space="0"/>
            </w:tcBorders>
            <w:vAlign w:val="center"/>
          </w:tcPr>
          <w:p w14:paraId="5D904A13">
            <w:pPr>
              <w:widowControl/>
              <w:jc w:val="center"/>
              <w:textAlignment w:val="center"/>
              <w:rPr>
                <w:rFonts w:hint="eastAsia" w:ascii="宋体" w:hAnsi="宋体" w:eastAsia="宋体" w:cs="宋体"/>
                <w:color w:val="000000"/>
                <w:kern w:val="0"/>
                <w:sz w:val="18"/>
                <w:szCs w:val="18"/>
                <w:lang w:bidi="ar"/>
              </w:rPr>
            </w:pPr>
            <w:r>
              <w:rPr>
                <w:rFonts w:hint="eastAsia" w:ascii="微软雅黑" w:hAnsi="微软雅黑" w:eastAsia="微软雅黑" w:cs="微软雅黑"/>
                <w:color w:val="000000"/>
                <w:kern w:val="0"/>
                <w:sz w:val="20"/>
                <w:szCs w:val="20"/>
                <w:lang w:bidi="ar"/>
              </w:rPr>
              <w:t>套</w:t>
            </w:r>
          </w:p>
        </w:tc>
        <w:tc>
          <w:tcPr>
            <w:tcW w:w="1080" w:type="dxa"/>
            <w:tcBorders>
              <w:top w:val="single" w:color="000000" w:sz="4" w:space="0"/>
              <w:left w:val="single" w:color="000000" w:sz="4" w:space="0"/>
              <w:bottom w:val="single" w:color="000000" w:sz="4" w:space="0"/>
              <w:right w:val="single" w:color="000000" w:sz="4" w:space="0"/>
            </w:tcBorders>
            <w:vAlign w:val="center"/>
          </w:tcPr>
          <w:p w14:paraId="03769100">
            <w:pPr>
              <w:widowControl/>
              <w:jc w:val="center"/>
              <w:textAlignment w:val="center"/>
              <w:rPr>
                <w:rFonts w:hint="eastAsia" w:ascii="宋体" w:hAnsi="宋体" w:eastAsia="宋体" w:cs="宋体"/>
                <w:color w:val="000000"/>
                <w:kern w:val="0"/>
                <w:sz w:val="20"/>
                <w:szCs w:val="20"/>
                <w:lang w:bidi="ar"/>
              </w:rPr>
            </w:pPr>
            <w:r>
              <w:rPr>
                <w:rFonts w:hint="eastAsia" w:ascii="微软雅黑" w:hAnsi="微软雅黑" w:eastAsia="微软雅黑" w:cs="微软雅黑"/>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vAlign w:val="center"/>
          </w:tcPr>
          <w:p w14:paraId="76A55529">
            <w:pPr>
              <w:jc w:val="center"/>
              <w:rPr>
                <w:rFonts w:hint="eastAsia"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FC0ED85">
            <w:pPr>
              <w:jc w:val="center"/>
              <w:rPr>
                <w:rFonts w:hint="eastAsia" w:ascii="宋体" w:hAnsi="宋体" w:eastAsia="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764E93F">
            <w:pPr>
              <w:jc w:val="center"/>
              <w:rPr>
                <w:rFonts w:hint="eastAsia" w:ascii="宋体" w:hAnsi="宋体" w:eastAsia="宋体" w:cs="宋体"/>
                <w:color w:val="000000"/>
                <w:sz w:val="20"/>
                <w:szCs w:val="20"/>
              </w:rPr>
            </w:pPr>
          </w:p>
        </w:tc>
      </w:tr>
      <w:tr w14:paraId="5473C593">
        <w:tblPrEx>
          <w:tblCellMar>
            <w:top w:w="0" w:type="dxa"/>
            <w:left w:w="108" w:type="dxa"/>
            <w:bottom w:w="0" w:type="dxa"/>
            <w:right w:w="108" w:type="dxa"/>
          </w:tblCellMar>
        </w:tblPrEx>
        <w:trPr>
          <w:trHeight w:val="735"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48D0897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w:t>
            </w:r>
          </w:p>
        </w:tc>
        <w:tc>
          <w:tcPr>
            <w:tcW w:w="1868" w:type="dxa"/>
            <w:tcBorders>
              <w:top w:val="single" w:color="000000" w:sz="4" w:space="0"/>
              <w:left w:val="single" w:color="000000" w:sz="4" w:space="0"/>
              <w:bottom w:val="single" w:color="000000" w:sz="4" w:space="0"/>
              <w:right w:val="single" w:color="000000" w:sz="4" w:space="0"/>
            </w:tcBorders>
            <w:vAlign w:val="center"/>
          </w:tcPr>
          <w:p w14:paraId="0336B749">
            <w:pPr>
              <w:widowControl/>
              <w:jc w:val="center"/>
              <w:textAlignment w:val="center"/>
              <w:rPr>
                <w:rFonts w:hint="eastAsia" w:ascii="宋体" w:hAnsi="宋体" w:eastAsia="宋体" w:cs="宋体"/>
                <w:color w:val="000000"/>
                <w:kern w:val="0"/>
                <w:sz w:val="20"/>
                <w:szCs w:val="20"/>
                <w:lang w:bidi="ar"/>
              </w:rPr>
            </w:pPr>
            <w:r>
              <w:rPr>
                <w:rFonts w:hint="eastAsia" w:ascii="微软雅黑" w:hAnsi="微软雅黑" w:eastAsia="微软雅黑" w:cs="微软雅黑"/>
                <w:color w:val="000000"/>
                <w:kern w:val="0"/>
                <w:sz w:val="20"/>
                <w:szCs w:val="20"/>
                <w:lang w:bidi="ar"/>
              </w:rPr>
              <w:t>变压器</w:t>
            </w:r>
          </w:p>
        </w:tc>
        <w:tc>
          <w:tcPr>
            <w:tcW w:w="3757" w:type="dxa"/>
            <w:tcBorders>
              <w:top w:val="single" w:color="000000" w:sz="4" w:space="0"/>
              <w:left w:val="single" w:color="000000" w:sz="4" w:space="0"/>
              <w:bottom w:val="single" w:color="000000" w:sz="4" w:space="0"/>
              <w:right w:val="single" w:color="000000" w:sz="4" w:space="0"/>
            </w:tcBorders>
            <w:vAlign w:val="center"/>
          </w:tcPr>
          <w:p w14:paraId="65221434">
            <w:pPr>
              <w:widowControl/>
              <w:jc w:val="center"/>
              <w:textAlignment w:val="center"/>
              <w:rPr>
                <w:rFonts w:hint="eastAsia" w:ascii="宋体" w:hAnsi="宋体" w:eastAsia="宋体" w:cs="宋体"/>
                <w:color w:val="000000"/>
                <w:kern w:val="0"/>
                <w:sz w:val="20"/>
                <w:szCs w:val="20"/>
                <w:lang w:bidi="ar"/>
              </w:rPr>
            </w:pPr>
            <w:r>
              <w:rPr>
                <w:rFonts w:hint="eastAsia" w:ascii="微软雅黑" w:hAnsi="微软雅黑" w:eastAsia="微软雅黑" w:cs="微软雅黑"/>
                <w:color w:val="000000"/>
                <w:kern w:val="0"/>
                <w:sz w:val="20"/>
                <w:szCs w:val="20"/>
                <w:lang w:bidi="ar"/>
              </w:rPr>
              <w:t xml:space="preserve">SCB14-2000/10 </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10±2×2.5%/0.8kV, D/y11  Ud%=6%</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二级能效</w:t>
            </w:r>
          </w:p>
        </w:tc>
        <w:tc>
          <w:tcPr>
            <w:tcW w:w="1499" w:type="dxa"/>
            <w:tcBorders>
              <w:top w:val="single" w:color="000000" w:sz="4" w:space="0"/>
              <w:left w:val="single" w:color="000000" w:sz="4" w:space="0"/>
              <w:bottom w:val="single" w:color="000000" w:sz="4" w:space="0"/>
              <w:right w:val="single" w:color="000000" w:sz="4" w:space="0"/>
            </w:tcBorders>
            <w:noWrap/>
            <w:vAlign w:val="center"/>
          </w:tcPr>
          <w:p w14:paraId="676E00EF">
            <w:pPr>
              <w:widowControl/>
              <w:jc w:val="center"/>
              <w:textAlignment w:val="center"/>
              <w:rPr>
                <w:rFonts w:hint="eastAsia" w:ascii="宋体" w:hAnsi="宋体" w:eastAsia="宋体" w:cs="宋体"/>
                <w:color w:val="000000"/>
                <w:sz w:val="20"/>
                <w:szCs w:val="20"/>
              </w:rPr>
            </w:pPr>
          </w:p>
        </w:tc>
        <w:tc>
          <w:tcPr>
            <w:tcW w:w="1477" w:type="dxa"/>
            <w:tcBorders>
              <w:top w:val="single" w:color="000000" w:sz="4" w:space="0"/>
              <w:left w:val="single" w:color="000000" w:sz="4" w:space="0"/>
              <w:bottom w:val="single" w:color="000000" w:sz="4" w:space="0"/>
              <w:right w:val="single" w:color="000000" w:sz="4" w:space="0"/>
            </w:tcBorders>
            <w:noWrap/>
            <w:vAlign w:val="center"/>
          </w:tcPr>
          <w:p w14:paraId="0226ACD7">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保定天威、特变电工、江苏华鹏、海南金盘智能</w:t>
            </w:r>
          </w:p>
        </w:tc>
        <w:tc>
          <w:tcPr>
            <w:tcW w:w="870" w:type="dxa"/>
            <w:tcBorders>
              <w:top w:val="single" w:color="000000" w:sz="4" w:space="0"/>
              <w:left w:val="single" w:color="000000" w:sz="4" w:space="0"/>
              <w:bottom w:val="single" w:color="000000" w:sz="4" w:space="0"/>
              <w:right w:val="single" w:color="000000" w:sz="4" w:space="0"/>
            </w:tcBorders>
            <w:vAlign w:val="center"/>
          </w:tcPr>
          <w:p w14:paraId="20C169AE">
            <w:pPr>
              <w:widowControl/>
              <w:jc w:val="center"/>
              <w:textAlignment w:val="center"/>
              <w:rPr>
                <w:rFonts w:hint="eastAsia" w:ascii="宋体" w:hAnsi="宋体" w:eastAsia="宋体" w:cs="宋体"/>
                <w:color w:val="000000"/>
                <w:kern w:val="0"/>
                <w:sz w:val="18"/>
                <w:szCs w:val="18"/>
                <w:lang w:bidi="ar"/>
              </w:rPr>
            </w:pPr>
            <w:r>
              <w:rPr>
                <w:rFonts w:hint="eastAsia" w:ascii="微软雅黑" w:hAnsi="微软雅黑" w:eastAsia="微软雅黑" w:cs="微软雅黑"/>
                <w:color w:val="000000"/>
                <w:kern w:val="0"/>
                <w:sz w:val="20"/>
                <w:szCs w:val="20"/>
                <w:lang w:bidi="ar"/>
              </w:rPr>
              <w:t>套</w:t>
            </w:r>
          </w:p>
        </w:tc>
        <w:tc>
          <w:tcPr>
            <w:tcW w:w="1080" w:type="dxa"/>
            <w:tcBorders>
              <w:top w:val="single" w:color="000000" w:sz="4" w:space="0"/>
              <w:left w:val="single" w:color="000000" w:sz="4" w:space="0"/>
              <w:bottom w:val="single" w:color="000000" w:sz="4" w:space="0"/>
              <w:right w:val="single" w:color="000000" w:sz="4" w:space="0"/>
            </w:tcBorders>
            <w:vAlign w:val="center"/>
          </w:tcPr>
          <w:p w14:paraId="37000D2F">
            <w:pPr>
              <w:widowControl/>
              <w:jc w:val="center"/>
              <w:textAlignment w:val="center"/>
              <w:rPr>
                <w:rFonts w:hint="eastAsia" w:ascii="宋体" w:hAnsi="宋体" w:eastAsia="宋体" w:cs="宋体"/>
                <w:color w:val="000000"/>
                <w:kern w:val="0"/>
                <w:sz w:val="20"/>
                <w:szCs w:val="20"/>
                <w:lang w:bidi="ar"/>
              </w:rPr>
            </w:pPr>
            <w:r>
              <w:rPr>
                <w:rFonts w:hint="eastAsia" w:ascii="微软雅黑" w:hAnsi="微软雅黑" w:eastAsia="微软雅黑" w:cs="微软雅黑"/>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vAlign w:val="center"/>
          </w:tcPr>
          <w:p w14:paraId="18068DCE">
            <w:pPr>
              <w:jc w:val="center"/>
              <w:rPr>
                <w:rFonts w:hint="eastAsia"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E7AE77C">
            <w:pPr>
              <w:jc w:val="center"/>
              <w:rPr>
                <w:rFonts w:hint="eastAsia" w:ascii="宋体" w:hAnsi="宋体" w:eastAsia="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C0F5D1B">
            <w:pPr>
              <w:jc w:val="center"/>
              <w:rPr>
                <w:rFonts w:hint="eastAsia" w:ascii="宋体" w:hAnsi="宋体" w:eastAsia="宋体" w:cs="宋体"/>
                <w:color w:val="000000"/>
                <w:sz w:val="20"/>
                <w:szCs w:val="20"/>
              </w:rPr>
            </w:pPr>
          </w:p>
        </w:tc>
      </w:tr>
      <w:tr w14:paraId="4F23B747">
        <w:tblPrEx>
          <w:tblCellMar>
            <w:top w:w="0" w:type="dxa"/>
            <w:left w:w="108" w:type="dxa"/>
            <w:bottom w:w="0" w:type="dxa"/>
            <w:right w:w="108" w:type="dxa"/>
          </w:tblCellMar>
        </w:tblPrEx>
        <w:trPr>
          <w:trHeight w:val="240"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24B23D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合 计</w:t>
            </w:r>
          </w:p>
        </w:tc>
        <w:tc>
          <w:tcPr>
            <w:tcW w:w="11631" w:type="dxa"/>
            <w:gridSpan w:val="7"/>
            <w:tcBorders>
              <w:top w:val="single" w:color="000000" w:sz="4" w:space="0"/>
              <w:left w:val="single" w:color="000000" w:sz="4" w:space="0"/>
              <w:bottom w:val="single" w:color="000000" w:sz="4" w:space="0"/>
              <w:right w:val="single" w:color="000000" w:sz="4" w:space="0"/>
            </w:tcBorders>
            <w:noWrap/>
            <w:vAlign w:val="center"/>
          </w:tcPr>
          <w:p w14:paraId="64E894E3">
            <w:pPr>
              <w:jc w:val="center"/>
              <w:rPr>
                <w:rFonts w:hint="eastAsia" w:ascii="宋体" w:hAnsi="宋体" w:eastAsia="宋体" w:cs="宋体"/>
                <w:color w:val="000000"/>
                <w:sz w:val="20"/>
                <w:szCs w:val="20"/>
              </w:rPr>
            </w:pPr>
          </w:p>
        </w:tc>
        <w:tc>
          <w:tcPr>
            <w:tcW w:w="1930" w:type="dxa"/>
            <w:gridSpan w:val="2"/>
            <w:tcBorders>
              <w:top w:val="single" w:color="000000" w:sz="4" w:space="0"/>
              <w:left w:val="single" w:color="000000" w:sz="4" w:space="0"/>
              <w:bottom w:val="single" w:color="000000" w:sz="4" w:space="0"/>
              <w:right w:val="single" w:color="000000" w:sz="4" w:space="0"/>
            </w:tcBorders>
            <w:noWrap/>
            <w:vAlign w:val="center"/>
          </w:tcPr>
          <w:p w14:paraId="49A4B795">
            <w:pPr>
              <w:jc w:val="center"/>
              <w:rPr>
                <w:rFonts w:hint="eastAsia" w:ascii="宋体" w:hAnsi="宋体" w:eastAsia="宋体" w:cs="宋体"/>
                <w:color w:val="000000"/>
                <w:sz w:val="20"/>
                <w:szCs w:val="20"/>
              </w:rPr>
            </w:pPr>
          </w:p>
        </w:tc>
      </w:tr>
    </w:tbl>
    <w:p w14:paraId="283B0B11">
      <w:pPr>
        <w:pStyle w:val="18"/>
        <w:ind w:firstLine="210"/>
        <w:rPr>
          <w:rFonts w:hint="eastAsia" w:ascii="宋体" w:hAnsi="宋体" w:eastAsia="宋体" w:cs="宋体"/>
        </w:rPr>
        <w:sectPr>
          <w:pgSz w:w="16838" w:h="11906" w:orient="landscape"/>
          <w:pgMar w:top="1179" w:right="1043" w:bottom="1179" w:left="1100" w:header="851" w:footer="992" w:gutter="0"/>
          <w:cols w:space="0" w:num="1"/>
          <w:docGrid w:type="lines" w:linePitch="319" w:charSpace="0"/>
        </w:sectPr>
      </w:pPr>
    </w:p>
    <w:p w14:paraId="7C2450B5">
      <w:pPr>
        <w:spacing w:line="360" w:lineRule="auto"/>
        <w:rPr>
          <w:rFonts w:hint="eastAsia" w:ascii="宋体" w:hAnsi="宋体" w:eastAsia="宋体" w:cs="宋体"/>
          <w:snapToGrid w:val="0"/>
          <w:szCs w:val="21"/>
        </w:rPr>
      </w:pPr>
      <w:r>
        <w:rPr>
          <w:rFonts w:hint="eastAsia" w:ascii="宋体" w:hAnsi="宋体" w:eastAsia="宋体" w:cs="宋体"/>
          <w:snapToGrid w:val="0"/>
          <w:szCs w:val="21"/>
        </w:rPr>
        <w:t>附件四：履约承诺书</w:t>
      </w:r>
    </w:p>
    <w:p w14:paraId="18391F2D">
      <w:pPr>
        <w:spacing w:line="480" w:lineRule="auto"/>
        <w:rPr>
          <w:rFonts w:hint="eastAsia" w:ascii="宋体" w:hAnsi="宋体" w:eastAsia="宋体" w:cs="宋体"/>
        </w:rPr>
      </w:pPr>
      <w:r>
        <w:rPr>
          <w:rFonts w:hint="eastAsia" w:ascii="宋体" w:hAnsi="宋体" w:eastAsia="宋体" w:cs="宋体"/>
        </w:rPr>
        <w:t>致:南京禄口国际机场空港科技有限公司</w:t>
      </w:r>
    </w:p>
    <w:p w14:paraId="626DB8B8">
      <w:pPr>
        <w:spacing w:line="480" w:lineRule="auto"/>
        <w:ind w:firstLine="630" w:firstLineChars="300"/>
        <w:rPr>
          <w:rFonts w:hint="eastAsia" w:ascii="宋体" w:hAnsi="宋体" w:eastAsia="宋体" w:cs="宋体"/>
        </w:rPr>
      </w:pPr>
      <w:r>
        <w:rPr>
          <w:rFonts w:hint="eastAsia" w:ascii="宋体" w:hAnsi="宋体" w:eastAsia="宋体" w:cs="宋体"/>
        </w:rPr>
        <w:t>本公司郑重承诺，遵守《中华人民共和国民法典》及相关法律法规，具备相应的能力，并作出以下承诺:</w:t>
      </w:r>
    </w:p>
    <w:p w14:paraId="26544D9A">
      <w:pPr>
        <w:spacing w:line="480" w:lineRule="auto"/>
        <w:rPr>
          <w:rFonts w:hint="eastAsia" w:ascii="宋体" w:hAnsi="宋体" w:eastAsia="宋体" w:cs="宋体"/>
        </w:rPr>
      </w:pPr>
      <w:r>
        <w:rPr>
          <w:rFonts w:hint="eastAsia" w:ascii="宋体" w:hAnsi="宋体" w:eastAsia="宋体" w:cs="宋体"/>
        </w:rPr>
        <w:t>1、本公司具有合同履约能力，拥有充足的人力及物力，能够按时、按质的完成合同约定的产品和服务的交付。</w:t>
      </w:r>
    </w:p>
    <w:p w14:paraId="0B31CFDC">
      <w:pPr>
        <w:spacing w:line="480" w:lineRule="auto"/>
        <w:rPr>
          <w:rFonts w:hint="eastAsia" w:ascii="宋体" w:hAnsi="宋体" w:eastAsia="宋体" w:cs="宋体"/>
        </w:rPr>
      </w:pPr>
      <w:r>
        <w:rPr>
          <w:rFonts w:hint="eastAsia" w:ascii="宋体" w:hAnsi="宋体" w:eastAsia="宋体" w:cs="宋体"/>
        </w:rPr>
        <w:t>2、本单位近三年守合同、重信用，无违约事实，现时未涉及重大经济纠纷或重大经济犯罪案件。</w:t>
      </w:r>
    </w:p>
    <w:p w14:paraId="10FFE645">
      <w:pPr>
        <w:spacing w:line="480" w:lineRule="auto"/>
        <w:rPr>
          <w:rFonts w:hint="eastAsia" w:ascii="宋体" w:hAnsi="宋体" w:eastAsia="宋体" w:cs="宋体"/>
        </w:rPr>
      </w:pPr>
      <w:r>
        <w:rPr>
          <w:rFonts w:hint="eastAsia" w:ascii="宋体" w:hAnsi="宋体" w:eastAsia="宋体" w:cs="宋体"/>
        </w:rPr>
        <w:t>3、与贵公司或贵公司的关联公司在以往履约过程中合作良好，未出现过履约争议乃至进入诉讼或仲裁。</w:t>
      </w:r>
    </w:p>
    <w:p w14:paraId="44319326">
      <w:pPr>
        <w:spacing w:line="480" w:lineRule="auto"/>
        <w:jc w:val="right"/>
        <w:rPr>
          <w:rFonts w:hint="eastAsia" w:ascii="宋体" w:hAnsi="宋体" w:eastAsia="宋体" w:cs="宋体"/>
        </w:rPr>
      </w:pPr>
      <w:r>
        <w:rPr>
          <w:rFonts w:hint="eastAsia" w:ascii="宋体" w:hAnsi="宋体" w:eastAsia="宋体" w:cs="宋体"/>
        </w:rPr>
        <w:t>公司名称(盖章)：</w:t>
      </w:r>
    </w:p>
    <w:p w14:paraId="3CE6E77B">
      <w:pPr>
        <w:spacing w:line="480" w:lineRule="auto"/>
        <w:jc w:val="right"/>
        <w:rPr>
          <w:rFonts w:hint="eastAsia" w:ascii="宋体" w:hAnsi="宋体" w:eastAsia="宋体" w:cs="宋体"/>
        </w:rPr>
      </w:pPr>
      <w:r>
        <w:rPr>
          <w:rFonts w:hint="eastAsia" w:ascii="宋体" w:hAnsi="宋体" w:eastAsia="宋体" w:cs="宋体"/>
        </w:rPr>
        <w:t>日期：</w:t>
      </w:r>
    </w:p>
    <w:p w14:paraId="014B28E3">
      <w:pPr>
        <w:spacing w:line="360" w:lineRule="auto"/>
        <w:rPr>
          <w:rFonts w:hint="eastAsia" w:ascii="宋体" w:hAnsi="宋体" w:eastAsia="宋体" w:cs="宋体"/>
          <w:snapToGrid w:val="0"/>
          <w:szCs w:val="21"/>
        </w:rPr>
      </w:pPr>
    </w:p>
    <w:p w14:paraId="3B6C3FB7">
      <w:pPr>
        <w:spacing w:line="360" w:lineRule="auto"/>
        <w:rPr>
          <w:rFonts w:hint="eastAsia" w:ascii="宋体" w:hAnsi="宋体" w:eastAsia="宋体" w:cs="宋体"/>
        </w:rPr>
      </w:pPr>
    </w:p>
    <w:p w14:paraId="42D5329D">
      <w:pPr>
        <w:spacing w:line="360" w:lineRule="auto"/>
        <w:rPr>
          <w:rFonts w:hint="eastAsia" w:ascii="宋体" w:hAnsi="宋体" w:eastAsia="宋体" w:cs="宋体"/>
        </w:rPr>
      </w:pPr>
    </w:p>
    <w:p w14:paraId="08037BE4">
      <w:pPr>
        <w:spacing w:line="360" w:lineRule="auto"/>
        <w:rPr>
          <w:rFonts w:hint="eastAsia" w:ascii="宋体" w:hAnsi="宋体" w:eastAsia="宋体" w:cs="宋体"/>
        </w:rPr>
      </w:pPr>
    </w:p>
    <w:p w14:paraId="08B49EEA">
      <w:pPr>
        <w:pageBreakBefore/>
        <w:spacing w:line="360" w:lineRule="auto"/>
        <w:rPr>
          <w:rFonts w:hint="eastAsia" w:ascii="宋体" w:hAnsi="宋体" w:eastAsia="宋体" w:cs="宋体"/>
        </w:rPr>
      </w:pPr>
    </w:p>
    <w:p w14:paraId="14413C9F">
      <w:pPr>
        <w:spacing w:line="360" w:lineRule="auto"/>
        <w:rPr>
          <w:rFonts w:hint="eastAsia" w:ascii="宋体" w:hAnsi="宋体" w:eastAsia="宋体" w:cs="宋体"/>
        </w:rPr>
      </w:pPr>
      <w:r>
        <w:rPr>
          <w:rFonts w:hint="eastAsia" w:ascii="宋体" w:hAnsi="宋体" w:eastAsia="宋体" w:cs="宋体"/>
        </w:rPr>
        <w:t>附件五：合同模板</w:t>
      </w:r>
    </w:p>
    <w:p w14:paraId="25BF496C">
      <w:pPr>
        <w:rPr>
          <w:rFonts w:hint="eastAsia" w:ascii="宋体" w:hAnsi="宋体" w:eastAsia="宋体" w:cs="宋体"/>
        </w:rPr>
      </w:pPr>
      <w:permStart w:id="0" w:edGrp="everyone"/>
      <w:permEnd w:id="0"/>
    </w:p>
    <w:p w14:paraId="36708DC6">
      <w:pPr>
        <w:jc w:val="center"/>
        <w:rPr>
          <w:rFonts w:hint="eastAsia" w:ascii="宋体" w:hAnsi="宋体" w:eastAsia="宋体" w:cs="宋体"/>
          <w:sz w:val="44"/>
        </w:rPr>
      </w:pPr>
    </w:p>
    <w:p w14:paraId="16FBC118">
      <w:pPr>
        <w:jc w:val="center"/>
        <w:rPr>
          <w:rFonts w:hint="eastAsia" w:ascii="宋体" w:hAnsi="宋体" w:eastAsia="宋体" w:cs="宋体"/>
          <w:sz w:val="36"/>
        </w:rPr>
      </w:pPr>
    </w:p>
    <w:p w14:paraId="532B793A">
      <w:pPr>
        <w:pStyle w:val="17"/>
        <w:spacing w:line="347" w:lineRule="atLeast"/>
        <w:jc w:val="center"/>
        <w:rPr>
          <w:rFonts w:hint="eastAsia" w:ascii="宋体" w:hAnsi="宋体" w:eastAsia="宋体" w:cs="宋体"/>
          <w:sz w:val="52"/>
          <w:szCs w:val="52"/>
        </w:rPr>
      </w:pPr>
      <w:r>
        <w:rPr>
          <w:rFonts w:hint="eastAsia" w:ascii="宋体" w:hAnsi="宋体" w:eastAsia="宋体" w:cs="宋体"/>
          <w:sz w:val="52"/>
          <w:szCs w:val="52"/>
        </w:rPr>
        <w:t>采购合同</w:t>
      </w:r>
    </w:p>
    <w:p w14:paraId="45D69929">
      <w:pPr>
        <w:jc w:val="center"/>
        <w:rPr>
          <w:rFonts w:hint="eastAsia" w:ascii="宋体" w:hAnsi="宋体" w:eastAsia="宋体" w:cs="宋体"/>
          <w:sz w:val="28"/>
        </w:rPr>
      </w:pPr>
    </w:p>
    <w:p w14:paraId="54BE93BC">
      <w:pPr>
        <w:jc w:val="left"/>
        <w:rPr>
          <w:rFonts w:hint="eastAsia" w:ascii="宋体" w:hAnsi="宋体" w:eastAsia="宋体" w:cs="宋体"/>
          <w:sz w:val="28"/>
        </w:rPr>
      </w:pPr>
    </w:p>
    <w:p w14:paraId="2E3664F8">
      <w:pPr>
        <w:ind w:firstLine="960" w:firstLineChars="400"/>
        <w:rPr>
          <w:rFonts w:hint="eastAsia" w:ascii="宋体" w:hAnsi="宋体" w:eastAsia="宋体" w:cs="宋体"/>
          <w:sz w:val="24"/>
        </w:rPr>
      </w:pPr>
    </w:p>
    <w:p w14:paraId="77CC577B">
      <w:pPr>
        <w:ind w:firstLine="2400" w:firstLineChars="800"/>
        <w:rPr>
          <w:rFonts w:hint="eastAsia" w:ascii="宋体" w:hAnsi="宋体" w:eastAsia="宋体" w:cs="宋体"/>
          <w:sz w:val="30"/>
          <w:szCs w:val="30"/>
        </w:rPr>
      </w:pPr>
    </w:p>
    <w:p w14:paraId="7544FE45">
      <w:pPr>
        <w:ind w:firstLine="2400" w:firstLineChars="800"/>
        <w:rPr>
          <w:rFonts w:hint="eastAsia" w:ascii="宋体" w:hAnsi="宋体" w:eastAsia="宋体" w:cs="宋体"/>
          <w:sz w:val="30"/>
          <w:szCs w:val="30"/>
        </w:rPr>
      </w:pPr>
    </w:p>
    <w:p w14:paraId="72DB8F2E">
      <w:pPr>
        <w:ind w:firstLine="2400" w:firstLineChars="800"/>
        <w:rPr>
          <w:rFonts w:hint="eastAsia" w:ascii="宋体" w:hAnsi="宋体" w:eastAsia="宋体" w:cs="宋体"/>
          <w:sz w:val="30"/>
          <w:szCs w:val="30"/>
        </w:rPr>
      </w:pPr>
    </w:p>
    <w:p w14:paraId="6C10CA20">
      <w:pPr>
        <w:ind w:firstLine="2400" w:firstLineChars="800"/>
        <w:rPr>
          <w:rFonts w:hint="eastAsia" w:ascii="宋体" w:hAnsi="宋体" w:eastAsia="宋体" w:cs="宋体"/>
          <w:sz w:val="30"/>
          <w:szCs w:val="30"/>
        </w:rPr>
      </w:pPr>
    </w:p>
    <w:p w14:paraId="5B27158D">
      <w:pPr>
        <w:ind w:firstLine="2400" w:firstLineChars="800"/>
        <w:rPr>
          <w:rFonts w:hint="eastAsia" w:ascii="宋体" w:hAnsi="宋体" w:eastAsia="宋体" w:cs="宋体"/>
          <w:sz w:val="30"/>
          <w:szCs w:val="30"/>
        </w:rPr>
      </w:pPr>
    </w:p>
    <w:p w14:paraId="057299AB">
      <w:pPr>
        <w:ind w:firstLine="2400" w:firstLineChars="800"/>
        <w:rPr>
          <w:rFonts w:hint="eastAsia" w:ascii="宋体" w:hAnsi="宋体" w:eastAsia="宋体" w:cs="宋体"/>
          <w:sz w:val="30"/>
          <w:szCs w:val="30"/>
        </w:rPr>
      </w:pPr>
      <w:r>
        <w:rPr>
          <w:rFonts w:hint="eastAsia" w:ascii="宋体" w:hAnsi="宋体" w:eastAsia="宋体" w:cs="宋体"/>
          <w:sz w:val="30"/>
          <w:szCs w:val="30"/>
        </w:rPr>
        <w:t>甲方：南京禄口国际机场空港科技有限公司</w:t>
      </w:r>
    </w:p>
    <w:p w14:paraId="187DE7A0">
      <w:pPr>
        <w:ind w:firstLine="2400" w:firstLineChars="800"/>
        <w:rPr>
          <w:rFonts w:hint="eastAsia" w:ascii="宋体" w:hAnsi="宋体" w:eastAsia="宋体" w:cs="宋体"/>
          <w:sz w:val="30"/>
          <w:szCs w:val="30"/>
        </w:rPr>
      </w:pPr>
      <w:r>
        <w:rPr>
          <w:rFonts w:hint="eastAsia" w:ascii="宋体" w:hAnsi="宋体" w:eastAsia="宋体" w:cs="宋体"/>
          <w:sz w:val="30"/>
          <w:szCs w:val="30"/>
        </w:rPr>
        <w:t>乙方：</w:t>
      </w:r>
      <w:permStart w:id="1" w:edGrp="everyone"/>
      <w:r>
        <w:rPr>
          <w:rFonts w:hint="eastAsia" w:ascii="宋体" w:hAnsi="宋体" w:eastAsia="宋体" w:cs="宋体"/>
          <w:sz w:val="30"/>
          <w:szCs w:val="30"/>
        </w:rPr>
        <w:t xml:space="preserve">                 </w:t>
      </w:r>
    </w:p>
    <w:permEnd w:id="1"/>
    <w:p w14:paraId="312BA8F0">
      <w:pPr>
        <w:ind w:firstLine="2400" w:firstLineChars="800"/>
        <w:rPr>
          <w:rFonts w:hint="eastAsia" w:ascii="宋体" w:hAnsi="宋体" w:eastAsia="宋体" w:cs="宋体"/>
          <w:sz w:val="30"/>
          <w:szCs w:val="30"/>
        </w:rPr>
      </w:pPr>
      <w:r>
        <w:rPr>
          <w:rFonts w:hint="eastAsia" w:ascii="宋体" w:hAnsi="宋体" w:eastAsia="宋体" w:cs="宋体"/>
          <w:sz w:val="30"/>
          <w:szCs w:val="30"/>
        </w:rPr>
        <w:t>签订地点：南京</w:t>
      </w:r>
    </w:p>
    <w:p w14:paraId="72FCC16C">
      <w:pPr>
        <w:ind w:firstLine="2400" w:firstLineChars="800"/>
        <w:rPr>
          <w:rFonts w:hint="eastAsia" w:ascii="宋体" w:hAnsi="宋体" w:eastAsia="宋体" w:cs="宋体"/>
          <w:sz w:val="30"/>
          <w:szCs w:val="30"/>
        </w:rPr>
      </w:pPr>
      <w:r>
        <w:rPr>
          <w:rFonts w:hint="eastAsia" w:ascii="宋体" w:hAnsi="宋体" w:eastAsia="宋体" w:cs="宋体"/>
          <w:sz w:val="30"/>
          <w:szCs w:val="30"/>
        </w:rPr>
        <w:br w:type="page"/>
      </w:r>
    </w:p>
    <w:p w14:paraId="65953BF3">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u w:val="single"/>
        </w:rPr>
        <w:t xml:space="preserve"> 南京禄口国际机场空港科技有限公司 </w:t>
      </w:r>
      <w:r>
        <w:rPr>
          <w:rFonts w:hint="eastAsia" w:ascii="宋体" w:hAnsi="宋体" w:eastAsia="宋体" w:cs="宋体"/>
          <w:szCs w:val="21"/>
        </w:rPr>
        <w:t>（以下简称“甲方”）与</w:t>
      </w:r>
      <w:r>
        <w:rPr>
          <w:rFonts w:hint="eastAsia" w:ascii="宋体" w:hAnsi="宋体" w:eastAsia="宋体" w:cs="宋体"/>
          <w:szCs w:val="21"/>
          <w:u w:val="single"/>
        </w:rPr>
        <w:t xml:space="preserve"> </w:t>
      </w:r>
      <w:permStart w:id="2" w:edGrp="everyone"/>
      <w:r>
        <w:rPr>
          <w:rFonts w:hint="eastAsia" w:ascii="宋体" w:hAnsi="宋体" w:eastAsia="宋体" w:cs="宋体"/>
          <w:szCs w:val="21"/>
          <w:u w:val="single"/>
        </w:rPr>
        <w:t xml:space="preserve">   </w:t>
      </w:r>
      <w:permEnd w:id="2"/>
      <w:r>
        <w:rPr>
          <w:rFonts w:hint="eastAsia" w:ascii="宋体" w:hAnsi="宋体" w:eastAsia="宋体" w:cs="宋体"/>
          <w:szCs w:val="21"/>
        </w:rPr>
        <w:t xml:space="preserve">（以下简称为“乙方”），根据《中华人民共和国民法典》，经过友好协商，本着平等、自愿、诚实守信的原则，就甲方向乙方采购货物事宜，双方达成如下一致协议。 </w:t>
      </w:r>
    </w:p>
    <w:p w14:paraId="2929D2E3">
      <w:pPr>
        <w:adjustRightInd w:val="0"/>
        <w:snapToGrid w:val="0"/>
        <w:spacing w:before="156" w:beforeLines="50" w:after="156" w:afterLines="50" w:line="360" w:lineRule="auto"/>
        <w:ind w:left="480"/>
        <w:jc w:val="left"/>
        <w:rPr>
          <w:rFonts w:hint="eastAsia" w:ascii="宋体" w:hAnsi="宋体" w:eastAsia="宋体" w:cs="宋体"/>
          <w:sz w:val="24"/>
        </w:rPr>
      </w:pPr>
      <w:r>
        <w:rPr>
          <w:rFonts w:hint="eastAsia" w:ascii="宋体" w:hAnsi="宋体" w:eastAsia="宋体" w:cs="宋体"/>
          <w:sz w:val="24"/>
        </w:rPr>
        <w:t>第一条  合同标的</w:t>
      </w:r>
    </w:p>
    <w:p w14:paraId="448C20BC">
      <w:pPr>
        <w:adjustRightInd w:val="0"/>
        <w:snapToGrid w:val="0"/>
        <w:spacing w:line="360" w:lineRule="auto"/>
        <w:ind w:firstLine="420" w:firstLineChars="200"/>
        <w:jc w:val="left"/>
        <w:rPr>
          <w:rFonts w:hint="eastAsia" w:ascii="宋体" w:hAnsi="宋体" w:eastAsia="宋体" w:cs="宋体"/>
          <w:sz w:val="24"/>
        </w:rPr>
      </w:pPr>
      <w:r>
        <w:rPr>
          <w:rFonts w:hint="eastAsia" w:ascii="宋体" w:hAnsi="宋体" w:eastAsia="宋体" w:cs="宋体"/>
          <w:szCs w:val="21"/>
        </w:rPr>
        <w:t>1.1 采购货物明细：</w:t>
      </w:r>
    </w:p>
    <w:tbl>
      <w:tblPr>
        <w:tblStyle w:val="19"/>
        <w:tblW w:w="5263" w:type="pct"/>
        <w:jc w:val="center"/>
        <w:tblLayout w:type="fixed"/>
        <w:tblCellMar>
          <w:top w:w="0" w:type="dxa"/>
          <w:left w:w="108" w:type="dxa"/>
          <w:bottom w:w="0" w:type="dxa"/>
          <w:right w:w="108" w:type="dxa"/>
        </w:tblCellMar>
      </w:tblPr>
      <w:tblGrid>
        <w:gridCol w:w="487"/>
        <w:gridCol w:w="799"/>
        <w:gridCol w:w="2691"/>
        <w:gridCol w:w="1284"/>
        <w:gridCol w:w="764"/>
        <w:gridCol w:w="688"/>
        <w:gridCol w:w="702"/>
        <w:gridCol w:w="1112"/>
        <w:gridCol w:w="924"/>
        <w:gridCol w:w="659"/>
      </w:tblGrid>
      <w:tr w14:paraId="4785891D">
        <w:tblPrEx>
          <w:tblCellMar>
            <w:top w:w="0" w:type="dxa"/>
            <w:left w:w="108" w:type="dxa"/>
            <w:bottom w:w="0" w:type="dxa"/>
            <w:right w:w="108" w:type="dxa"/>
          </w:tblCellMar>
        </w:tblPrEx>
        <w:trPr>
          <w:trHeight w:val="1248" w:hRule="atLeast"/>
          <w:jc w:val="center"/>
        </w:trPr>
        <w:tc>
          <w:tcPr>
            <w:tcW w:w="241" w:type="pct"/>
            <w:tcBorders>
              <w:top w:val="single" w:color="000000" w:sz="4" w:space="0"/>
              <w:left w:val="single" w:color="000000" w:sz="4" w:space="0"/>
              <w:bottom w:val="single" w:color="000000" w:sz="4" w:space="0"/>
              <w:right w:val="single" w:color="000000" w:sz="4" w:space="0"/>
            </w:tcBorders>
            <w:vAlign w:val="center"/>
          </w:tcPr>
          <w:p w14:paraId="4ED0B71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序号</w:t>
            </w:r>
          </w:p>
        </w:tc>
        <w:tc>
          <w:tcPr>
            <w:tcW w:w="394" w:type="pct"/>
            <w:tcBorders>
              <w:top w:val="single" w:color="000000" w:sz="4" w:space="0"/>
              <w:left w:val="single" w:color="000000" w:sz="4" w:space="0"/>
              <w:bottom w:val="single" w:color="000000" w:sz="4" w:space="0"/>
              <w:right w:val="single" w:color="000000" w:sz="4" w:space="0"/>
            </w:tcBorders>
            <w:vAlign w:val="center"/>
          </w:tcPr>
          <w:p w14:paraId="380C0129">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名</w:t>
            </w:r>
          </w:p>
          <w:p w14:paraId="3F9550A5">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称</w:t>
            </w:r>
          </w:p>
        </w:tc>
        <w:tc>
          <w:tcPr>
            <w:tcW w:w="1329" w:type="pct"/>
            <w:tcBorders>
              <w:top w:val="single" w:color="000000" w:sz="4" w:space="0"/>
              <w:left w:val="single" w:color="000000" w:sz="4" w:space="0"/>
              <w:bottom w:val="single" w:color="000000" w:sz="4" w:space="0"/>
              <w:right w:val="single" w:color="000000" w:sz="4" w:space="0"/>
            </w:tcBorders>
            <w:vAlign w:val="center"/>
          </w:tcPr>
          <w:p w14:paraId="5E43A01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产品参数</w:t>
            </w:r>
          </w:p>
        </w:tc>
        <w:tc>
          <w:tcPr>
            <w:tcW w:w="634" w:type="pct"/>
            <w:tcBorders>
              <w:top w:val="single" w:color="000000" w:sz="4" w:space="0"/>
              <w:left w:val="single" w:color="000000" w:sz="4" w:space="0"/>
              <w:bottom w:val="single" w:color="000000" w:sz="4" w:space="0"/>
              <w:right w:val="single" w:color="000000" w:sz="4" w:space="0"/>
            </w:tcBorders>
            <w:vAlign w:val="center"/>
          </w:tcPr>
          <w:p w14:paraId="636227AA">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规格型号</w:t>
            </w:r>
          </w:p>
        </w:tc>
        <w:tc>
          <w:tcPr>
            <w:tcW w:w="377" w:type="pct"/>
            <w:tcBorders>
              <w:top w:val="single" w:color="000000" w:sz="4" w:space="0"/>
              <w:left w:val="single" w:color="000000" w:sz="4" w:space="0"/>
              <w:bottom w:val="single" w:color="000000" w:sz="4" w:space="0"/>
              <w:right w:val="single" w:color="000000" w:sz="4" w:space="0"/>
            </w:tcBorders>
            <w:vAlign w:val="center"/>
          </w:tcPr>
          <w:p w14:paraId="47988843">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品牌</w:t>
            </w:r>
          </w:p>
        </w:tc>
        <w:tc>
          <w:tcPr>
            <w:tcW w:w="340" w:type="pct"/>
            <w:tcBorders>
              <w:top w:val="single" w:color="000000" w:sz="4" w:space="0"/>
              <w:left w:val="single" w:color="000000" w:sz="4" w:space="0"/>
              <w:bottom w:val="single" w:color="000000" w:sz="4" w:space="0"/>
              <w:right w:val="single" w:color="000000" w:sz="4" w:space="0"/>
            </w:tcBorders>
            <w:vAlign w:val="center"/>
          </w:tcPr>
          <w:p w14:paraId="41B0549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单位</w:t>
            </w:r>
          </w:p>
        </w:tc>
        <w:tc>
          <w:tcPr>
            <w:tcW w:w="347" w:type="pct"/>
            <w:tcBorders>
              <w:top w:val="single" w:color="000000" w:sz="4" w:space="0"/>
              <w:left w:val="single" w:color="000000" w:sz="4" w:space="0"/>
              <w:bottom w:val="single" w:color="000000" w:sz="4" w:space="0"/>
              <w:right w:val="single" w:color="000000" w:sz="4" w:space="0"/>
            </w:tcBorders>
            <w:vAlign w:val="center"/>
          </w:tcPr>
          <w:p w14:paraId="24A943E6">
            <w:pPr>
              <w:widowControl/>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数量</w:t>
            </w:r>
          </w:p>
        </w:tc>
        <w:tc>
          <w:tcPr>
            <w:tcW w:w="549" w:type="pct"/>
            <w:tcBorders>
              <w:top w:val="single" w:color="000000" w:sz="4" w:space="0"/>
              <w:left w:val="single" w:color="000000" w:sz="4" w:space="0"/>
              <w:bottom w:val="single" w:color="000000" w:sz="4" w:space="0"/>
              <w:right w:val="single" w:color="000000" w:sz="4" w:space="0"/>
            </w:tcBorders>
            <w:vAlign w:val="center"/>
          </w:tcPr>
          <w:p w14:paraId="0C9EA6C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含税运单价/元</w:t>
            </w:r>
          </w:p>
        </w:tc>
        <w:tc>
          <w:tcPr>
            <w:tcW w:w="456" w:type="pct"/>
            <w:tcBorders>
              <w:top w:val="single" w:color="000000" w:sz="4" w:space="0"/>
              <w:left w:val="single" w:color="000000" w:sz="4" w:space="0"/>
              <w:bottom w:val="single" w:color="000000" w:sz="4" w:space="0"/>
              <w:right w:val="single" w:color="000000" w:sz="4" w:space="0"/>
            </w:tcBorders>
            <w:vAlign w:val="center"/>
          </w:tcPr>
          <w:p w14:paraId="3D6FBF35">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含税运总价/元</w:t>
            </w:r>
          </w:p>
        </w:tc>
        <w:tc>
          <w:tcPr>
            <w:tcW w:w="326" w:type="pct"/>
            <w:tcBorders>
              <w:top w:val="single" w:color="000000" w:sz="4" w:space="0"/>
              <w:left w:val="single" w:color="000000" w:sz="4" w:space="0"/>
              <w:bottom w:val="single" w:color="000000" w:sz="4" w:space="0"/>
              <w:right w:val="single" w:color="000000" w:sz="4" w:space="0"/>
            </w:tcBorders>
            <w:vAlign w:val="center"/>
          </w:tcPr>
          <w:p w14:paraId="03073B96">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税率</w:t>
            </w:r>
          </w:p>
        </w:tc>
      </w:tr>
      <w:tr w14:paraId="506B8DEA">
        <w:tblPrEx>
          <w:tblCellMar>
            <w:top w:w="0" w:type="dxa"/>
            <w:left w:w="108" w:type="dxa"/>
            <w:bottom w:w="0" w:type="dxa"/>
            <w:right w:w="108" w:type="dxa"/>
          </w:tblCellMar>
        </w:tblPrEx>
        <w:trPr>
          <w:trHeight w:val="90"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9EA0A">
            <w:pPr>
              <w:widowControl/>
              <w:jc w:val="center"/>
              <w:textAlignment w:val="center"/>
              <w:rPr>
                <w:rFonts w:hint="eastAsia" w:ascii="宋体" w:hAnsi="宋体" w:eastAsia="宋体" w:cs="宋体"/>
                <w:color w:val="000000"/>
                <w:sz w:val="18"/>
                <w:szCs w:val="18"/>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45D91">
            <w:pPr>
              <w:widowControl/>
              <w:jc w:val="center"/>
              <w:textAlignment w:val="center"/>
              <w:rPr>
                <w:rFonts w:hint="eastAsia" w:ascii="宋体" w:hAnsi="宋体" w:eastAsia="宋体" w:cs="宋体"/>
                <w:color w:val="000000"/>
                <w:sz w:val="18"/>
                <w:szCs w:val="18"/>
              </w:rPr>
            </w:pPr>
          </w:p>
        </w:tc>
        <w:tc>
          <w:tcPr>
            <w:tcW w:w="1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67F02">
            <w:pPr>
              <w:widowControl/>
              <w:jc w:val="left"/>
              <w:textAlignment w:val="center"/>
              <w:rPr>
                <w:rFonts w:hint="eastAsia" w:ascii="宋体" w:hAnsi="宋体" w:eastAsia="宋体" w:cs="宋体"/>
                <w:color w:val="000000"/>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348F8">
            <w:pPr>
              <w:widowControl/>
              <w:jc w:val="center"/>
              <w:textAlignment w:val="center"/>
              <w:rPr>
                <w:rFonts w:hint="eastAsia" w:ascii="宋体" w:hAnsi="宋体" w:eastAsia="宋体" w:cs="宋体"/>
                <w:color w:val="000000"/>
                <w:kern w:val="0"/>
                <w:sz w:val="18"/>
                <w:szCs w:val="18"/>
                <w:lang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31261">
            <w:pPr>
              <w:widowControl/>
              <w:jc w:val="center"/>
              <w:textAlignment w:val="center"/>
              <w:rPr>
                <w:rFonts w:hint="eastAsia" w:ascii="宋体" w:hAnsi="宋体" w:eastAsia="宋体" w:cs="宋体"/>
                <w:color w:val="000000"/>
                <w:sz w:val="18"/>
                <w:szCs w:val="18"/>
              </w:rPr>
            </w:pP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50D99">
            <w:pPr>
              <w:widowControl/>
              <w:jc w:val="center"/>
              <w:textAlignment w:val="center"/>
              <w:rPr>
                <w:rFonts w:hint="eastAsia" w:ascii="宋体" w:hAnsi="宋体" w:eastAsia="宋体" w:cs="宋体"/>
                <w:color w:val="000000"/>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771CF">
            <w:pPr>
              <w:widowControl/>
              <w:jc w:val="center"/>
              <w:textAlignment w:val="center"/>
              <w:rPr>
                <w:rFonts w:hint="eastAsia" w:ascii="宋体" w:hAnsi="宋体" w:eastAsia="宋体" w:cs="宋体"/>
                <w:color w:val="000000"/>
                <w:sz w:val="18"/>
                <w:szCs w:val="18"/>
              </w:rPr>
            </w:pPr>
          </w:p>
        </w:tc>
        <w:tc>
          <w:tcPr>
            <w:tcW w:w="549" w:type="pct"/>
            <w:tcBorders>
              <w:top w:val="single" w:color="000000" w:sz="4" w:space="0"/>
              <w:left w:val="single" w:color="000000" w:sz="4" w:space="0"/>
              <w:bottom w:val="single" w:color="000000" w:sz="4" w:space="0"/>
              <w:right w:val="single" w:color="000000" w:sz="4" w:space="0"/>
            </w:tcBorders>
            <w:vAlign w:val="center"/>
          </w:tcPr>
          <w:p w14:paraId="2EB5FA20">
            <w:pPr>
              <w:widowControl/>
              <w:jc w:val="center"/>
              <w:textAlignment w:val="center"/>
              <w:rPr>
                <w:rFonts w:hint="eastAsia" w:ascii="宋体" w:hAnsi="宋体" w:eastAsia="宋体" w:cs="宋体"/>
                <w:color w:val="000000"/>
                <w:sz w:val="18"/>
                <w:szCs w:val="18"/>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164974FF">
            <w:pPr>
              <w:widowControl/>
              <w:jc w:val="center"/>
              <w:textAlignment w:val="center"/>
              <w:rPr>
                <w:rFonts w:hint="eastAsia" w:ascii="宋体" w:hAnsi="宋体" w:eastAsia="宋体" w:cs="宋体"/>
                <w:color w:val="000000"/>
                <w:sz w:val="18"/>
                <w:szCs w:val="18"/>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1B1A062C">
            <w:pPr>
              <w:widowControl/>
              <w:jc w:val="center"/>
              <w:textAlignment w:val="center"/>
              <w:rPr>
                <w:rFonts w:hint="eastAsia" w:ascii="宋体" w:hAnsi="宋体" w:eastAsia="宋体" w:cs="宋体"/>
                <w:color w:val="000000"/>
                <w:kern w:val="0"/>
                <w:sz w:val="18"/>
                <w:szCs w:val="18"/>
                <w:lang w:bidi="ar"/>
              </w:rPr>
            </w:pPr>
          </w:p>
        </w:tc>
      </w:tr>
    </w:tbl>
    <w:p w14:paraId="4930323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1.2 合同含税总价：</w:t>
      </w:r>
      <w:permStart w:id="3" w:edGrp="everyone"/>
      <w:r>
        <w:rPr>
          <w:rFonts w:hint="eastAsia" w:ascii="宋体" w:hAnsi="宋体" w:eastAsia="宋体" w:cs="宋体"/>
          <w:szCs w:val="21"/>
          <w:u w:val="single"/>
        </w:rPr>
        <w:t xml:space="preserve">  </w:t>
      </w:r>
      <w:permEnd w:id="3"/>
      <w:r>
        <w:rPr>
          <w:rFonts w:hint="eastAsia" w:ascii="宋体" w:hAnsi="宋体" w:eastAsia="宋体" w:cs="宋体"/>
          <w:szCs w:val="21"/>
        </w:rPr>
        <w:t>元，不含税总价：</w:t>
      </w:r>
      <w:permStart w:id="4" w:edGrp="everyone"/>
      <w:r>
        <w:rPr>
          <w:rFonts w:hint="eastAsia" w:ascii="宋体" w:hAnsi="宋体" w:eastAsia="宋体" w:cs="宋体"/>
          <w:szCs w:val="21"/>
          <w:u w:val="single"/>
        </w:rPr>
        <w:t xml:space="preserve">   </w:t>
      </w:r>
      <w:permEnd w:id="4"/>
      <w:r>
        <w:rPr>
          <w:rFonts w:hint="eastAsia" w:ascii="宋体" w:hAnsi="宋体" w:eastAsia="宋体" w:cs="宋体"/>
          <w:szCs w:val="21"/>
        </w:rPr>
        <w:t>元，增值税税金</w:t>
      </w:r>
      <w:permStart w:id="5" w:edGrp="everyone"/>
      <w:r>
        <w:rPr>
          <w:rFonts w:hint="eastAsia" w:ascii="宋体" w:hAnsi="宋体" w:eastAsia="宋体" w:cs="宋体"/>
          <w:szCs w:val="21"/>
          <w:u w:val="single"/>
        </w:rPr>
        <w:t xml:space="preserve">  </w:t>
      </w:r>
      <w:permEnd w:id="5"/>
      <w:r>
        <w:rPr>
          <w:rFonts w:hint="eastAsia" w:ascii="宋体" w:hAnsi="宋体" w:eastAsia="宋体" w:cs="宋体"/>
          <w:szCs w:val="21"/>
        </w:rPr>
        <w:t>元。在合同履行期间，如遇国家增值税税率的调整，不含税总价不变，增值税税金相应调整。</w:t>
      </w:r>
    </w:p>
    <w:p w14:paraId="5903F4A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1.3该合同价款为乙方履行完成本合同约定义务的全部费用，包括但不限于货物生产、包装、运输至指定地点、保险、配合验收、资料提供、产品质保及</w:t>
      </w:r>
      <w:permStart w:id="6" w:edGrp="everyone"/>
      <w:permEnd w:id="6"/>
      <w:r>
        <w:rPr>
          <w:rFonts w:hint="eastAsia" w:ascii="宋体" w:hAnsi="宋体" w:eastAsia="宋体" w:cs="宋体"/>
          <w:szCs w:val="21"/>
        </w:rPr>
        <w:t>上表其他补充说明中单独约定的现场装卸、现场保管、安装指导、安装、调试及运行保障、售后服务等所有含税费用，除本合同另有约定外，甲方不再支付乙方任何费用。</w:t>
      </w:r>
    </w:p>
    <w:p w14:paraId="07CE5244">
      <w:pPr>
        <w:pStyle w:val="12"/>
        <w:adjustRightInd w:val="0"/>
        <w:snapToGrid w:val="0"/>
        <w:spacing w:before="156" w:line="360" w:lineRule="auto"/>
        <w:ind w:left="0" w:firstLine="480" w:firstLineChars="200"/>
        <w:jc w:val="left"/>
        <w:outlineLvl w:val="0"/>
        <w:rPr>
          <w:rFonts w:hint="eastAsia" w:ascii="宋体" w:hAnsi="宋体" w:eastAsia="宋体" w:cs="宋体"/>
          <w:sz w:val="24"/>
        </w:rPr>
      </w:pPr>
      <w:r>
        <w:rPr>
          <w:rFonts w:hint="eastAsia" w:ascii="宋体" w:hAnsi="宋体" w:eastAsia="宋体" w:cs="宋体"/>
          <w:sz w:val="24"/>
        </w:rPr>
        <w:t>第二条  技术标准</w:t>
      </w:r>
    </w:p>
    <w:p w14:paraId="11369DC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2.1 本合同下交付的货物应符合招标文件要求达到的标准。如果没有提及适用标准，则应符合货物来源国适用的国家标准、行业标准，这些标准必须是有关机构发布的最新有效版本的标准；若企业标准高于国家、行业标准的，以企业标准为准。若甲方对乙方所提供货物有特殊质量技术要求，还应满足甲方的特殊质量技术要求。</w:t>
      </w:r>
    </w:p>
    <w:p w14:paraId="774F68B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2.2 乙方承诺供应的产品满足生产及使用地所在国家关于设计、生产、销售、包装、标签、安全标准和使用的所有国际和当地的法律、法规，产品用料、生产及使用满足环保及安全的法律法规、第2.1条所述标准要求，生产者、销售者满足相关资质要求，产品已取得全部认证和许可。</w:t>
      </w:r>
    </w:p>
    <w:p w14:paraId="3C70AEF0">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2.3 除非技术规格中另有规定，计量单位均采用中华人民共和国法定计量单位。</w:t>
      </w:r>
    </w:p>
    <w:p w14:paraId="49F3F63E">
      <w:pPr>
        <w:adjustRightInd w:val="0"/>
        <w:snapToGrid w:val="0"/>
        <w:spacing w:before="156" w:beforeLines="50" w:after="156" w:afterLines="50" w:line="360" w:lineRule="auto"/>
        <w:ind w:firstLine="480" w:firstLineChars="200"/>
        <w:jc w:val="left"/>
        <w:rPr>
          <w:rFonts w:hint="eastAsia" w:ascii="宋体" w:hAnsi="宋体" w:eastAsia="宋体" w:cs="宋体"/>
          <w:sz w:val="24"/>
        </w:rPr>
      </w:pPr>
      <w:r>
        <w:rPr>
          <w:rFonts w:hint="eastAsia" w:ascii="宋体" w:hAnsi="宋体" w:eastAsia="宋体" w:cs="宋体"/>
          <w:sz w:val="24"/>
        </w:rPr>
        <w:t>第三条  合同文件和资料的使用</w:t>
      </w:r>
    </w:p>
    <w:p w14:paraId="2F3A862F">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3.1未经甲方事先书面同意，乙方不得将在合同磋商、合同谈判、合同签订及履行过程中获取到甲方或甲方代表提供的有关合同（包括本合同细节）或全部信息、技术方案、图纸、文件等资料以任何形式提供给乙方雇佣于履行本合同以外的其他任何人，除非上述资料是：（1）甲方以书面方式明确注明为非保密性质的信息；（2）公众已经知晓的或通过公开渠道可获得的信息，且不是因为乙方违反保密义务而导致该信息公知公晓的。即使向本合同的雇员提供，也应注意保密并限于履行合同必须的范围。</w:t>
      </w:r>
    </w:p>
    <w:p w14:paraId="733A94DC">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3.2 没有甲方事先书面同意，除了履行本合同之外，乙方不应使用合同条款第3.1条所列举的任何文件和资料。</w:t>
      </w:r>
    </w:p>
    <w:p w14:paraId="296DA952">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3.3 除了合同本身以外，合同条款第3.1条所列举的任何文件是甲方的财产。如果甲方有要求，乙方在完成合同后应将这些文件及全部复制件还给甲方。</w:t>
      </w:r>
    </w:p>
    <w:p w14:paraId="6F0569C1">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3.4 司法、执法、监管机构（简称“有权机关”）或法律法规要求接受乙方披露保密信息的，乙方应在披露前或披露时尽最大努力为被要求披露的保密信息获取保密措施或保密待遇，并将披露范围严格限定在有权机关或法律法规所要求必须披露的范围之内。在法律许可的范围内，乙方应将此事立即书面通知甲方，使甲方有合理机会采取适当的申诉或保护措施。</w:t>
      </w:r>
    </w:p>
    <w:p w14:paraId="3DB70F71">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3.5 本条所述保密义务不因双方权利义务履行完毕或合同解除而终止。</w:t>
      </w:r>
    </w:p>
    <w:p w14:paraId="32D8457B">
      <w:pPr>
        <w:pStyle w:val="12"/>
        <w:adjustRightInd w:val="0"/>
        <w:snapToGrid w:val="0"/>
        <w:spacing w:before="156" w:beforeLines="50" w:after="156" w:afterLines="50" w:line="360" w:lineRule="auto"/>
        <w:ind w:left="0" w:firstLine="480" w:firstLineChars="200"/>
        <w:jc w:val="left"/>
        <w:outlineLvl w:val="0"/>
        <w:rPr>
          <w:rFonts w:hint="eastAsia" w:ascii="宋体" w:hAnsi="宋体" w:eastAsia="宋体" w:cs="宋体"/>
          <w:sz w:val="24"/>
        </w:rPr>
      </w:pPr>
      <w:r>
        <w:rPr>
          <w:rFonts w:hint="eastAsia" w:ascii="宋体" w:hAnsi="宋体" w:eastAsia="宋体" w:cs="宋体"/>
          <w:sz w:val="24"/>
        </w:rPr>
        <w:t>第四条  知识产权</w:t>
      </w:r>
    </w:p>
    <w:p w14:paraId="2DEE5AF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4.1 乙方应保证，甲方或甲方用户在使用该货物或货物的任何一部分时，免受任何第三方提出的侵犯其专利权、商标权、著作权或其他知识产权的起诉或承担任何赔偿责任。乙方应保证所销售的货物来源合法、无任何权利瑕疵，乙方保证在向甲方供应货物前办妥所需的全部资质、许可、备案等手续。</w:t>
      </w:r>
    </w:p>
    <w:p w14:paraId="2C23D8E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4.2 甲方应将任何已经或声称因甲方或甲方用户使用本合同货物和/或技术资料侵犯了任何第三方专利、商标或其他知识产权而进行索赔或诉讼的情形及时通知乙方。</w:t>
      </w:r>
    </w:p>
    <w:p w14:paraId="7644A10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 如果已经或可能发生诉讼或索赔，乙方需积极配合甲方处理随后产生的诉讼、索赔及和解谈判，同时乙方应自费并根据甲方或甲方用户要求采取以下补救措施之一：</w:t>
      </w:r>
    </w:p>
    <w:p w14:paraId="41E19F12">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4.3.1为甲方或甲方用户取得继续使用货物的权利；</w:t>
      </w:r>
    </w:p>
    <w:p w14:paraId="07A04B30">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4.3.2修改货物，消除其侵权部分并确保其仍符合双方合同约定；</w:t>
      </w:r>
    </w:p>
    <w:p w14:paraId="2B711527">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4.3.3使用符合双方合同约定且不侵权的货物进行替换；</w:t>
      </w:r>
    </w:p>
    <w:p w14:paraId="2C45532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4.3.4同意退还侵权的货物，全额退还甲方为此支付的款项，并赔偿甲方或甲方用户因此遭受的全部损失。</w:t>
      </w:r>
    </w:p>
    <w:p w14:paraId="7A94052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4.4 若乙方未能在此类索赔或诉讼中有效保护甲方或甲方用户利益，则甲方或甲方用户有权采取适当的法律措施及合理的开支以维护自身权益，乙方应当对甲方或甲方用户因此而产生的支出包括但不限于赔偿款、违约金、律师费、诉讼费、仲裁费、保全费等全部费用和开支做出补偿，并赔偿甲方和甲方用户因此而遭受的全部损失。</w:t>
      </w:r>
    </w:p>
    <w:p w14:paraId="1B96073A">
      <w:pPr>
        <w:pStyle w:val="12"/>
        <w:adjustRightInd w:val="0"/>
        <w:snapToGrid w:val="0"/>
        <w:spacing w:before="156" w:after="0" w:line="360" w:lineRule="auto"/>
        <w:ind w:left="0" w:firstLine="480" w:firstLineChars="200"/>
        <w:jc w:val="left"/>
        <w:outlineLvl w:val="0"/>
        <w:rPr>
          <w:rFonts w:hint="eastAsia" w:ascii="宋体" w:hAnsi="宋体" w:eastAsia="宋体" w:cs="宋体"/>
          <w:sz w:val="24"/>
        </w:rPr>
      </w:pPr>
      <w:r>
        <w:rPr>
          <w:rFonts w:hint="eastAsia" w:ascii="宋体" w:hAnsi="宋体" w:eastAsia="宋体" w:cs="宋体"/>
          <w:sz w:val="24"/>
        </w:rPr>
        <w:t>第五条  履约担保</w:t>
      </w:r>
    </w:p>
    <w:p w14:paraId="65A00B1E">
      <w:pPr>
        <w:adjustRightInd w:val="0"/>
        <w:snapToGrid w:val="0"/>
        <w:spacing w:line="360" w:lineRule="auto"/>
        <w:ind w:firstLine="450"/>
        <w:jc w:val="left"/>
        <w:rPr>
          <w:rFonts w:hint="eastAsia" w:ascii="宋体" w:hAnsi="宋体" w:eastAsia="宋体" w:cs="宋体"/>
          <w:szCs w:val="21"/>
        </w:rPr>
      </w:pPr>
      <w:permStart w:id="7" w:edGrp="everyone"/>
      <w:r>
        <w:rPr>
          <w:rFonts w:hint="eastAsia" w:ascii="宋体" w:hAnsi="宋体" w:eastAsia="宋体" w:cs="宋体"/>
          <w:szCs w:val="21"/>
        </w:rPr>
        <w:sym w:font="Wingdings" w:char="00FE"/>
      </w:r>
      <w:r>
        <w:rPr>
          <w:rFonts w:hint="eastAsia" w:ascii="宋体" w:hAnsi="宋体" w:eastAsia="宋体" w:cs="宋体"/>
          <w:szCs w:val="21"/>
        </w:rPr>
        <w:t xml:space="preserve"> </w:t>
      </w:r>
      <w:permEnd w:id="7"/>
      <w:r>
        <w:rPr>
          <w:rFonts w:hint="eastAsia" w:ascii="宋体" w:hAnsi="宋体" w:eastAsia="宋体" w:cs="宋体"/>
          <w:szCs w:val="21"/>
        </w:rPr>
        <w:t>乙方无需为本合同提供履约担保；</w:t>
      </w:r>
    </w:p>
    <w:p w14:paraId="47D76FF0">
      <w:pPr>
        <w:adjustRightInd w:val="0"/>
        <w:snapToGrid w:val="0"/>
        <w:spacing w:line="360" w:lineRule="auto"/>
        <w:ind w:firstLine="450"/>
        <w:jc w:val="left"/>
        <w:rPr>
          <w:rFonts w:hint="eastAsia" w:ascii="宋体" w:hAnsi="宋体" w:eastAsia="宋体" w:cs="宋体"/>
          <w:szCs w:val="21"/>
        </w:rPr>
      </w:pPr>
      <w:permStart w:id="8" w:edGrp="everyone"/>
      <w:r>
        <w:rPr>
          <w:rFonts w:hint="eastAsia" w:ascii="宋体" w:hAnsi="宋体" w:eastAsia="宋体" w:cs="宋体"/>
          <w:szCs w:val="21"/>
        </w:rPr>
        <w:t xml:space="preserve">□ </w:t>
      </w:r>
      <w:permEnd w:id="8"/>
      <w:r>
        <w:rPr>
          <w:rFonts w:hint="eastAsia" w:ascii="宋体" w:hAnsi="宋体" w:eastAsia="宋体" w:cs="宋体"/>
          <w:szCs w:val="21"/>
        </w:rPr>
        <w:t>本合同签订后，乙方应提供合同总金额</w:t>
      </w:r>
      <w:permStart w:id="9" w:edGrp="everyone"/>
      <w:r>
        <w:rPr>
          <w:rFonts w:hint="eastAsia" w:ascii="宋体" w:hAnsi="宋体" w:eastAsia="宋体" w:cs="宋体"/>
          <w:szCs w:val="21"/>
          <w:u w:val="single"/>
        </w:rPr>
        <w:t xml:space="preserve"> / </w:t>
      </w:r>
      <w:r>
        <w:rPr>
          <w:rFonts w:hint="eastAsia" w:ascii="宋体" w:hAnsi="宋体" w:eastAsia="宋体" w:cs="宋体"/>
          <w:szCs w:val="21"/>
        </w:rPr>
        <w:t>%</w:t>
      </w:r>
      <w:permEnd w:id="9"/>
      <w:r>
        <w:rPr>
          <w:rFonts w:hint="eastAsia" w:ascii="宋体" w:hAnsi="宋体" w:eastAsia="宋体" w:cs="宋体"/>
          <w:szCs w:val="21"/>
        </w:rPr>
        <w:t>的履约保证金或履约保函，如适用履约保函，则履约保函的担保银行及格式应符合甲方要求。甲方收到符合要求的履约担保并按照本合同第十八条约定履行签字盖章程序后，本合同即产生法律效力。</w:t>
      </w:r>
    </w:p>
    <w:p w14:paraId="2EEE3590">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履约担保是乙方履行合同义务的担保，如乙方未能履行本合同项下的任何义务，甲方有权根据乙方所需承担的违约或赔偿责任扣除相应的履约担保金。</w:t>
      </w:r>
    </w:p>
    <w:p w14:paraId="038993F5">
      <w:pPr>
        <w:pStyle w:val="12"/>
        <w:adjustRightInd w:val="0"/>
        <w:snapToGrid w:val="0"/>
        <w:spacing w:before="156" w:beforeLines="50" w:after="156" w:afterLines="50" w:line="360" w:lineRule="auto"/>
        <w:ind w:left="0" w:firstLine="480" w:firstLineChars="200"/>
        <w:jc w:val="left"/>
        <w:outlineLvl w:val="0"/>
        <w:rPr>
          <w:rFonts w:hint="eastAsia" w:ascii="宋体" w:hAnsi="宋体" w:eastAsia="宋体" w:cs="宋体"/>
          <w:sz w:val="24"/>
        </w:rPr>
      </w:pPr>
      <w:r>
        <w:rPr>
          <w:rFonts w:hint="eastAsia" w:ascii="宋体" w:hAnsi="宋体" w:eastAsia="宋体" w:cs="宋体"/>
          <w:sz w:val="24"/>
        </w:rPr>
        <w:t>第六条  包装和运输</w:t>
      </w:r>
    </w:p>
    <w:p w14:paraId="4FFDCBC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6.1 乙方应当提供货物运至合同规定的最终目的地所需要的满足货物安全运输的包装，以防止货物在转运的过程中损坏或变质。这类包装应采取防潮、防晒、防锈、防腐蚀、防震动及防止其他损坏的必要保护措施，从而保护货物能够经受多次搬运、装卸及远洋和内陆的长途运输。乙方应承担由于其包装或其防护措施不当而引起的货物锈蚀、损坏和丢失的任何损失的责任或费用。对于木质包装材料，应按照中华人民共和国国家质量监督检验检疫总局的规定，对木质包装进行除害处理并加施IPPC专用标识的声明或未使用木质包装的声明，包装物不回收且费用已包含在合同总价中。</w:t>
      </w:r>
    </w:p>
    <w:p w14:paraId="567FB72F">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6.2 如合同货物因包装不善、标记不明、防护措施不当或在合同货物装箱前保管不良，致使合同货物遭到损坏或丢失，乙方应于甲方通知之日起5日内完成更换，并承担由此给甲方造成的一切损失。</w:t>
      </w:r>
    </w:p>
    <w:p w14:paraId="7CA365C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6.3 乙方应负责办理将货物运送至交货地点的一切运输事项，运输、装卸、搬运、保险等相关费用已包含在合同总价中。</w:t>
      </w:r>
    </w:p>
    <w:p w14:paraId="23839B98">
      <w:pPr>
        <w:pStyle w:val="12"/>
        <w:spacing w:before="156"/>
        <w:ind w:left="0" w:firstLine="480" w:firstLineChars="200"/>
        <w:outlineLvl w:val="0"/>
        <w:rPr>
          <w:rFonts w:hint="eastAsia" w:ascii="宋体" w:hAnsi="宋体" w:eastAsia="宋体" w:cs="宋体"/>
          <w:szCs w:val="21"/>
        </w:rPr>
      </w:pPr>
      <w:r>
        <w:rPr>
          <w:rFonts w:hint="eastAsia" w:ascii="宋体" w:hAnsi="宋体" w:eastAsia="宋体" w:cs="宋体"/>
          <w:sz w:val="24"/>
        </w:rPr>
        <w:t>第七条  交货</w:t>
      </w:r>
    </w:p>
    <w:p w14:paraId="0AF4E11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7.1 乙方发货地址：</w:t>
      </w:r>
      <w:permStart w:id="10" w:edGrp="everyone"/>
      <w:r>
        <w:rPr>
          <w:rFonts w:hint="eastAsia" w:ascii="宋体" w:hAnsi="宋体" w:eastAsia="宋体" w:cs="宋体"/>
          <w:szCs w:val="21"/>
          <w:u w:val="single"/>
        </w:rPr>
        <w:t xml:space="preserve">    </w:t>
      </w:r>
      <w:permEnd w:id="10"/>
      <w:r>
        <w:rPr>
          <w:rFonts w:hint="eastAsia" w:ascii="宋体" w:hAnsi="宋体" w:eastAsia="宋体" w:cs="宋体"/>
          <w:szCs w:val="21"/>
        </w:rPr>
        <w:t>。</w:t>
      </w:r>
    </w:p>
    <w:p w14:paraId="6F6B5AF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7.2 甲方指定交货地点：</w:t>
      </w:r>
      <w:permStart w:id="11" w:edGrp="everyone"/>
      <w:r>
        <w:rPr>
          <w:rFonts w:hint="eastAsia" w:ascii="宋体" w:hAnsi="宋体" w:eastAsia="宋体" w:cs="宋体"/>
          <w:szCs w:val="21"/>
          <w:u w:val="single"/>
        </w:rPr>
        <w:t xml:space="preserve">       </w:t>
      </w:r>
      <w:permEnd w:id="11"/>
      <w:r>
        <w:rPr>
          <w:rFonts w:hint="eastAsia" w:ascii="宋体" w:hAnsi="宋体" w:eastAsia="宋体" w:cs="宋体"/>
          <w:szCs w:val="21"/>
        </w:rPr>
        <w:t>（从乙方仓库到本合同所指定的到货地点所发生的一切费用由乙方负责）；甲方指定接收人及联系方式：</w:t>
      </w:r>
      <w:permStart w:id="12" w:edGrp="everyone"/>
      <w:r>
        <w:rPr>
          <w:rFonts w:hint="eastAsia" w:ascii="宋体" w:hAnsi="宋体" w:eastAsia="宋体" w:cs="宋体"/>
          <w:szCs w:val="21"/>
          <w:u w:val="single"/>
        </w:rPr>
        <w:t xml:space="preserve">            </w:t>
      </w:r>
      <w:permEnd w:id="12"/>
      <w:r>
        <w:rPr>
          <w:rFonts w:hint="eastAsia" w:ascii="宋体" w:hAnsi="宋体" w:eastAsia="宋体" w:cs="宋体"/>
          <w:szCs w:val="21"/>
        </w:rPr>
        <w:t>（乙方应于发货前48小时与该货物签收人确认是否发货，以免现场不具备收货条件；如果乙方未与甲方联系人确认是否可以发货而发货，甲方有权拒绝接收货物，由乙方自行承担由此产生的全部费用）。</w:t>
      </w:r>
    </w:p>
    <w:p w14:paraId="048E618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7.3 交货方式及时间：</w:t>
      </w:r>
    </w:p>
    <w:p w14:paraId="653FFB6A">
      <w:pPr>
        <w:adjustRightInd w:val="0"/>
        <w:snapToGrid w:val="0"/>
        <w:spacing w:line="360" w:lineRule="auto"/>
        <w:ind w:firstLine="420" w:firstLineChars="200"/>
        <w:jc w:val="left"/>
        <w:rPr>
          <w:rFonts w:hint="eastAsia" w:ascii="宋体" w:hAnsi="宋体" w:eastAsia="宋体" w:cs="宋体"/>
          <w:szCs w:val="21"/>
        </w:rPr>
      </w:pPr>
      <w:permStart w:id="13" w:edGrp="everyone"/>
      <w:r>
        <w:rPr>
          <w:rFonts w:hint="eastAsia" w:ascii="宋体" w:hAnsi="宋体" w:eastAsia="宋体" w:cs="宋体"/>
          <w:szCs w:val="21"/>
        </w:rPr>
        <w:t>□</w:t>
      </w:r>
      <w:permEnd w:id="13"/>
      <w:r>
        <w:rPr>
          <w:rFonts w:hint="eastAsia" w:ascii="宋体" w:hAnsi="宋体" w:eastAsia="宋体" w:cs="宋体"/>
          <w:szCs w:val="21"/>
        </w:rPr>
        <w:t xml:space="preserve"> </w:t>
      </w:r>
      <w:permStart w:id="14" w:edGrp="everyone"/>
      <w:r>
        <w:rPr>
          <w:rFonts w:hint="eastAsia" w:ascii="宋体" w:hAnsi="宋体" w:eastAsia="宋体" w:cs="宋体"/>
          <w:szCs w:val="21"/>
          <w:u w:val="single"/>
        </w:rPr>
        <w:t xml:space="preserve">        </w:t>
      </w:r>
      <w:permEnd w:id="14"/>
      <w:r>
        <w:rPr>
          <w:rFonts w:hint="eastAsia" w:ascii="宋体" w:hAnsi="宋体" w:eastAsia="宋体" w:cs="宋体"/>
          <w:szCs w:val="21"/>
        </w:rPr>
        <w:t>年</w:t>
      </w:r>
      <w:permStart w:id="15" w:edGrp="everyone"/>
      <w:r>
        <w:rPr>
          <w:rFonts w:hint="eastAsia" w:ascii="宋体" w:hAnsi="宋体" w:eastAsia="宋体" w:cs="宋体"/>
          <w:szCs w:val="21"/>
          <w:u w:val="single"/>
        </w:rPr>
        <w:t xml:space="preserve">    </w:t>
      </w:r>
      <w:permEnd w:id="15"/>
      <w:r>
        <w:rPr>
          <w:rFonts w:hint="eastAsia" w:ascii="宋体" w:hAnsi="宋体" w:eastAsia="宋体" w:cs="宋体"/>
          <w:szCs w:val="21"/>
        </w:rPr>
        <w:t>月</w:t>
      </w:r>
      <w:permStart w:id="16" w:edGrp="everyone"/>
      <w:r>
        <w:rPr>
          <w:rFonts w:hint="eastAsia" w:ascii="宋体" w:hAnsi="宋体" w:eastAsia="宋体" w:cs="宋体"/>
          <w:szCs w:val="21"/>
          <w:u w:val="single"/>
        </w:rPr>
        <w:t xml:space="preserve">    </w:t>
      </w:r>
      <w:permEnd w:id="16"/>
      <w:r>
        <w:rPr>
          <w:rFonts w:hint="eastAsia" w:ascii="宋体" w:hAnsi="宋体" w:eastAsia="宋体" w:cs="宋体"/>
          <w:szCs w:val="21"/>
        </w:rPr>
        <w:t>日前一次性全部交货；</w:t>
      </w:r>
    </w:p>
    <w:p w14:paraId="629CF203">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 xml:space="preserve">    </w:t>
      </w:r>
      <w:permStart w:id="17" w:edGrp="everyone"/>
      <w:r>
        <w:rPr>
          <w:rFonts w:hint="eastAsia" w:ascii="宋体" w:hAnsi="宋体" w:eastAsia="宋体" w:cs="宋体"/>
          <w:szCs w:val="21"/>
        </w:rPr>
        <w:sym w:font="Wingdings" w:char="00FE"/>
      </w:r>
      <w:permEnd w:id="17"/>
      <w:r>
        <w:rPr>
          <w:rFonts w:hint="eastAsia" w:ascii="宋体" w:hAnsi="宋体" w:eastAsia="宋体" w:cs="宋体"/>
          <w:szCs w:val="21"/>
        </w:rPr>
        <w:t xml:space="preserve"> 自本合同签订之日起</w:t>
      </w:r>
      <w:permStart w:id="18" w:edGrp="everyone"/>
      <w:r>
        <w:rPr>
          <w:rFonts w:hint="eastAsia" w:ascii="宋体" w:hAnsi="宋体" w:eastAsia="宋体" w:cs="宋体"/>
          <w:szCs w:val="21"/>
          <w:u w:val="single"/>
        </w:rPr>
        <w:t xml:space="preserve">     </w:t>
      </w:r>
      <w:permEnd w:id="18"/>
      <w:r>
        <w:rPr>
          <w:rFonts w:hint="eastAsia" w:ascii="宋体" w:hAnsi="宋体" w:eastAsia="宋体" w:cs="宋体"/>
          <w:szCs w:val="21"/>
        </w:rPr>
        <w:t>天内交货；</w:t>
      </w:r>
    </w:p>
    <w:p w14:paraId="39FD5B7F">
      <w:pPr>
        <w:adjustRightInd w:val="0"/>
        <w:snapToGrid w:val="0"/>
        <w:spacing w:line="360" w:lineRule="auto"/>
        <w:ind w:firstLine="420" w:firstLineChars="200"/>
        <w:jc w:val="left"/>
        <w:rPr>
          <w:rFonts w:hint="eastAsia" w:ascii="宋体" w:hAnsi="宋体" w:eastAsia="宋体" w:cs="宋体"/>
          <w:szCs w:val="21"/>
        </w:rPr>
      </w:pPr>
      <w:permStart w:id="19" w:edGrp="everyone"/>
      <w:r>
        <w:rPr>
          <w:rFonts w:hint="eastAsia" w:ascii="宋体" w:hAnsi="宋体" w:eastAsia="宋体" w:cs="宋体"/>
          <w:szCs w:val="21"/>
        </w:rPr>
        <w:t>□</w:t>
      </w:r>
      <w:permEnd w:id="19"/>
      <w:r>
        <w:rPr>
          <w:rFonts w:hint="eastAsia" w:ascii="宋体" w:hAnsi="宋体" w:eastAsia="宋体" w:cs="宋体"/>
          <w:szCs w:val="21"/>
        </w:rPr>
        <w:t xml:space="preserve"> 其他交货方式：</w:t>
      </w:r>
      <w:permStart w:id="20" w:edGrp="everyone"/>
      <w:r>
        <w:rPr>
          <w:rFonts w:hint="eastAsia" w:ascii="宋体" w:hAnsi="宋体" w:eastAsia="宋体" w:cs="宋体"/>
          <w:szCs w:val="21"/>
          <w:u w:val="single"/>
        </w:rPr>
        <w:t xml:space="preserve">                                  </w:t>
      </w:r>
      <w:permEnd w:id="20"/>
      <w:r>
        <w:rPr>
          <w:rFonts w:hint="eastAsia" w:ascii="宋体" w:hAnsi="宋体" w:eastAsia="宋体" w:cs="宋体"/>
          <w:szCs w:val="21"/>
        </w:rPr>
        <w:t>；</w:t>
      </w:r>
    </w:p>
    <w:p w14:paraId="47ABDB0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双方一致同意，若甲方或甲方用户工期延期或另有安排，具体交货时间以甲方的书面要货通知为准。</w:t>
      </w:r>
    </w:p>
    <w:p w14:paraId="26FE3E6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7.4 乙方交货时应随货物提交相关附随资料：</w:t>
      </w:r>
    </w:p>
    <w:p w14:paraId="02AC2134">
      <w:pPr>
        <w:adjustRightInd w:val="0"/>
        <w:snapToGrid w:val="0"/>
        <w:spacing w:line="360" w:lineRule="auto"/>
        <w:ind w:firstLine="420" w:firstLineChars="200"/>
        <w:jc w:val="left"/>
        <w:rPr>
          <w:rFonts w:hint="eastAsia" w:ascii="宋体" w:hAnsi="宋体" w:eastAsia="宋体" w:cs="宋体"/>
          <w:szCs w:val="21"/>
        </w:rPr>
      </w:pPr>
      <w:permStart w:id="21" w:edGrp="everyone"/>
      <w:r>
        <w:rPr>
          <w:rFonts w:hint="eastAsia" w:ascii="宋体" w:hAnsi="宋体" w:eastAsia="宋体" w:cs="宋体"/>
          <w:szCs w:val="21"/>
        </w:rPr>
        <w:sym w:font="Wingdings" w:char="00FE"/>
      </w:r>
      <w:r>
        <w:rPr>
          <w:rFonts w:hint="eastAsia" w:ascii="宋体" w:hAnsi="宋体" w:eastAsia="宋体" w:cs="宋体"/>
          <w:szCs w:val="21"/>
        </w:rPr>
        <w:t xml:space="preserve"> </w:t>
      </w:r>
      <w:permEnd w:id="21"/>
      <w:r>
        <w:rPr>
          <w:rFonts w:hint="eastAsia" w:ascii="宋体" w:hAnsi="宋体" w:eastAsia="宋体" w:cs="宋体"/>
          <w:szCs w:val="21"/>
        </w:rPr>
        <w:t>提供设备之产品说明书；</w:t>
      </w:r>
    </w:p>
    <w:p w14:paraId="20827513">
      <w:pPr>
        <w:adjustRightInd w:val="0"/>
        <w:snapToGrid w:val="0"/>
        <w:spacing w:line="360" w:lineRule="auto"/>
        <w:ind w:firstLine="420" w:firstLineChars="200"/>
        <w:jc w:val="left"/>
        <w:rPr>
          <w:rFonts w:hint="eastAsia" w:ascii="宋体" w:hAnsi="宋体" w:eastAsia="宋体" w:cs="宋体"/>
          <w:szCs w:val="21"/>
        </w:rPr>
      </w:pPr>
      <w:permStart w:id="22" w:edGrp="everyone"/>
      <w:r>
        <w:rPr>
          <w:rFonts w:hint="eastAsia" w:ascii="宋体" w:hAnsi="宋体" w:eastAsia="宋体" w:cs="宋体"/>
          <w:szCs w:val="21"/>
        </w:rPr>
        <w:sym w:font="Wingdings" w:char="00FE"/>
      </w:r>
      <w:permEnd w:id="22"/>
      <w:r>
        <w:rPr>
          <w:rFonts w:hint="eastAsia" w:ascii="宋体" w:hAnsi="宋体" w:eastAsia="宋体" w:cs="宋体"/>
          <w:szCs w:val="21"/>
        </w:rPr>
        <w:t xml:space="preserve"> 提供设备原有配件，资料；</w:t>
      </w:r>
    </w:p>
    <w:p w14:paraId="47D221B0">
      <w:pPr>
        <w:adjustRightInd w:val="0"/>
        <w:snapToGrid w:val="0"/>
        <w:spacing w:line="360" w:lineRule="auto"/>
        <w:ind w:firstLine="420" w:firstLineChars="200"/>
        <w:jc w:val="left"/>
        <w:rPr>
          <w:rFonts w:hint="eastAsia" w:ascii="宋体" w:hAnsi="宋体" w:eastAsia="宋体" w:cs="宋体"/>
          <w:szCs w:val="21"/>
        </w:rPr>
      </w:pPr>
      <w:permStart w:id="23" w:edGrp="everyone"/>
      <w:r>
        <w:rPr>
          <w:rFonts w:hint="eastAsia" w:ascii="宋体" w:hAnsi="宋体" w:eastAsia="宋体" w:cs="宋体"/>
          <w:szCs w:val="21"/>
        </w:rPr>
        <w:sym w:font="Wingdings" w:char="00FE"/>
      </w:r>
      <w:r>
        <w:rPr>
          <w:rFonts w:hint="eastAsia" w:ascii="宋体" w:hAnsi="宋体" w:eastAsia="宋体" w:cs="宋体"/>
          <w:szCs w:val="21"/>
        </w:rPr>
        <w:t xml:space="preserve"> </w:t>
      </w:r>
      <w:permEnd w:id="23"/>
      <w:r>
        <w:rPr>
          <w:rFonts w:hint="eastAsia" w:ascii="宋体" w:hAnsi="宋体" w:eastAsia="宋体" w:cs="宋体"/>
          <w:szCs w:val="21"/>
        </w:rPr>
        <w:t>提供该设备的原产地证明、厂家出具的质量合格证明；</w:t>
      </w:r>
    </w:p>
    <w:p w14:paraId="636327DD">
      <w:pPr>
        <w:adjustRightInd w:val="0"/>
        <w:snapToGrid w:val="0"/>
        <w:spacing w:line="360" w:lineRule="auto"/>
        <w:ind w:firstLine="420" w:firstLineChars="200"/>
        <w:jc w:val="left"/>
        <w:rPr>
          <w:rFonts w:hint="eastAsia" w:ascii="宋体" w:hAnsi="宋体" w:eastAsia="宋体" w:cs="宋体"/>
          <w:szCs w:val="21"/>
        </w:rPr>
      </w:pPr>
      <w:permStart w:id="24" w:edGrp="everyone"/>
      <w:r>
        <w:rPr>
          <w:rFonts w:hint="eastAsia" w:ascii="宋体" w:hAnsi="宋体" w:eastAsia="宋体" w:cs="宋体"/>
          <w:szCs w:val="21"/>
        </w:rPr>
        <w:t>□</w:t>
      </w:r>
      <w:permEnd w:id="24"/>
      <w:r>
        <w:rPr>
          <w:rFonts w:hint="eastAsia" w:ascii="宋体" w:hAnsi="宋体" w:eastAsia="宋体" w:cs="宋体"/>
          <w:szCs w:val="21"/>
        </w:rPr>
        <w:t xml:space="preserve"> 提供所有设备、配件的序列号清单，并盖公章确认；</w:t>
      </w:r>
    </w:p>
    <w:p w14:paraId="6DFD3BB3">
      <w:pPr>
        <w:adjustRightInd w:val="0"/>
        <w:snapToGrid w:val="0"/>
        <w:spacing w:line="360" w:lineRule="auto"/>
        <w:ind w:firstLine="420" w:firstLineChars="200"/>
        <w:jc w:val="left"/>
        <w:rPr>
          <w:rFonts w:hint="eastAsia" w:ascii="宋体" w:hAnsi="宋体" w:eastAsia="宋体" w:cs="宋体"/>
          <w:szCs w:val="21"/>
        </w:rPr>
      </w:pPr>
      <w:permStart w:id="25" w:edGrp="everyone"/>
      <w:r>
        <w:rPr>
          <w:rFonts w:hint="eastAsia" w:ascii="宋体" w:hAnsi="宋体" w:eastAsia="宋体" w:cs="宋体"/>
          <w:szCs w:val="21"/>
        </w:rPr>
        <w:t xml:space="preserve">□ </w:t>
      </w:r>
      <w:permEnd w:id="25"/>
      <w:r>
        <w:rPr>
          <w:rFonts w:hint="eastAsia" w:ascii="宋体" w:hAnsi="宋体" w:eastAsia="宋体" w:cs="宋体"/>
          <w:szCs w:val="21"/>
        </w:rPr>
        <w:t>甲方要求的其他资料：</w:t>
      </w:r>
      <w:permStart w:id="26" w:edGrp="everyone"/>
      <w:r>
        <w:rPr>
          <w:rFonts w:hint="eastAsia" w:ascii="宋体" w:hAnsi="宋体" w:eastAsia="宋体" w:cs="宋体"/>
          <w:szCs w:val="21"/>
          <w:u w:val="single"/>
        </w:rPr>
        <w:t xml:space="preserve">                </w:t>
      </w:r>
      <w:r>
        <w:rPr>
          <w:rFonts w:hint="eastAsia" w:ascii="宋体" w:hAnsi="宋体" w:eastAsia="宋体" w:cs="宋体"/>
          <w:szCs w:val="21"/>
        </w:rPr>
        <w:t>；</w:t>
      </w:r>
      <w:permEnd w:id="26"/>
    </w:p>
    <w:p w14:paraId="26E829E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上述资料的交付不能免除乙方在本合同项下的保证义务或其他义务。</w:t>
      </w:r>
    </w:p>
    <w:p w14:paraId="339B6D4A">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7.5 甲方货物接收人的签收不视为货物验收合格，也不视为乙方交付的货物质量合格。</w:t>
      </w:r>
    </w:p>
    <w:p w14:paraId="6CBC6D7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7.6 禁止乙方送货人员携带香烟、火种等易燃易爆物品进入交货地点或在交货地点吸烟。如乙方送货人员在交货地点有以上行为，乙方应向甲方支付当批次送货金额1%的违约金，造成甲方或他方损失的，乙方赔偿全部损失。乙方人员（含乙方外聘服务人员）需遵守收货场所安全管理及卫生防疫制度，如有违反，乙方负连带责任。</w:t>
      </w:r>
    </w:p>
    <w:p w14:paraId="13C0A0A3">
      <w:pPr>
        <w:pStyle w:val="12"/>
        <w:rPr>
          <w:rFonts w:hint="eastAsia" w:ascii="宋体" w:hAnsi="宋体" w:eastAsia="宋体" w:cs="宋体"/>
          <w:szCs w:val="21"/>
        </w:rPr>
      </w:pPr>
      <w:r>
        <w:rPr>
          <w:rFonts w:hint="eastAsia" w:ascii="宋体" w:hAnsi="宋体" w:eastAsia="宋体" w:cs="宋体"/>
          <w:sz w:val="24"/>
        </w:rPr>
        <w:t>第八条  检验和测试</w:t>
      </w:r>
    </w:p>
    <w:p w14:paraId="5FDF536C">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 xml:space="preserve">    8.1 验收方式：</w:t>
      </w:r>
    </w:p>
    <w:p w14:paraId="159037A5">
      <w:pPr>
        <w:adjustRightInd w:val="0"/>
        <w:snapToGrid w:val="0"/>
        <w:spacing w:line="360" w:lineRule="auto"/>
        <w:ind w:firstLine="420" w:firstLineChars="200"/>
        <w:jc w:val="left"/>
        <w:rPr>
          <w:rFonts w:hint="eastAsia" w:ascii="宋体" w:hAnsi="宋体" w:eastAsia="宋体" w:cs="宋体"/>
          <w:szCs w:val="21"/>
        </w:rPr>
      </w:pPr>
      <w:permStart w:id="27" w:edGrp="everyone"/>
      <w:r>
        <w:rPr>
          <w:rFonts w:hint="eastAsia" w:ascii="宋体" w:hAnsi="宋体" w:eastAsia="宋体" w:cs="宋体"/>
          <w:szCs w:val="21"/>
        </w:rPr>
        <w:sym w:font="Wingdings" w:char="00A8"/>
      </w:r>
      <w:permEnd w:id="27"/>
      <w:r>
        <w:rPr>
          <w:rFonts w:hint="eastAsia" w:ascii="宋体" w:hAnsi="宋体" w:eastAsia="宋体" w:cs="宋体"/>
          <w:szCs w:val="21"/>
        </w:rPr>
        <w:t xml:space="preserve"> 乙方按照交货时间将货物运到甲方指定交货地点后，甲方将自行负责组织对货物进行包括但不限于数量、包装、外观、型号、质量等验收工作，以确认货物是否符合合同要求。</w:t>
      </w:r>
    </w:p>
    <w:p w14:paraId="58B36D8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甲方对产品数量、包装、外观、型号等肉眼可判断的方面如有异议，应在签收货物之日起10个工作日内提出异议（甲方对无法通过肉眼识别的隐蔽瑕疵或其他缺陷提出异议的，不受该期限限制），乙方应自收到异议之日起5日内处理完毕。</w:t>
      </w:r>
    </w:p>
    <w:p w14:paraId="767D19BF">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如货物未满足本合同第十条的质量保证条款，甲方有权拒绝接收该货物，同时甲方有权要求乙方在5日内免费更换该货物或对货物进行维修、修复。验收合格的，双方应签署验收合格书面文件，并以此作为验收合格的唯一证明。</w:t>
      </w:r>
    </w:p>
    <w:p w14:paraId="3851A874">
      <w:pPr>
        <w:adjustRightInd w:val="0"/>
        <w:snapToGrid w:val="0"/>
        <w:spacing w:line="360" w:lineRule="auto"/>
        <w:ind w:firstLine="420" w:firstLineChars="200"/>
        <w:jc w:val="left"/>
        <w:rPr>
          <w:rFonts w:hint="eastAsia" w:ascii="宋体" w:hAnsi="宋体" w:eastAsia="宋体" w:cs="宋体"/>
          <w:szCs w:val="21"/>
        </w:rPr>
      </w:pPr>
      <w:permStart w:id="28" w:edGrp="everyone"/>
      <w:r>
        <w:rPr>
          <w:rFonts w:hint="eastAsia" w:ascii="宋体" w:hAnsi="宋体" w:eastAsia="宋体" w:cs="宋体"/>
          <w:szCs w:val="21"/>
        </w:rPr>
        <w:t>☑</w:t>
      </w:r>
      <w:permEnd w:id="28"/>
      <w:r>
        <w:rPr>
          <w:rFonts w:hint="eastAsia" w:ascii="宋体" w:hAnsi="宋体" w:eastAsia="宋体" w:cs="宋体"/>
          <w:szCs w:val="21"/>
        </w:rPr>
        <w:t xml:space="preserve"> 乙方已知悉并认可本合同项下的货物因工程项目现场需要而采购，若甲方用户对货物的验收、安装、调试及试运行另有规定，一切以甲方用户的要求为准，并以甲方用户签署验收合格书面文件作为验收合格的唯一证明。</w:t>
      </w:r>
    </w:p>
    <w:p w14:paraId="2FB82B8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8.2 货物到现场后由乙方负责保管，相关费用已包含在合同金额中，货物保管义务及其毁损、灭失等风险及自甲方或甲方用户验收合格后转移至甲方。</w:t>
      </w:r>
    </w:p>
    <w:p w14:paraId="476BB00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8.3 乙方知悉并认可，甲方或甲方用户对货物验收合格，仍不免除乙方在后续阶段及质保期内应当承担的质量保证责任。</w:t>
      </w:r>
    </w:p>
    <w:p w14:paraId="094C6398">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8.4 甲方在货物到达现场后对货物进行的收货、测试、试运行、验收及必要时拒绝接收货物的权力将不会因为货物在从来源地区启运前通过了甲方或其代表的检验、测试和认可而受限制或放弃。</w:t>
      </w:r>
    </w:p>
    <w:p w14:paraId="5295856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8.5 如甲乙双方对货物质量等问题产生争议，可委托具有相应资质的第三方进行检验，鉴定结果对双方具有约束力。若鉴定结果为不合格，甲方有权要求乙方承担检验鉴定费用并按照合同第十一条约定承担违约责任。货物质量的争议不免除或影响乙方的及时保修或者维修义务。</w:t>
      </w:r>
    </w:p>
    <w:p w14:paraId="4D2B895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乙方需接受并服从甲方或甲方用户的管理与监督。</w:t>
      </w:r>
    </w:p>
    <w:p w14:paraId="1A4004E1">
      <w:pPr>
        <w:pStyle w:val="12"/>
        <w:adjustRightInd w:val="0"/>
        <w:snapToGrid w:val="0"/>
        <w:spacing w:before="156" w:line="360" w:lineRule="auto"/>
        <w:ind w:left="0" w:firstLine="480" w:firstLineChars="200"/>
        <w:jc w:val="left"/>
        <w:outlineLvl w:val="0"/>
        <w:rPr>
          <w:rFonts w:hint="eastAsia" w:ascii="宋体" w:hAnsi="宋体" w:eastAsia="宋体" w:cs="宋体"/>
          <w:sz w:val="24"/>
        </w:rPr>
      </w:pPr>
      <w:r>
        <w:rPr>
          <w:rFonts w:hint="eastAsia" w:ascii="宋体" w:hAnsi="宋体" w:eastAsia="宋体" w:cs="宋体"/>
          <w:sz w:val="24"/>
        </w:rPr>
        <w:t>第九条  付款方式</w:t>
      </w:r>
    </w:p>
    <w:p w14:paraId="2507E968">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9.1 甲方通过</w:t>
      </w:r>
      <w:permStart w:id="29" w:edGrp="everyone"/>
      <w:r>
        <w:rPr>
          <w:rFonts w:hint="eastAsia" w:ascii="宋体" w:hAnsi="宋体" w:eastAsia="宋体" w:cs="宋体"/>
          <w:szCs w:val="21"/>
        </w:rPr>
        <w:sym w:font="Wingdings" w:char="00FE"/>
      </w:r>
      <w:permEnd w:id="29"/>
      <w:r>
        <w:rPr>
          <w:rFonts w:hint="eastAsia" w:ascii="宋体" w:hAnsi="宋体" w:eastAsia="宋体" w:cs="宋体"/>
          <w:szCs w:val="21"/>
        </w:rPr>
        <w:t>银行转账；</w:t>
      </w:r>
      <w:permStart w:id="30" w:edGrp="everyone"/>
      <w:r>
        <w:rPr>
          <w:rFonts w:hint="eastAsia" w:ascii="宋体" w:hAnsi="宋体" w:eastAsia="宋体" w:cs="宋体"/>
          <w:szCs w:val="21"/>
        </w:rPr>
        <w:t>☑</w:t>
      </w:r>
      <w:permEnd w:id="30"/>
      <w:r>
        <w:rPr>
          <w:rFonts w:hint="eastAsia" w:ascii="宋体" w:hAnsi="宋体" w:eastAsia="宋体" w:cs="宋体"/>
          <w:szCs w:val="21"/>
        </w:rPr>
        <w:t>银行承兑汇票；</w:t>
      </w:r>
      <w:permStart w:id="31" w:edGrp="everyone"/>
      <w:r>
        <w:rPr>
          <w:rFonts w:hint="eastAsia" w:ascii="宋体" w:hAnsi="宋体" w:eastAsia="宋体" w:cs="宋体"/>
          <w:szCs w:val="21"/>
        </w:rPr>
        <w:t>☑</w:t>
      </w:r>
      <w:permEnd w:id="31"/>
      <w:r>
        <w:rPr>
          <w:rFonts w:hint="eastAsia" w:ascii="宋体" w:hAnsi="宋体" w:eastAsia="宋体" w:cs="宋体"/>
          <w:szCs w:val="21"/>
        </w:rPr>
        <w:t>其他</w:t>
      </w:r>
      <w:permStart w:id="32" w:edGrp="everyone"/>
      <w:r>
        <w:rPr>
          <w:rFonts w:hint="eastAsia" w:ascii="宋体" w:hAnsi="宋体" w:eastAsia="宋体" w:cs="宋体"/>
          <w:szCs w:val="21"/>
          <w:u w:val="single"/>
        </w:rPr>
        <w:t xml:space="preserve">         </w:t>
      </w:r>
      <w:permEnd w:id="32"/>
      <w:r>
        <w:rPr>
          <w:rFonts w:hint="eastAsia" w:ascii="宋体" w:hAnsi="宋体" w:eastAsia="宋体" w:cs="宋体"/>
          <w:szCs w:val="21"/>
        </w:rPr>
        <w:t>，并按照以下第</w:t>
      </w:r>
      <w:permStart w:id="33" w:edGrp="everyone"/>
      <w:r>
        <w:rPr>
          <w:rFonts w:hint="eastAsia" w:ascii="宋体" w:hAnsi="宋体" w:eastAsia="宋体" w:cs="宋体"/>
          <w:szCs w:val="21"/>
        </w:rPr>
        <w:t xml:space="preserve"> 9.1.2 款约定，向乙方支付合同价款：</w:t>
      </w:r>
      <w:permEnd w:id="33"/>
    </w:p>
    <w:p w14:paraId="3B92011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9.1.1 货到付款：产品设备全部到货经甲方或甲方用户验收合格，甲方在收到乙方提供的发票后</w:t>
      </w:r>
      <w:permStart w:id="34" w:edGrp="everyone"/>
      <w:r>
        <w:rPr>
          <w:rFonts w:hint="eastAsia" w:ascii="宋体" w:hAnsi="宋体" w:eastAsia="宋体" w:cs="宋体"/>
          <w:szCs w:val="21"/>
          <w:u w:val="single"/>
        </w:rPr>
        <w:t xml:space="preserve"> / </w:t>
      </w:r>
      <w:permEnd w:id="34"/>
      <w:r>
        <w:rPr>
          <w:rFonts w:hint="eastAsia" w:ascii="宋体" w:hAnsi="宋体" w:eastAsia="宋体" w:cs="宋体"/>
          <w:szCs w:val="21"/>
        </w:rPr>
        <w:t>个工作日内（以发票签收日期为起算日），甲方向乙方支付合同总金额的</w:t>
      </w:r>
      <w:permStart w:id="35" w:edGrp="everyone"/>
      <w:r>
        <w:rPr>
          <w:rFonts w:hint="eastAsia" w:ascii="宋体" w:hAnsi="宋体" w:eastAsia="宋体" w:cs="宋体"/>
          <w:szCs w:val="21"/>
          <w:u w:val="single"/>
        </w:rPr>
        <w:t xml:space="preserve"> / </w:t>
      </w:r>
      <w:r>
        <w:rPr>
          <w:rFonts w:hint="eastAsia" w:ascii="宋体" w:hAnsi="宋体" w:eastAsia="宋体" w:cs="宋体"/>
          <w:szCs w:val="21"/>
        </w:rPr>
        <w:t>%</w:t>
      </w:r>
      <w:permEnd w:id="35"/>
      <w:r>
        <w:rPr>
          <w:rFonts w:hint="eastAsia" w:ascii="宋体" w:hAnsi="宋体" w:eastAsia="宋体" w:cs="宋体"/>
          <w:szCs w:val="21"/>
        </w:rPr>
        <w:t>，即人民币：</w:t>
      </w:r>
      <w:permStart w:id="36" w:edGrp="everyone"/>
      <w:r>
        <w:rPr>
          <w:rFonts w:hint="eastAsia" w:ascii="宋体" w:hAnsi="宋体" w:eastAsia="宋体" w:cs="宋体"/>
          <w:szCs w:val="21"/>
          <w:u w:val="single"/>
        </w:rPr>
        <w:t xml:space="preserve"> / 元  </w:t>
      </w:r>
      <w:permEnd w:id="36"/>
      <w:r>
        <w:rPr>
          <w:rFonts w:hint="eastAsia" w:ascii="宋体" w:hAnsi="宋体" w:eastAsia="宋体" w:cs="宋体"/>
          <w:szCs w:val="21"/>
        </w:rPr>
        <w:t>；剩余</w:t>
      </w:r>
      <w:permStart w:id="37" w:edGrp="everyone"/>
      <w:r>
        <w:rPr>
          <w:rFonts w:hint="eastAsia" w:ascii="宋体" w:hAnsi="宋体" w:eastAsia="宋体" w:cs="宋体"/>
          <w:szCs w:val="21"/>
          <w:u w:val="single"/>
        </w:rPr>
        <w:t xml:space="preserve">  /  </w:t>
      </w:r>
      <w:permEnd w:id="37"/>
      <w:r>
        <w:rPr>
          <w:rFonts w:hint="eastAsia" w:ascii="宋体" w:hAnsi="宋体" w:eastAsia="宋体" w:cs="宋体"/>
          <w:szCs w:val="21"/>
        </w:rPr>
        <w:t>%作为质保金，甲方在质保期届满后货物无任何质量问题且乙方无任何违约行为的情况下，</w:t>
      </w:r>
      <w:permStart w:id="38" w:edGrp="everyone"/>
      <w:r>
        <w:rPr>
          <w:rFonts w:hint="eastAsia" w:ascii="宋体" w:hAnsi="宋体" w:eastAsia="宋体" w:cs="宋体"/>
          <w:szCs w:val="21"/>
          <w:u w:val="single"/>
        </w:rPr>
        <w:t xml:space="preserve">  / </w:t>
      </w:r>
      <w:permEnd w:id="38"/>
      <w:r>
        <w:rPr>
          <w:rFonts w:hint="eastAsia" w:ascii="宋体" w:hAnsi="宋体" w:eastAsia="宋体" w:cs="宋体"/>
          <w:szCs w:val="21"/>
        </w:rPr>
        <w:t>个工作日内将剩余质保金一次性无息支付；</w:t>
      </w:r>
    </w:p>
    <w:p w14:paraId="6B3FAB2F">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9.1.2 付款方式：</w:t>
      </w:r>
    </w:p>
    <w:p w14:paraId="04972B4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预付款：合同签订后30个工作日内支付合同价的10%作为预付款；</w:t>
      </w:r>
    </w:p>
    <w:p w14:paraId="366315C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到货款：主设备（组件）一次性全部到货后，支付合同价款的40%作为进度款；</w:t>
      </w:r>
    </w:p>
    <w:p w14:paraId="12478A3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并网验收款：工程通过业主方组织的并网验收，实现全容量并网后，甲方向乙方支付30%作为验收款；</w:t>
      </w:r>
    </w:p>
    <w:p w14:paraId="5D8D999F">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投运款：项目竣工验收合格后，经第三方审计公司审计完成后30天内，甲方向乙方支付10%作为结算款；</w:t>
      </w:r>
    </w:p>
    <w:p w14:paraId="1C4B537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质保金：剩余</w:t>
      </w:r>
      <w:r>
        <w:rPr>
          <w:rFonts w:hint="eastAsia" w:ascii="宋体" w:hAnsi="宋体" w:eastAsia="宋体" w:cs="宋体"/>
          <w:szCs w:val="21"/>
          <w:u w:val="single"/>
        </w:rPr>
        <w:t xml:space="preserve"> 10  </w:t>
      </w:r>
      <w:r>
        <w:rPr>
          <w:rFonts w:hint="eastAsia" w:ascii="宋体" w:hAnsi="宋体" w:eastAsia="宋体" w:cs="宋体"/>
          <w:szCs w:val="21"/>
        </w:rPr>
        <w:t>%的作为质保金，待质保期满且无质量问题后于30个工作日内付清（无息支付）。</w:t>
      </w:r>
    </w:p>
    <w:p w14:paraId="10CDA28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上述付款在甲方收到建设方相关预付款后一周内同比例支付给乙方。甲方付款前，乙方须提供合同全额、合法增值税专用发票、支付手续、请款函及相关工程档案资料并送达甲方。甲方收到上述材料</w:t>
      </w:r>
      <w:r>
        <w:rPr>
          <w:rFonts w:hint="eastAsia" w:ascii="宋体" w:hAnsi="宋体" w:eastAsia="宋体" w:cs="宋体"/>
          <w:szCs w:val="21"/>
          <w:u w:val="single"/>
        </w:rPr>
        <w:t xml:space="preserve"> 5 </w:t>
      </w:r>
      <w:r>
        <w:rPr>
          <w:rFonts w:hint="eastAsia" w:ascii="宋体" w:hAnsi="宋体" w:eastAsia="宋体" w:cs="宋体"/>
          <w:szCs w:val="21"/>
        </w:rPr>
        <w:t>个工作日内应向乙方付款。</w:t>
      </w:r>
    </w:p>
    <w:p w14:paraId="3BE09B30">
      <w:pPr>
        <w:adjustRightInd w:val="0"/>
        <w:snapToGrid w:val="0"/>
        <w:spacing w:line="360" w:lineRule="auto"/>
        <w:ind w:firstLine="420" w:firstLineChars="200"/>
        <w:jc w:val="left"/>
        <w:rPr>
          <w:rFonts w:hint="eastAsia" w:ascii="宋体" w:hAnsi="宋体" w:eastAsia="宋体" w:cs="宋体"/>
          <w:color w:val="C00000"/>
          <w:szCs w:val="21"/>
        </w:rPr>
      </w:pPr>
      <w:r>
        <w:rPr>
          <w:rFonts w:hint="eastAsia" w:ascii="宋体" w:hAnsi="宋体" w:eastAsia="宋体" w:cs="宋体"/>
          <w:szCs w:val="21"/>
        </w:rPr>
        <w:t>本条所称工程进度以甲方用户向甲方出具的工程进度确认资料为准。</w:t>
      </w:r>
    </w:p>
    <w:p w14:paraId="32AE563B">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9.1.3 因工程项目现场需要采购本合同项下的货物，甲方在收到甲方用户支付对应款项后</w:t>
      </w:r>
      <w:permStart w:id="39" w:edGrp="everyone"/>
      <w:r>
        <w:rPr>
          <w:rFonts w:hint="eastAsia" w:ascii="宋体" w:hAnsi="宋体" w:eastAsia="宋体" w:cs="宋体"/>
          <w:szCs w:val="21"/>
          <w:u w:val="single"/>
        </w:rPr>
        <w:t xml:space="preserve"> 5 </w:t>
      </w:r>
      <w:permEnd w:id="39"/>
      <w:r>
        <w:rPr>
          <w:rFonts w:hint="eastAsia" w:ascii="宋体" w:hAnsi="宋体" w:eastAsia="宋体" w:cs="宋体"/>
          <w:szCs w:val="21"/>
        </w:rPr>
        <w:t>个工作日内向乙方进行同比例支付；</w:t>
      </w:r>
    </w:p>
    <w:p w14:paraId="652EEE72">
      <w:pPr>
        <w:adjustRightInd w:val="0"/>
        <w:snapToGrid w:val="0"/>
        <w:spacing w:line="360" w:lineRule="auto"/>
        <w:ind w:firstLine="420" w:firstLineChars="200"/>
        <w:jc w:val="left"/>
        <w:rPr>
          <w:rFonts w:hint="eastAsia" w:ascii="宋体" w:hAnsi="宋体" w:eastAsia="宋体" w:cs="宋体"/>
          <w:szCs w:val="21"/>
          <w:u w:val="single"/>
        </w:rPr>
      </w:pPr>
      <w:r>
        <w:rPr>
          <w:rFonts w:hint="eastAsia" w:ascii="宋体" w:hAnsi="宋体" w:eastAsia="宋体" w:cs="宋体"/>
          <w:szCs w:val="21"/>
        </w:rPr>
        <w:t>9.1.4 其他付款方式：</w:t>
      </w:r>
      <w:permStart w:id="40" w:edGrp="everyone"/>
      <w:r>
        <w:rPr>
          <w:rFonts w:hint="eastAsia" w:ascii="宋体" w:hAnsi="宋体" w:eastAsia="宋体" w:cs="宋体"/>
          <w:szCs w:val="21"/>
          <w:u w:val="single"/>
        </w:rPr>
        <w:t xml:space="preserve"> /  </w:t>
      </w:r>
      <w:permEnd w:id="40"/>
      <w:r>
        <w:rPr>
          <w:rFonts w:hint="eastAsia" w:ascii="宋体" w:hAnsi="宋体" w:eastAsia="宋体" w:cs="宋体"/>
          <w:szCs w:val="21"/>
        </w:rPr>
        <w:t>。</w:t>
      </w:r>
    </w:p>
    <w:p w14:paraId="547E838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9.2 以上每次付款，乙方均应当开具税率</w:t>
      </w:r>
      <w:permStart w:id="41" w:edGrp="everyone"/>
      <w:r>
        <w:rPr>
          <w:rFonts w:hint="eastAsia" w:ascii="宋体" w:hAnsi="宋体" w:eastAsia="宋体" w:cs="宋体"/>
          <w:szCs w:val="21"/>
          <w:u w:val="single"/>
        </w:rPr>
        <w:t xml:space="preserve">  硬件13% </w:t>
      </w:r>
      <w:r>
        <w:rPr>
          <w:rFonts w:hint="eastAsia" w:ascii="宋体" w:hAnsi="宋体" w:eastAsia="宋体" w:cs="宋体"/>
          <w:szCs w:val="21"/>
        </w:rPr>
        <w:sym w:font="Wingdings" w:char="00FE"/>
      </w:r>
      <w:permEnd w:id="41"/>
      <w:r>
        <w:rPr>
          <w:rFonts w:hint="eastAsia" w:ascii="宋体" w:hAnsi="宋体" w:eastAsia="宋体" w:cs="宋体"/>
          <w:szCs w:val="21"/>
        </w:rPr>
        <w:t xml:space="preserve">增值税专用发票 </w:t>
      </w:r>
      <w:permStart w:id="42" w:edGrp="everyone"/>
      <w:r>
        <w:rPr>
          <w:rFonts w:hint="eastAsia" w:ascii="宋体" w:hAnsi="宋体" w:eastAsia="宋体" w:cs="宋体"/>
          <w:szCs w:val="21"/>
        </w:rPr>
        <w:t>□</w:t>
      </w:r>
      <w:permEnd w:id="42"/>
      <w:r>
        <w:rPr>
          <w:rFonts w:hint="eastAsia" w:ascii="宋体" w:hAnsi="宋体" w:eastAsia="宋体" w:cs="宋体"/>
          <w:szCs w:val="21"/>
        </w:rPr>
        <w:t xml:space="preserve">增值税普通发票 </w:t>
      </w:r>
      <w:permStart w:id="43" w:edGrp="everyone"/>
      <w:r>
        <w:rPr>
          <w:rFonts w:hint="eastAsia" w:ascii="宋体" w:hAnsi="宋体" w:eastAsia="宋体" w:cs="宋体"/>
          <w:szCs w:val="21"/>
        </w:rPr>
        <w:t>□</w:t>
      </w:r>
      <w:permEnd w:id="43"/>
      <w:r>
        <w:rPr>
          <w:rFonts w:hint="eastAsia" w:ascii="宋体" w:hAnsi="宋体" w:eastAsia="宋体" w:cs="宋体"/>
          <w:szCs w:val="21"/>
        </w:rPr>
        <w:t>其他类型发票：</w:t>
      </w:r>
      <w:permStart w:id="44" w:edGrp="everyone"/>
      <w:r>
        <w:rPr>
          <w:rFonts w:hint="eastAsia" w:ascii="宋体" w:hAnsi="宋体" w:eastAsia="宋体" w:cs="宋体"/>
          <w:szCs w:val="21"/>
          <w:u w:val="single"/>
        </w:rPr>
        <w:t xml:space="preserve">         </w:t>
      </w:r>
      <w:permEnd w:id="44"/>
      <w:r>
        <w:rPr>
          <w:rFonts w:hint="eastAsia" w:ascii="宋体" w:hAnsi="宋体" w:eastAsia="宋体" w:cs="宋体"/>
          <w:szCs w:val="21"/>
          <w:u w:val="single"/>
        </w:rPr>
        <w:t xml:space="preserve"> </w:t>
      </w:r>
      <w:r>
        <w:rPr>
          <w:rFonts w:hint="eastAsia" w:ascii="宋体" w:hAnsi="宋体" w:eastAsia="宋体" w:cs="宋体"/>
          <w:szCs w:val="21"/>
        </w:rPr>
        <w:t>给甲方，付款时间以甲方收到乙方开据发票原件后算起。</w:t>
      </w:r>
    </w:p>
    <w:p w14:paraId="14888C0A">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9.3 乙方未按期提供发票或由于乙方原因造成发票不规范、不合法或涉嫌虚开发票等税务问题，导致甲方增值税无法抵扣的，甲方有权延迟支付当笔款项并不被视为违约，亦无需承担任何违约责任。乙方同意承担由此对甲方造成的一切损失包括但不限于因发票问题导致甲方无法抵扣的税款，需由甲方支付的滞纳金、行政罚款等，同时乙方还应按合同约定继续履行义务，向甲方重新开具发票。</w:t>
      </w:r>
    </w:p>
    <w:p w14:paraId="557125B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9.4 甲方通过转账方式支付的，应在本合同载明乙方账户信息及甲方开票信息：</w:t>
      </w:r>
    </w:p>
    <w:p w14:paraId="70C18FC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9.4.1 甲方开票信息：</w:t>
      </w:r>
    </w:p>
    <w:p w14:paraId="4CB600D7">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公司名称：南京禄口国际机场空港科技有限公司</w:t>
      </w:r>
    </w:p>
    <w:p w14:paraId="7D4B0474">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开户银行：中国银行南京禄口机场支行</w:t>
      </w:r>
    </w:p>
    <w:p w14:paraId="41F6D9DD">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账号：553470001259</w:t>
      </w:r>
    </w:p>
    <w:p w14:paraId="3610D9B7">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纳税人识别号：913200007140930345</w:t>
      </w:r>
    </w:p>
    <w:p w14:paraId="3F7D0092">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电话：025-69820630</w:t>
      </w:r>
    </w:p>
    <w:p w14:paraId="398BB8A2">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注册地址：南京禄口国际机场翔鹰二路9号2号办公楼2楼</w:t>
      </w:r>
    </w:p>
    <w:p w14:paraId="4036DF4A">
      <w:pPr>
        <w:ind w:firstLine="840" w:firstLineChars="400"/>
        <w:rPr>
          <w:rFonts w:hint="eastAsia" w:ascii="宋体" w:hAnsi="宋体" w:eastAsia="宋体" w:cs="宋体"/>
          <w:szCs w:val="21"/>
        </w:rPr>
      </w:pPr>
      <w:r>
        <w:rPr>
          <w:rFonts w:hint="eastAsia" w:ascii="宋体" w:hAnsi="宋体" w:eastAsia="宋体" w:cs="宋体"/>
          <w:szCs w:val="21"/>
        </w:rPr>
        <w:t>发票邮寄地址：</w:t>
      </w:r>
      <w:r>
        <w:rPr>
          <w:rFonts w:hint="eastAsia" w:ascii="宋体" w:hAnsi="宋体" w:eastAsia="宋体" w:cs="宋体"/>
        </w:rPr>
        <w:t>南京市江宁区秣陵街道天元西路199号东部机场集团10楼</w:t>
      </w:r>
    </w:p>
    <w:p w14:paraId="1420FBD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9.4.2 乙方账户信息：</w:t>
      </w:r>
    </w:p>
    <w:p w14:paraId="506943E9">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公司名称：</w:t>
      </w:r>
      <w:permStart w:id="45" w:edGrp="everyone"/>
      <w:r>
        <w:rPr>
          <w:rFonts w:hint="eastAsia" w:ascii="宋体" w:hAnsi="宋体" w:eastAsia="宋体" w:cs="宋体"/>
          <w:szCs w:val="21"/>
          <w:u w:val="single"/>
        </w:rPr>
        <w:t xml:space="preserve">      </w:t>
      </w:r>
      <w:permEnd w:id="45"/>
    </w:p>
    <w:p w14:paraId="715F2A51">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开户行：</w:t>
      </w:r>
      <w:permStart w:id="46" w:edGrp="everyone"/>
      <w:r>
        <w:rPr>
          <w:rFonts w:hint="eastAsia" w:ascii="宋体" w:hAnsi="宋体" w:eastAsia="宋体" w:cs="宋体"/>
          <w:szCs w:val="21"/>
          <w:u w:val="single"/>
        </w:rPr>
        <w:t xml:space="preserve">        </w:t>
      </w:r>
      <w:permEnd w:id="46"/>
    </w:p>
    <w:p w14:paraId="6AE75C1C">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账号：</w:t>
      </w:r>
      <w:permStart w:id="47" w:edGrp="everyone"/>
      <w:r>
        <w:rPr>
          <w:rFonts w:hint="eastAsia" w:ascii="宋体" w:hAnsi="宋体" w:eastAsia="宋体" w:cs="宋体"/>
          <w:szCs w:val="21"/>
          <w:u w:val="single"/>
        </w:rPr>
        <w:t xml:space="preserve">            </w:t>
      </w:r>
      <w:permEnd w:id="47"/>
    </w:p>
    <w:p w14:paraId="48C59396">
      <w:pPr>
        <w:pStyle w:val="12"/>
        <w:adjustRightInd w:val="0"/>
        <w:snapToGrid w:val="0"/>
        <w:spacing w:before="156" w:line="360" w:lineRule="auto"/>
        <w:ind w:left="0" w:firstLine="480" w:firstLineChars="200"/>
        <w:jc w:val="left"/>
        <w:outlineLvl w:val="0"/>
        <w:rPr>
          <w:rFonts w:hint="eastAsia" w:ascii="宋体" w:hAnsi="宋体" w:eastAsia="宋体" w:cs="宋体"/>
          <w:sz w:val="24"/>
        </w:rPr>
      </w:pPr>
      <w:r>
        <w:rPr>
          <w:rFonts w:hint="eastAsia" w:ascii="宋体" w:hAnsi="宋体" w:eastAsia="宋体" w:cs="宋体"/>
          <w:sz w:val="24"/>
        </w:rPr>
        <w:t>第十条  质量保证及售后服务</w:t>
      </w:r>
    </w:p>
    <w:p w14:paraId="5EBBAD3E">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10.1 乙方应保证本合同项下所提供货物及零配件等都必须是原厂出品，与原厂商的相关技术规范和要求相符合，且必须能够得到原厂商的售后维保服务。</w:t>
      </w:r>
    </w:p>
    <w:p w14:paraId="60F215D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10.2 乙方应保证合同项下所提供的货物是全新的、未使用过的，是最新的或目前的型号，除非合同另有规定，货物应含有设计上和材料上的全部最新改进。乙方进一步保证，合同项下提供的全部货物没有设计、材料上或工艺上的缺陷（由于按甲方要求设计或按甲方的规格提供的材料所产生的缺陷除外）或者没有因乙方的行为或疏忽而产生的缺陷，这些缺陷是所供货物在最终目的地国家现行条件下正常使用可能产生的。</w:t>
      </w:r>
    </w:p>
    <w:p w14:paraId="423DA02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10.3 乙方应保证本合同项下所提供货物规格、性能、质量、技术参数等各项指标能够达到甲方要求，货物能够顺利通过检验、安装、调试、试运行、验收及质量保证期等各阶段要求。</w:t>
      </w:r>
    </w:p>
    <w:p w14:paraId="51366624">
      <w:pPr>
        <w:adjustRightInd w:val="0"/>
        <w:snapToGrid w:val="0"/>
        <w:spacing w:line="360" w:lineRule="auto"/>
        <w:ind w:firstLine="420" w:firstLineChars="200"/>
        <w:jc w:val="left"/>
        <w:rPr>
          <w:rFonts w:hint="eastAsia" w:ascii="宋体" w:hAnsi="宋体"/>
          <w:b/>
          <w:bCs/>
          <w:szCs w:val="21"/>
        </w:rPr>
      </w:pPr>
      <w:r>
        <w:rPr>
          <w:rFonts w:hint="eastAsia" w:ascii="宋体" w:hAnsi="宋体"/>
          <w:szCs w:val="21"/>
        </w:rPr>
        <w:t>10.4</w:t>
      </w:r>
      <w:r>
        <w:rPr>
          <w:rFonts w:ascii="宋体" w:hAnsi="宋体"/>
          <w:szCs w:val="21"/>
        </w:rPr>
        <w:t xml:space="preserve"> </w:t>
      </w:r>
      <w:r>
        <w:rPr>
          <w:rFonts w:hint="eastAsia" w:ascii="宋体" w:hAnsi="宋体"/>
          <w:szCs w:val="21"/>
        </w:rPr>
        <w:t>本合同货物</w:t>
      </w:r>
      <w:permStart w:id="48" w:edGrp="everyone"/>
      <w:r>
        <w:rPr>
          <w:rFonts w:ascii="宋体" w:hAnsi="宋体" w:eastAsia="宋体" w:cs="宋体"/>
          <w:szCs w:val="21"/>
        </w:rPr>
        <w:t>充电桩及主机质量保证:缺陷责任期满后乙方需提供充电及主机厂家的5年维护，内容应包含5年内免费提供技术和软件服务、硬件维修或更换服务及服务响应时间等</w:t>
      </w:r>
      <w:r>
        <w:rPr>
          <w:rFonts w:hint="eastAsia" w:ascii="宋体" w:hAnsi="宋体" w:eastAsia="宋体" w:cs="宋体"/>
          <w:szCs w:val="21"/>
        </w:rPr>
        <w:t>，</w:t>
      </w:r>
      <w:permEnd w:id="48"/>
      <w:r>
        <w:rPr>
          <w:rFonts w:hint="eastAsia" w:ascii="宋体" w:hAnsi="宋体"/>
          <w:szCs w:val="21"/>
        </w:rPr>
        <w:t>时间自项目竣工之日起计算；</w:t>
      </w:r>
    </w:p>
    <w:p w14:paraId="2EF948B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10.5 甲方应以书面形式通知乙方在质量保证期内所发现的问题或缺陷。乙方指定专人（姓名：</w:t>
      </w:r>
      <w:permStart w:id="49" w:edGrp="everyone"/>
      <w:r>
        <w:rPr>
          <w:rFonts w:hint="eastAsia" w:ascii="宋体" w:hAnsi="宋体"/>
          <w:szCs w:val="21"/>
        </w:rPr>
        <w:t xml:space="preserve"> 曹经理 </w:t>
      </w:r>
      <w:permEnd w:id="49"/>
      <w:r>
        <w:rPr>
          <w:rFonts w:hint="eastAsia" w:ascii="宋体" w:hAnsi="宋体"/>
          <w:szCs w:val="21"/>
        </w:rPr>
        <w:t>，电话：</w:t>
      </w:r>
      <w:permStart w:id="50" w:edGrp="everyone"/>
      <w:r>
        <w:rPr>
          <w:rFonts w:hint="eastAsia" w:ascii="宋体" w:hAnsi="宋体"/>
          <w:szCs w:val="21"/>
        </w:rPr>
        <w:t xml:space="preserve"> 13914467817 </w:t>
      </w:r>
      <w:permEnd w:id="50"/>
      <w:r>
        <w:rPr>
          <w:rFonts w:hint="eastAsia" w:ascii="宋体" w:hAnsi="宋体"/>
          <w:szCs w:val="21"/>
        </w:rPr>
        <w:t>）负责售后服务联系事宜。</w:t>
      </w:r>
    </w:p>
    <w:p w14:paraId="2C67AC4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10.6 质量保证期内非因甲方原因</w:t>
      </w:r>
      <w:r>
        <w:rPr>
          <w:rFonts w:hint="eastAsia"/>
        </w:rPr>
        <w:t>出现的质量问题或缺陷，乙方自接到甲方电话通知后</w:t>
      </w:r>
      <w:permStart w:id="51" w:edGrp="everyone"/>
      <w:r>
        <w:rPr>
          <w:rFonts w:hint="eastAsia"/>
          <w:u w:val="single"/>
        </w:rPr>
        <w:t xml:space="preserve"> </w:t>
      </w:r>
      <w:r>
        <w:rPr>
          <w:u w:val="single"/>
        </w:rPr>
        <w:t xml:space="preserve"> </w:t>
      </w:r>
      <w:r>
        <w:rPr>
          <w:rFonts w:hint="eastAsia"/>
          <w:u w:val="single"/>
        </w:rPr>
        <w:t>48</w:t>
      </w:r>
      <w:r>
        <w:rPr>
          <w:u w:val="single"/>
        </w:rPr>
        <w:t xml:space="preserve">  </w:t>
      </w:r>
      <w:permEnd w:id="51"/>
      <w:r>
        <w:rPr>
          <w:rFonts w:hint="eastAsia" w:ascii="宋体" w:hAnsi="宋体" w:cs="宋体"/>
        </w:rPr>
        <w:t>小</w:t>
      </w:r>
      <w:r>
        <w:rPr>
          <w:rFonts w:hint="eastAsia"/>
        </w:rPr>
        <w:t>时内派人到达现场免费维修。乙方派遣的维修人员到达现场后</w:t>
      </w:r>
      <w:r>
        <w:rPr>
          <w:rFonts w:hint="eastAsia" w:ascii="宋体" w:hAnsi="宋体" w:cs="宋体"/>
        </w:rPr>
        <w:t>12</w:t>
      </w:r>
      <w:r>
        <w:rPr>
          <w:rFonts w:hint="eastAsia"/>
        </w:rPr>
        <w:t>小时内未修复的，或者经两次修理仍出现故障的，乙方应于</w:t>
      </w:r>
      <w:r>
        <w:rPr>
          <w:rFonts w:hint="eastAsia" w:ascii="宋体" w:hAnsi="宋体" w:cs="宋体"/>
        </w:rPr>
        <w:t>5</w:t>
      </w:r>
      <w:r>
        <w:rPr>
          <w:rFonts w:hint="eastAsia"/>
        </w:rPr>
        <w:t>日内</w:t>
      </w:r>
      <w:r>
        <w:rPr>
          <w:rFonts w:hint="eastAsia" w:ascii="宋体" w:hAnsi="宋体"/>
          <w:szCs w:val="21"/>
        </w:rPr>
        <w:t>用符合合同规定的规格、质量和性能要求的新零件、部件和/或货物来免费更换有缺陷的部分和/或修补缺陷部分，该货物质量保证期自问题或缺陷解决之日起</w:t>
      </w:r>
      <w:r>
        <w:rPr>
          <w:rFonts w:hint="eastAsia"/>
        </w:rPr>
        <w:t>重新起算</w:t>
      </w:r>
      <w:r>
        <w:rPr>
          <w:rFonts w:hint="eastAsia" w:ascii="宋体" w:hAnsi="宋体"/>
          <w:szCs w:val="21"/>
        </w:rPr>
        <w:t>。</w:t>
      </w:r>
    </w:p>
    <w:p w14:paraId="2049468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如果甲方有要求，维修结束后乙方应提交此次质量问题或缺陷的维修报告（内容应包含故障原因、维修过程以及以后的预防措施等）。</w:t>
      </w:r>
    </w:p>
    <w:p w14:paraId="3622C8D6">
      <w:pPr>
        <w:adjustRightInd w:val="0"/>
        <w:snapToGrid w:val="0"/>
        <w:spacing w:line="360" w:lineRule="auto"/>
        <w:ind w:firstLine="420" w:firstLineChars="200"/>
        <w:jc w:val="left"/>
        <w:rPr>
          <w:rFonts w:hint="eastAsia" w:ascii="宋体" w:hAnsi="宋体" w:eastAsia="宋体"/>
          <w:szCs w:val="21"/>
        </w:rPr>
      </w:pPr>
      <w:r>
        <w:rPr>
          <w:rFonts w:hint="eastAsia"/>
        </w:rPr>
        <w:t>因甲方原因而造成的损坏，乙方接到报修电话后</w:t>
      </w:r>
      <w:permStart w:id="52" w:edGrp="everyone"/>
      <w:r>
        <w:rPr>
          <w:rFonts w:hint="eastAsia"/>
          <w:u w:val="single"/>
        </w:rPr>
        <w:t xml:space="preserve"> </w:t>
      </w:r>
      <w:r>
        <w:rPr>
          <w:u w:val="single"/>
        </w:rPr>
        <w:t xml:space="preserve"> </w:t>
      </w:r>
      <w:r>
        <w:rPr>
          <w:rFonts w:hint="eastAsia"/>
          <w:u w:val="single"/>
        </w:rPr>
        <w:t>48</w:t>
      </w:r>
      <w:r>
        <w:rPr>
          <w:u w:val="single"/>
        </w:rPr>
        <w:t xml:space="preserve">  </w:t>
      </w:r>
      <w:permEnd w:id="52"/>
      <w:r>
        <w:rPr>
          <w:rFonts w:hint="eastAsia"/>
        </w:rPr>
        <w:t>小时内到达现场维修，乙方</w:t>
      </w:r>
      <w:r>
        <w:rPr>
          <w:rFonts w:hint="eastAsia" w:ascii="宋体" w:hAnsi="宋体"/>
          <w:szCs w:val="21"/>
        </w:rPr>
        <w:t>仅收取材料成本费用。质保期外，乙方承诺长期提供优惠维修服务。</w:t>
      </w:r>
    </w:p>
    <w:p w14:paraId="6F7F8AE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10.7 乙方应保证在中国境内备有充足的备品备件以满足甲方或甲方用户的维修更换需要（乙方应保证提供的设备的备品备件和易损件在整个工程初步接收证书签发之日起10年内均能易于采购），备件的运输要及时、快捷，配件</w:t>
      </w:r>
      <w:r>
        <w:rPr>
          <w:rFonts w:hint="eastAsia" w:ascii="宋体" w:hAnsi="宋体" w:cs="宋体"/>
        </w:rPr>
        <w:t>3</w:t>
      </w:r>
      <w:r>
        <w:rPr>
          <w:rFonts w:hint="eastAsia"/>
        </w:rPr>
        <w:t>日</w:t>
      </w:r>
      <w:r>
        <w:rPr>
          <w:rFonts w:hint="eastAsia" w:ascii="宋体" w:hAnsi="宋体"/>
          <w:szCs w:val="21"/>
        </w:rPr>
        <w:t>内到达甲方指定地点</w:t>
      </w:r>
      <w:r>
        <w:rPr>
          <w:rFonts w:ascii="宋体" w:hAnsi="宋体"/>
          <w:szCs w:val="21"/>
        </w:rPr>
        <w:t>，</w:t>
      </w:r>
      <w:r>
        <w:rPr>
          <w:rFonts w:hint="eastAsia" w:ascii="宋体" w:hAnsi="宋体"/>
          <w:szCs w:val="21"/>
        </w:rPr>
        <w:t>在保修期内因货物保修所产生的运费由乙方承担</w:t>
      </w:r>
      <w:r>
        <w:rPr>
          <w:rFonts w:ascii="宋体" w:hAnsi="宋体"/>
          <w:szCs w:val="21"/>
        </w:rPr>
        <w:t>。</w:t>
      </w:r>
      <w:r>
        <w:rPr>
          <w:rFonts w:hint="eastAsia" w:ascii="宋体" w:hAnsi="宋体"/>
          <w:szCs w:val="21"/>
        </w:rPr>
        <w:t>在备品备件停止生产的情况下，乙方应事先将要停止生产的计划通知甲方使甲方有足够的时间采购所需的备品备件；在备品备件停止生产后，如果甲方要求，乙方应免费向甲方提供备品备件的生产蓝图、图纸和规格，并附工艺单。</w:t>
      </w:r>
    </w:p>
    <w:p w14:paraId="0B001BCE">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10.8 如果乙方没有履行本合同的质保责任、售后服务义务，甲方有权向第三方进行购买，因此产生的费用由乙方承担。每出现一次违约情形，乙方应按合同总金额的5%向甲方支付违约金。</w:t>
      </w:r>
    </w:p>
    <w:p w14:paraId="1E3772B3">
      <w:pPr>
        <w:adjustRightInd w:val="0"/>
        <w:snapToGrid w:val="0"/>
        <w:spacing w:line="360" w:lineRule="auto"/>
        <w:ind w:firstLine="420" w:firstLineChars="200"/>
        <w:jc w:val="left"/>
        <w:rPr>
          <w:rFonts w:hint="eastAsia" w:ascii="宋体" w:hAnsi="宋体" w:eastAsia="宋体" w:cs="宋体"/>
        </w:rPr>
      </w:pPr>
      <w:r>
        <w:rPr>
          <w:rFonts w:hint="eastAsia" w:ascii="宋体" w:hAnsi="宋体"/>
          <w:szCs w:val="21"/>
        </w:rPr>
        <w:t xml:space="preserve">10.9 </w:t>
      </w:r>
      <w:r>
        <w:rPr>
          <w:rFonts w:hint="eastAsia"/>
        </w:rPr>
        <w:t>乙方承诺由其委托的第三方进行售后服务的，也按第十条的约定履行质保售后服务。乙方对第三方的质保、售后服务承担连带责任。</w:t>
      </w:r>
    </w:p>
    <w:p w14:paraId="5037EDBB">
      <w:pPr>
        <w:pStyle w:val="12"/>
        <w:adjustRightInd w:val="0"/>
        <w:snapToGrid w:val="0"/>
        <w:spacing w:before="156" w:line="360" w:lineRule="auto"/>
        <w:ind w:left="0" w:firstLine="480" w:firstLineChars="200"/>
        <w:jc w:val="left"/>
        <w:outlineLvl w:val="0"/>
        <w:rPr>
          <w:rFonts w:hint="eastAsia" w:ascii="宋体" w:hAnsi="宋体" w:eastAsia="宋体" w:cs="宋体"/>
          <w:sz w:val="24"/>
        </w:rPr>
      </w:pPr>
      <w:r>
        <w:rPr>
          <w:rFonts w:hint="eastAsia" w:ascii="宋体" w:hAnsi="宋体" w:eastAsia="宋体" w:cs="宋体"/>
          <w:sz w:val="24"/>
        </w:rPr>
        <w:t>第十一条  违约责任及索赔</w:t>
      </w:r>
    </w:p>
    <w:p w14:paraId="0CA7FB5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11.1 如果乙方没有按照合同约定的期限足额交货，每逾期一天，乙方应按合同总金额0.5%向甲方支付逾期交货的违约金，违约金计算至乙方履行全部交货义务之日。该违约金不足以弥补甲方因乙方逾期交货而造成实际损失（包括但不限于甲方因此向用户支付的违约金、赔偿款、罚款等）的，乙方还应就不足部分进行赔偿。乙方逾期交货超过15日的，甲方有权解除合同。</w:t>
      </w:r>
    </w:p>
    <w:p w14:paraId="2361513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11.2 乙方在交货时未按合同约定提供相应附随资料、伪造附随资料的，甲方有权要求乙方在3日内补齐或重新提交附随资料。规定期限内乙方仍未交付资料的，甲方有权要求立即解除合同并退还已支付的全部合同款项，并由乙方自行负责将货物清退离场。</w:t>
      </w:r>
    </w:p>
    <w:p w14:paraId="67751E9D">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11.3 乙方交付的货物因不满足第十条质量保证条款，或因各种原因未在甲方或甲方用户规定的时间内通过试运行或验收的，甲方有权择其一或同时选择：</w:t>
      </w:r>
    </w:p>
    <w:p w14:paraId="13246E5D">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11.3.1 要求乙方继续履行合同并对货物进行维修、修复。经维修、修复后仍不满足要求的，应用符合合同约定的规格、质量和性能要求的新零件、部件或货物来更换有缺陷的部分或修补缺陷部分，因此导致逾期交货的，乙方还应当按照本合同第11.1 条承担逾期交货违约金；</w:t>
      </w:r>
    </w:p>
    <w:p w14:paraId="77AAACE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11.3.2 接受现有货物，并根据货物偏差情况、损坏程度决定降低货物价格，乙方应负责赔偿甲方因此所受的实际损失；</w:t>
      </w:r>
    </w:p>
    <w:p w14:paraId="69B78F20">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11.3.3 立即解除本合同并由乙方退还已支付的全部合同款项，乙方承担由此产生的利息、银行手续费、仓储费、装卸费等费用并负责将货物清退离场。</w:t>
      </w:r>
    </w:p>
    <w:p w14:paraId="41FAB8D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11.4 如果乙方提供的货物有缺陷（包括货物本身质量缺陷和因乙方原因造成的货物缺陷），给甲方或任何第三方造成人身、财产损害的，由乙方承担全部赔偿责任，甲方已垫付赔偿费用的有权向乙方追偿。</w:t>
      </w:r>
    </w:p>
    <w:p w14:paraId="4A91A70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11.5乙方未按照合同第三条约定履行保密义务，如合同尚未履行完毕，甲方有权与其解除合同并要求其按照本合同第11.8款约定要求其承担违约责任。</w:t>
      </w:r>
    </w:p>
    <w:p w14:paraId="50C1CE1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11.6 如果甲方认为乙方在本合同的竞争和实施过程中有腐败（是指提供、给予、接受或索取任何有价值的物品来影响甲方在采购过程或合同实施过程中的行为）或欺诈行为（是指为了影响采购过程或合同实施过程而谎报或隐瞒事实，损害甲方利益的行为），甲方有权要求立即解除合同。</w:t>
      </w:r>
    </w:p>
    <w:p w14:paraId="360B858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11.7 乙方有其他违约行为且经甲方提出后仍未改正，甲方有权单方面解除合同。</w:t>
      </w:r>
    </w:p>
    <w:p w14:paraId="730E184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11.8 因乙方存在本合同所述各项违约行为导致甲方决定解除本合同的，乙方均应当按照合同总金额30%向甲方支付违约金。如该违约金不足以弥补甲方因此所受实际损失（包括解除合同后甲方向第三方购买相同或类似货物而产生的额外支出）的，乙方应就不足部分进行赔偿。</w:t>
      </w:r>
    </w:p>
    <w:p w14:paraId="7EC566C0">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11.9甲方为追究乙方违约责任而发生的包括但不限于律师费、诉讼费、保全费、调查取证费、鉴定费、差旅费等均由乙方承担。</w:t>
      </w:r>
    </w:p>
    <w:p w14:paraId="7603DEBD">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11.10甲方有权从尚未支付乙方的货款、应退还乙方的质保金、履约保证金中直接扣除应由乙方承担的违约金、赔偿金及维修费等。</w:t>
      </w:r>
    </w:p>
    <w:p w14:paraId="0D84F6C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11.11 如果甲方未能按合同的要求依时付款，应按逾期付款金额每日万分之一的标准，向乙方支付逾期付款的违约金，但最高不能超过本合同的货物总值的5%。</w:t>
      </w:r>
    </w:p>
    <w:p w14:paraId="40FB8BA7">
      <w:pPr>
        <w:pStyle w:val="12"/>
        <w:adjustRightInd w:val="0"/>
        <w:snapToGrid w:val="0"/>
        <w:spacing w:before="156" w:line="360" w:lineRule="auto"/>
        <w:ind w:left="0" w:firstLine="480" w:firstLineChars="200"/>
        <w:jc w:val="left"/>
        <w:outlineLvl w:val="0"/>
        <w:rPr>
          <w:rFonts w:hint="eastAsia" w:ascii="宋体" w:hAnsi="宋体" w:eastAsia="宋体" w:cs="宋体"/>
          <w:sz w:val="24"/>
        </w:rPr>
      </w:pPr>
      <w:r>
        <w:rPr>
          <w:rFonts w:hint="eastAsia" w:ascii="宋体" w:hAnsi="宋体" w:eastAsia="宋体" w:cs="宋体"/>
          <w:sz w:val="24"/>
        </w:rPr>
        <w:t>第十二条  变更及解除合同</w:t>
      </w:r>
    </w:p>
    <w:p w14:paraId="0D296654">
      <w:pPr>
        <w:pStyle w:val="12"/>
        <w:adjustRightInd w:val="0"/>
        <w:snapToGrid w:val="0"/>
        <w:spacing w:after="0" w:line="360" w:lineRule="auto"/>
        <w:ind w:left="0" w:firstLine="420" w:firstLineChars="200"/>
        <w:jc w:val="left"/>
        <w:outlineLvl w:val="0"/>
        <w:rPr>
          <w:rFonts w:hint="eastAsia" w:ascii="宋体" w:hAnsi="宋体" w:eastAsia="宋体" w:cs="宋体"/>
          <w:szCs w:val="21"/>
        </w:rPr>
      </w:pPr>
      <w:r>
        <w:rPr>
          <w:rFonts w:hint="eastAsia" w:ascii="宋体" w:hAnsi="宋体" w:eastAsia="宋体" w:cs="宋体"/>
          <w:szCs w:val="21"/>
        </w:rPr>
        <w:t>12.1合同履行过程中，甲方有权在任何时候根据实际需要变更下列一项或几项：</w:t>
      </w:r>
    </w:p>
    <w:p w14:paraId="08476422">
      <w:pPr>
        <w:pStyle w:val="12"/>
        <w:numPr>
          <w:ilvl w:val="0"/>
          <w:numId w:val="2"/>
        </w:numPr>
        <w:adjustRightInd w:val="0"/>
        <w:snapToGrid w:val="0"/>
        <w:spacing w:after="0" w:line="360" w:lineRule="auto"/>
        <w:ind w:leftChars="200"/>
        <w:jc w:val="left"/>
        <w:outlineLvl w:val="0"/>
        <w:rPr>
          <w:rFonts w:hint="eastAsia" w:ascii="宋体" w:hAnsi="宋体" w:eastAsia="宋体" w:cs="宋体"/>
          <w:szCs w:val="21"/>
        </w:rPr>
      </w:pPr>
      <w:r>
        <w:rPr>
          <w:rFonts w:hint="eastAsia" w:ascii="宋体" w:hAnsi="宋体" w:eastAsia="宋体" w:cs="宋体"/>
          <w:szCs w:val="21"/>
        </w:rPr>
        <w:t>标的物的规格、型号、参数指标及数量；</w:t>
      </w:r>
    </w:p>
    <w:p w14:paraId="35D927FF">
      <w:pPr>
        <w:pStyle w:val="12"/>
        <w:numPr>
          <w:ilvl w:val="0"/>
          <w:numId w:val="2"/>
        </w:numPr>
        <w:adjustRightInd w:val="0"/>
        <w:snapToGrid w:val="0"/>
        <w:spacing w:after="0" w:line="360" w:lineRule="auto"/>
        <w:ind w:leftChars="200"/>
        <w:jc w:val="left"/>
        <w:outlineLvl w:val="0"/>
        <w:rPr>
          <w:rFonts w:hint="eastAsia" w:ascii="宋体" w:hAnsi="宋体" w:eastAsia="宋体" w:cs="宋体"/>
          <w:szCs w:val="21"/>
        </w:rPr>
      </w:pPr>
      <w:r>
        <w:rPr>
          <w:rFonts w:hint="eastAsia" w:ascii="宋体" w:hAnsi="宋体" w:eastAsia="宋体" w:cs="宋体"/>
          <w:szCs w:val="21"/>
        </w:rPr>
        <w:t>运输或包装方法；</w:t>
      </w:r>
    </w:p>
    <w:p w14:paraId="66E02B97">
      <w:pPr>
        <w:pStyle w:val="12"/>
        <w:numPr>
          <w:ilvl w:val="0"/>
          <w:numId w:val="2"/>
        </w:numPr>
        <w:adjustRightInd w:val="0"/>
        <w:snapToGrid w:val="0"/>
        <w:spacing w:after="0" w:line="360" w:lineRule="auto"/>
        <w:ind w:leftChars="200"/>
        <w:jc w:val="left"/>
        <w:outlineLvl w:val="0"/>
        <w:rPr>
          <w:rFonts w:hint="eastAsia" w:ascii="宋体" w:hAnsi="宋体" w:eastAsia="宋体" w:cs="宋体"/>
          <w:szCs w:val="21"/>
        </w:rPr>
      </w:pPr>
      <w:r>
        <w:rPr>
          <w:rFonts w:hint="eastAsia" w:ascii="宋体" w:hAnsi="宋体" w:eastAsia="宋体" w:cs="宋体"/>
          <w:szCs w:val="21"/>
        </w:rPr>
        <w:t>交货地点；</w:t>
      </w:r>
    </w:p>
    <w:p w14:paraId="40F52469">
      <w:pPr>
        <w:pStyle w:val="12"/>
        <w:numPr>
          <w:ilvl w:val="0"/>
          <w:numId w:val="2"/>
        </w:numPr>
        <w:adjustRightInd w:val="0"/>
        <w:snapToGrid w:val="0"/>
        <w:spacing w:after="0" w:line="360" w:lineRule="auto"/>
        <w:ind w:leftChars="200"/>
        <w:jc w:val="left"/>
        <w:outlineLvl w:val="0"/>
        <w:rPr>
          <w:rFonts w:hint="eastAsia" w:ascii="宋体" w:hAnsi="宋体" w:eastAsia="宋体" w:cs="宋体"/>
          <w:szCs w:val="21"/>
        </w:rPr>
      </w:pPr>
      <w:r>
        <w:rPr>
          <w:rFonts w:hint="eastAsia" w:ascii="宋体" w:hAnsi="宋体" w:eastAsia="宋体" w:cs="宋体"/>
          <w:szCs w:val="21"/>
        </w:rPr>
        <w:t>乙方提供的伴随服务。</w:t>
      </w:r>
    </w:p>
    <w:p w14:paraId="1782A0D8">
      <w:pPr>
        <w:pStyle w:val="12"/>
        <w:adjustRightInd w:val="0"/>
        <w:snapToGrid w:val="0"/>
        <w:spacing w:after="0" w:line="360" w:lineRule="auto"/>
        <w:ind w:left="0" w:firstLine="420" w:firstLineChars="200"/>
        <w:jc w:val="left"/>
        <w:outlineLvl w:val="0"/>
        <w:rPr>
          <w:rFonts w:hint="eastAsia" w:ascii="宋体" w:hAnsi="宋体" w:eastAsia="宋体" w:cs="宋体"/>
          <w:szCs w:val="21"/>
        </w:rPr>
      </w:pPr>
      <w:r>
        <w:rPr>
          <w:rFonts w:hint="eastAsia" w:ascii="宋体" w:hAnsi="宋体" w:eastAsia="宋体" w:cs="宋体"/>
          <w:szCs w:val="21"/>
        </w:rPr>
        <w:t>12.2 因本合同存在未尽事宜或需要对包含第12.1条在内的合同约定事项进行变更的，双方应另行订立书面补充协议，补充协议将作为本合同的必要组成部分。</w:t>
      </w:r>
    </w:p>
    <w:p w14:paraId="09614A00">
      <w:pPr>
        <w:pStyle w:val="12"/>
        <w:adjustRightInd w:val="0"/>
        <w:snapToGrid w:val="0"/>
        <w:spacing w:after="0" w:line="360" w:lineRule="auto"/>
        <w:ind w:left="0" w:firstLine="420" w:firstLineChars="200"/>
        <w:jc w:val="left"/>
        <w:outlineLvl w:val="0"/>
        <w:rPr>
          <w:rFonts w:hint="eastAsia" w:ascii="宋体" w:hAnsi="宋体" w:eastAsia="宋体" w:cs="宋体"/>
          <w:szCs w:val="21"/>
        </w:rPr>
      </w:pPr>
      <w:r>
        <w:rPr>
          <w:rFonts w:hint="eastAsia" w:ascii="宋体" w:hAnsi="宋体" w:eastAsia="宋体" w:cs="宋体"/>
          <w:szCs w:val="21"/>
        </w:rPr>
        <w:t>12.3 合同履行过程中，甲方有权因政策或环境变化因素、业务需求变化等原因提前解除合同，但应提前通知乙方。合同解除后，尚未履行的部分甲乙双方不再履行；对于甲方已支付费用但乙方尚未开始或尚未完成的工作，乙方应按照尚未开始或尚未完成部分占甲方已支付费用而应当完成的全部工作的比例，退还甲方已支付的费用；对于乙方已完成但甲方未支付相应费用的，甲方应按照已开发完成部分的比例支付乙方相应费用。</w:t>
      </w:r>
    </w:p>
    <w:p w14:paraId="74609912">
      <w:pPr>
        <w:pStyle w:val="12"/>
        <w:adjustRightInd w:val="0"/>
        <w:snapToGrid w:val="0"/>
        <w:spacing w:before="156" w:line="360" w:lineRule="auto"/>
        <w:ind w:left="0" w:firstLine="480" w:firstLineChars="200"/>
        <w:jc w:val="left"/>
        <w:outlineLvl w:val="0"/>
        <w:rPr>
          <w:rFonts w:hint="eastAsia" w:ascii="宋体" w:hAnsi="宋体" w:eastAsia="宋体" w:cs="宋体"/>
          <w:sz w:val="24"/>
        </w:rPr>
      </w:pPr>
      <w:r>
        <w:rPr>
          <w:rFonts w:hint="eastAsia" w:ascii="宋体" w:hAnsi="宋体" w:eastAsia="宋体" w:cs="宋体"/>
          <w:sz w:val="24"/>
        </w:rPr>
        <w:t>第十三条  转让</w:t>
      </w:r>
    </w:p>
    <w:p w14:paraId="38DD34C9">
      <w:pPr>
        <w:adjustRightInd w:val="0"/>
        <w:snapToGrid w:val="0"/>
        <w:spacing w:line="360" w:lineRule="auto"/>
        <w:ind w:left="420" w:leftChars="200"/>
        <w:jc w:val="left"/>
        <w:rPr>
          <w:rFonts w:hint="eastAsia" w:ascii="宋体" w:hAnsi="宋体" w:eastAsia="宋体" w:cs="宋体"/>
          <w:szCs w:val="21"/>
        </w:rPr>
      </w:pPr>
      <w:r>
        <w:rPr>
          <w:rFonts w:hint="eastAsia" w:ascii="宋体" w:hAnsi="宋体" w:eastAsia="宋体" w:cs="宋体"/>
          <w:szCs w:val="21"/>
        </w:rPr>
        <w:t>未经甲方事先书面同意，乙方不得部分转让或全部转让其应履行的各项合同义务。</w:t>
      </w:r>
    </w:p>
    <w:p w14:paraId="193ED691">
      <w:pPr>
        <w:pStyle w:val="12"/>
        <w:adjustRightInd w:val="0"/>
        <w:snapToGrid w:val="0"/>
        <w:spacing w:before="156" w:line="360" w:lineRule="auto"/>
        <w:ind w:left="0" w:firstLine="480" w:firstLineChars="200"/>
        <w:jc w:val="left"/>
        <w:outlineLvl w:val="0"/>
        <w:rPr>
          <w:rFonts w:hint="eastAsia" w:ascii="宋体" w:hAnsi="宋体" w:eastAsia="宋体" w:cs="宋体"/>
          <w:sz w:val="24"/>
        </w:rPr>
      </w:pPr>
      <w:r>
        <w:rPr>
          <w:rFonts w:hint="eastAsia" w:ascii="宋体" w:hAnsi="宋体" w:eastAsia="宋体" w:cs="宋体"/>
          <w:sz w:val="24"/>
        </w:rPr>
        <w:t>第十四条  不可抗力</w:t>
      </w:r>
    </w:p>
    <w:p w14:paraId="1ABA407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14.1 签约双方任何一方由于不可抗力事件的影响而导致双方合同约定事项推迟履行或无法履行时，根据不可抗力的影响，可部分或全部免除责任，但法律另有规定除外。不可抗力事件系指甲乙双方在缔结合同时所不能遇见的，并且它的发生及其后果是无法避免和无法克服的事件，诸如天灾、暴动、战争、禁运以及其他双方同意并认定的不可抗力事件。受不可抗力事件影响一方应在不可抗力事件发生后尽快用电报、传真或电传通知对方，并于事件发生后14日内将有关当局出具的证明文件用特快专递或挂号信寄给对方审阅确认，否则应承担因此造成的扩大损失。</w:t>
      </w:r>
    </w:p>
    <w:p w14:paraId="7647A2CA">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14.2 不可抗力事件发生时，双方有责任尽一切合理的努力消除或减轻此等不可抗力事件的影响。</w:t>
      </w:r>
    </w:p>
    <w:p w14:paraId="353D1AD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14.3 不可抗力事件发生后，双方应立即通过友好协商就合同是否履行、解除事宜进行协商。</w:t>
      </w:r>
    </w:p>
    <w:p w14:paraId="043C775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14.4 不可抗力事件发生后，若乙方不愿友好协商，甲方可根据自身情况有权立即解除合同。</w:t>
      </w:r>
    </w:p>
    <w:p w14:paraId="1EBA088A">
      <w:pPr>
        <w:numPr>
          <w:ilvl w:val="1"/>
          <w:numId w:val="0"/>
        </w:numPr>
        <w:adjustRightInd w:val="0"/>
        <w:snapToGrid w:val="0"/>
        <w:spacing w:line="360" w:lineRule="auto"/>
        <w:ind w:left="852" w:hanging="432"/>
        <w:jc w:val="left"/>
        <w:rPr>
          <w:rFonts w:hint="eastAsia" w:ascii="宋体" w:hAnsi="宋体" w:eastAsia="宋体" w:cs="宋体"/>
          <w:sz w:val="24"/>
        </w:rPr>
      </w:pPr>
      <w:r>
        <w:rPr>
          <w:rFonts w:hint="eastAsia" w:ascii="宋体" w:hAnsi="宋体" w:eastAsia="宋体" w:cs="宋体"/>
        </w:rPr>
        <w:t>14.5</w:t>
      </w:r>
      <w:r>
        <w:rPr>
          <w:rFonts w:hint="eastAsia" w:ascii="宋体" w:hAnsi="宋体" w:eastAsia="宋体" w:cs="宋体"/>
          <w:szCs w:val="21"/>
        </w:rPr>
        <w:t xml:space="preserve"> 声明受不可抗力事件影响的一方应在不可抗力事件结束后立即以书面方式告知另一方。</w:t>
      </w:r>
    </w:p>
    <w:p w14:paraId="61E64CC1">
      <w:pPr>
        <w:pStyle w:val="12"/>
        <w:adjustRightInd w:val="0"/>
        <w:snapToGrid w:val="0"/>
        <w:spacing w:before="156" w:line="360" w:lineRule="auto"/>
        <w:ind w:left="0" w:firstLine="480" w:firstLineChars="200"/>
        <w:jc w:val="left"/>
        <w:outlineLvl w:val="0"/>
        <w:rPr>
          <w:rFonts w:hint="eastAsia" w:ascii="宋体" w:hAnsi="宋体" w:eastAsia="宋体" w:cs="宋体"/>
          <w:sz w:val="24"/>
        </w:rPr>
      </w:pPr>
      <w:r>
        <w:rPr>
          <w:rFonts w:hint="eastAsia" w:ascii="宋体" w:hAnsi="宋体" w:eastAsia="宋体" w:cs="宋体"/>
          <w:sz w:val="24"/>
        </w:rPr>
        <w:t>第十五条  因破产而终止合同</w:t>
      </w:r>
    </w:p>
    <w:p w14:paraId="5B1B71E9">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如果乙方破产或无清偿能力，甲方可在任何时候以书面形式通知乙方终止合同而不给予任何补偿，本合同的终止将不损害或影响甲方已经采取或将要采取的任何行动或补救措施的权力。</w:t>
      </w:r>
    </w:p>
    <w:p w14:paraId="46EDE3C4">
      <w:pPr>
        <w:pStyle w:val="12"/>
        <w:adjustRightInd w:val="0"/>
        <w:snapToGrid w:val="0"/>
        <w:spacing w:before="156" w:line="360" w:lineRule="auto"/>
        <w:ind w:left="0" w:firstLine="480" w:firstLineChars="200"/>
        <w:jc w:val="left"/>
        <w:outlineLvl w:val="0"/>
        <w:rPr>
          <w:rFonts w:hint="eastAsia" w:ascii="宋体" w:hAnsi="宋体" w:eastAsia="宋体" w:cs="宋体"/>
          <w:sz w:val="24"/>
        </w:rPr>
      </w:pPr>
      <w:r>
        <w:rPr>
          <w:rFonts w:hint="eastAsia" w:ascii="宋体" w:hAnsi="宋体" w:eastAsia="宋体" w:cs="宋体"/>
          <w:sz w:val="24"/>
        </w:rPr>
        <w:t>第十六条  适用法律及争议解决方式</w:t>
      </w:r>
    </w:p>
    <w:p w14:paraId="2F47B42A">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16.1 本合同应按照中华人民共和国的法律进行解释。</w:t>
      </w:r>
    </w:p>
    <w:p w14:paraId="6CD7808D">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16.2 双方因签订及履行本合同而产生的争议及纠纷，双方应友好协商解决。经协商无法达成一致，任何一方均有权向甲方住所地人民法院提起诉讼。</w:t>
      </w:r>
    </w:p>
    <w:p w14:paraId="226BA480">
      <w:pPr>
        <w:adjustRightInd w:val="0"/>
        <w:snapToGrid w:val="0"/>
        <w:spacing w:line="360" w:lineRule="auto"/>
        <w:ind w:firstLine="420" w:firstLineChars="200"/>
        <w:jc w:val="left"/>
        <w:rPr>
          <w:rFonts w:hint="eastAsia" w:ascii="宋体" w:hAnsi="宋体" w:eastAsia="宋体" w:cs="宋体"/>
          <w:sz w:val="24"/>
        </w:rPr>
      </w:pPr>
      <w:r>
        <w:rPr>
          <w:rFonts w:hint="eastAsia" w:ascii="宋体" w:hAnsi="宋体" w:eastAsia="宋体" w:cs="宋体"/>
          <w:szCs w:val="21"/>
        </w:rPr>
        <w:t>16.3 在诉讼期间，除因存在争议正在进行诉讼的部分外，甲方有权要求乙方对本合同其它部分继续履行。</w:t>
      </w:r>
    </w:p>
    <w:p w14:paraId="16927EF8">
      <w:pPr>
        <w:pStyle w:val="12"/>
        <w:adjustRightInd w:val="0"/>
        <w:snapToGrid w:val="0"/>
        <w:spacing w:before="156" w:line="360" w:lineRule="auto"/>
        <w:ind w:left="0" w:firstLine="480" w:firstLineChars="200"/>
        <w:jc w:val="left"/>
        <w:outlineLvl w:val="0"/>
        <w:rPr>
          <w:rFonts w:hint="eastAsia" w:ascii="宋体" w:hAnsi="宋体" w:eastAsia="宋体" w:cs="宋体"/>
          <w:sz w:val="24"/>
        </w:rPr>
      </w:pPr>
      <w:r>
        <w:rPr>
          <w:rFonts w:hint="eastAsia" w:ascii="宋体" w:hAnsi="宋体" w:eastAsia="宋体" w:cs="宋体"/>
          <w:sz w:val="24"/>
        </w:rPr>
        <w:t>第十七条  通知及送达</w:t>
      </w:r>
    </w:p>
    <w:p w14:paraId="0D1DB9FA">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17.1 甲乙双方在本合同签署页注明的地址、邮箱、传真为可以送达文件的合法有效的地址、邮箱、传真，合同履行过程中需向对方发出的通知、函件等均应以书面形式通知对方，否则由未履行通知义务方承担全部不利后果。</w:t>
      </w:r>
    </w:p>
    <w:p w14:paraId="4874630B">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17.2双方同意，寄送方式发出的文件自寄送之日起届满7天视为送达。任何一方不得拒绝签收对方邮寄的文件，因拒绝签收导致邮寄文件被退回的，视为发送方已送达。</w:t>
      </w:r>
    </w:p>
    <w:p w14:paraId="340871D1">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17.3甲乙双方任何一方需变更前述联系方式的，均应以书面形式，在变更发生后的</w:t>
      </w:r>
      <w:r>
        <w:rPr>
          <w:rFonts w:hint="eastAsia" w:ascii="宋体" w:hAnsi="宋体" w:eastAsia="宋体" w:cs="宋体"/>
          <w:u w:val="single"/>
        </w:rPr>
        <w:t>3</w:t>
      </w:r>
      <w:r>
        <w:rPr>
          <w:rFonts w:hint="eastAsia" w:ascii="宋体" w:hAnsi="宋体" w:eastAsia="宋体" w:cs="宋体"/>
        </w:rPr>
        <w:t>个工作日通知对方。变更一方未发出变更通知，或另一方在实际收到变更通知前已发出通知的，如另一方系按照原联系方式发出通知，即视为已履行通知义务，由此造成的损失概由变更一方承担。</w:t>
      </w:r>
    </w:p>
    <w:p w14:paraId="43032A14">
      <w:pPr>
        <w:pStyle w:val="12"/>
        <w:adjustRightInd w:val="0"/>
        <w:snapToGrid w:val="0"/>
        <w:spacing w:before="156" w:line="360" w:lineRule="auto"/>
        <w:ind w:left="0" w:firstLine="480" w:firstLineChars="200"/>
        <w:jc w:val="left"/>
        <w:outlineLvl w:val="0"/>
        <w:rPr>
          <w:rFonts w:hint="eastAsia" w:ascii="宋体" w:hAnsi="宋体" w:eastAsia="宋体" w:cs="宋体"/>
          <w:sz w:val="24"/>
        </w:rPr>
      </w:pPr>
      <w:r>
        <w:rPr>
          <w:rFonts w:hint="eastAsia" w:ascii="宋体" w:hAnsi="宋体" w:eastAsia="宋体" w:cs="宋体"/>
          <w:sz w:val="24"/>
        </w:rPr>
        <w:t>第十八条  合同生效及其他</w:t>
      </w:r>
    </w:p>
    <w:p w14:paraId="6B722238">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18.1本合同经双方法定代表或其授权代表签字并加盖公章（或合同专用章）后生效。</w:t>
      </w:r>
    </w:p>
    <w:p w14:paraId="1497C03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18.2 本合同随附合同附件（如有）为本合同不可分割的部分，并与本合同具有同等法律效力。</w:t>
      </w:r>
    </w:p>
    <w:p w14:paraId="1CB50FC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18.3 如果本合同的任何条款被司法机关或其他有权机关宣布无效、非法或其他形式的不可执行，本合同其他条款仍然有效，双方均应遵照执行。</w:t>
      </w:r>
    </w:p>
    <w:p w14:paraId="692A7E42">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18.4 合同一式</w:t>
      </w:r>
      <w:permStart w:id="53" w:edGrp="everyone"/>
      <w:r>
        <w:rPr>
          <w:rFonts w:hint="eastAsia" w:ascii="宋体" w:hAnsi="宋体" w:eastAsia="宋体" w:cs="宋体"/>
          <w:szCs w:val="21"/>
          <w:u w:val="single"/>
        </w:rPr>
        <w:t xml:space="preserve"> 肆 </w:t>
      </w:r>
      <w:permEnd w:id="53"/>
      <w:r>
        <w:rPr>
          <w:rFonts w:hint="eastAsia" w:ascii="宋体" w:hAnsi="宋体" w:eastAsia="宋体" w:cs="宋体"/>
          <w:szCs w:val="21"/>
        </w:rPr>
        <w:t>份，甲方执</w:t>
      </w:r>
      <w:permStart w:id="54" w:edGrp="everyone"/>
      <w:r>
        <w:rPr>
          <w:rFonts w:hint="eastAsia" w:ascii="宋体" w:hAnsi="宋体" w:eastAsia="宋体" w:cs="宋体"/>
          <w:szCs w:val="21"/>
          <w:u w:val="single"/>
        </w:rPr>
        <w:t xml:space="preserve"> 贰 </w:t>
      </w:r>
      <w:permEnd w:id="54"/>
      <w:r>
        <w:rPr>
          <w:rFonts w:hint="eastAsia" w:ascii="宋体" w:hAnsi="宋体" w:eastAsia="宋体" w:cs="宋体"/>
          <w:szCs w:val="21"/>
        </w:rPr>
        <w:t>份，乙方执</w:t>
      </w:r>
      <w:permStart w:id="55" w:edGrp="everyone"/>
      <w:r>
        <w:rPr>
          <w:rFonts w:hint="eastAsia" w:ascii="宋体" w:hAnsi="宋体" w:eastAsia="宋体" w:cs="宋体"/>
          <w:szCs w:val="21"/>
          <w:u w:val="single"/>
        </w:rPr>
        <w:t xml:space="preserve"> 贰 </w:t>
      </w:r>
      <w:permEnd w:id="55"/>
      <w:r>
        <w:rPr>
          <w:rFonts w:hint="eastAsia" w:ascii="宋体" w:hAnsi="宋体" w:eastAsia="宋体" w:cs="宋体"/>
          <w:szCs w:val="21"/>
        </w:rPr>
        <w:t xml:space="preserve">份，每份具有同等法律效力。 </w:t>
      </w:r>
    </w:p>
    <w:p w14:paraId="1E3AA2B0">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（以下无正文）</w:t>
      </w:r>
    </w:p>
    <w:tbl>
      <w:tblPr>
        <w:tblStyle w:val="19"/>
        <w:tblW w:w="8964" w:type="dxa"/>
        <w:tblInd w:w="0" w:type="dxa"/>
        <w:tblLayout w:type="fixed"/>
        <w:tblCellMar>
          <w:top w:w="0" w:type="dxa"/>
          <w:left w:w="108" w:type="dxa"/>
          <w:bottom w:w="0" w:type="dxa"/>
          <w:right w:w="108" w:type="dxa"/>
        </w:tblCellMar>
      </w:tblPr>
      <w:tblGrid>
        <w:gridCol w:w="1164"/>
        <w:gridCol w:w="3420"/>
        <w:gridCol w:w="1455"/>
        <w:gridCol w:w="2925"/>
      </w:tblGrid>
      <w:tr w14:paraId="7FF726F1">
        <w:tblPrEx>
          <w:tblCellMar>
            <w:top w:w="0" w:type="dxa"/>
            <w:left w:w="108" w:type="dxa"/>
            <w:bottom w:w="0" w:type="dxa"/>
            <w:right w:w="108" w:type="dxa"/>
          </w:tblCellMar>
        </w:tblPrEx>
        <w:trPr>
          <w:trHeight w:val="567" w:hRule="atLeast"/>
        </w:trPr>
        <w:tc>
          <w:tcPr>
            <w:tcW w:w="1164" w:type="dxa"/>
          </w:tcPr>
          <w:p w14:paraId="4A800551">
            <w:pPr>
              <w:pStyle w:val="17"/>
              <w:adjustRightInd w:val="0"/>
              <w:snapToGrid w:val="0"/>
              <w:rPr>
                <w:rFonts w:hint="eastAsia" w:ascii="宋体" w:hAnsi="宋体" w:eastAsia="宋体" w:cs="宋体"/>
                <w:sz w:val="21"/>
                <w:szCs w:val="21"/>
              </w:rPr>
            </w:pPr>
            <w:permStart w:id="56" w:edGrp="everyone" w:colFirst="2" w:colLast="2"/>
            <w:permStart w:id="57" w:edGrp="everyone" w:colFirst="3" w:colLast="3"/>
            <w:r>
              <w:rPr>
                <w:rFonts w:hint="eastAsia" w:ascii="宋体" w:hAnsi="宋体" w:eastAsia="宋体" w:cs="宋体"/>
                <w:sz w:val="21"/>
                <w:szCs w:val="21"/>
              </w:rPr>
              <w:t>甲方名称：</w:t>
            </w:r>
          </w:p>
        </w:tc>
        <w:tc>
          <w:tcPr>
            <w:tcW w:w="3420" w:type="dxa"/>
          </w:tcPr>
          <w:p w14:paraId="2C58C3ED">
            <w:pPr>
              <w:pStyle w:val="17"/>
              <w:adjustRightInd w:val="0"/>
              <w:snapToGrid w:val="0"/>
              <w:rPr>
                <w:rFonts w:hint="eastAsia" w:ascii="宋体" w:hAnsi="宋体" w:eastAsia="宋体" w:cs="宋体"/>
                <w:sz w:val="21"/>
                <w:szCs w:val="21"/>
              </w:rPr>
            </w:pPr>
            <w:r>
              <w:rPr>
                <w:rFonts w:hint="eastAsia" w:ascii="宋体" w:hAnsi="宋体" w:eastAsia="宋体" w:cs="宋体"/>
                <w:sz w:val="21"/>
                <w:szCs w:val="21"/>
              </w:rPr>
              <w:t>南京禄口国际机场空港科技有限公司</w:t>
            </w:r>
          </w:p>
        </w:tc>
        <w:tc>
          <w:tcPr>
            <w:tcW w:w="1455" w:type="dxa"/>
          </w:tcPr>
          <w:p w14:paraId="64612A38">
            <w:pPr>
              <w:pStyle w:val="17"/>
              <w:adjustRightInd w:val="0"/>
              <w:snapToGrid w:val="0"/>
              <w:rPr>
                <w:rFonts w:hint="eastAsia" w:ascii="宋体" w:hAnsi="宋体" w:eastAsia="宋体" w:cs="宋体"/>
                <w:sz w:val="21"/>
                <w:szCs w:val="21"/>
              </w:rPr>
            </w:pPr>
            <w:r>
              <w:rPr>
                <w:rFonts w:hint="eastAsia" w:ascii="宋体" w:hAnsi="宋体" w:eastAsia="宋体" w:cs="宋体"/>
                <w:sz w:val="21"/>
                <w:szCs w:val="21"/>
              </w:rPr>
              <w:t>乙方名称：</w:t>
            </w:r>
          </w:p>
        </w:tc>
        <w:tc>
          <w:tcPr>
            <w:tcW w:w="2925" w:type="dxa"/>
          </w:tcPr>
          <w:p w14:paraId="7E9D9F59">
            <w:pPr>
              <w:pStyle w:val="17"/>
              <w:adjustRightInd w:val="0"/>
              <w:snapToGrid w:val="0"/>
              <w:rPr>
                <w:rFonts w:hint="eastAsia" w:ascii="宋体" w:hAnsi="宋体" w:eastAsia="宋体" w:cs="宋体"/>
                <w:sz w:val="21"/>
                <w:szCs w:val="21"/>
              </w:rPr>
            </w:pPr>
          </w:p>
        </w:tc>
      </w:tr>
      <w:permEnd w:id="56"/>
      <w:permEnd w:id="57"/>
      <w:tr w14:paraId="200BFC08">
        <w:tblPrEx>
          <w:tblCellMar>
            <w:top w:w="0" w:type="dxa"/>
            <w:left w:w="108" w:type="dxa"/>
            <w:bottom w:w="0" w:type="dxa"/>
            <w:right w:w="108" w:type="dxa"/>
          </w:tblCellMar>
        </w:tblPrEx>
        <w:trPr>
          <w:trHeight w:val="567" w:hRule="atLeast"/>
        </w:trPr>
        <w:tc>
          <w:tcPr>
            <w:tcW w:w="1164" w:type="dxa"/>
          </w:tcPr>
          <w:p w14:paraId="479DF771">
            <w:pPr>
              <w:pStyle w:val="17"/>
              <w:adjustRightInd w:val="0"/>
              <w:snapToGrid w:val="0"/>
              <w:rPr>
                <w:rFonts w:hint="eastAsia" w:ascii="宋体" w:hAnsi="宋体" w:eastAsia="宋体" w:cs="宋体"/>
                <w:sz w:val="21"/>
                <w:szCs w:val="21"/>
              </w:rPr>
            </w:pPr>
            <w:permStart w:id="58" w:edGrp="everyone" w:colFirst="2" w:colLast="2"/>
            <w:permStart w:id="59" w:edGrp="everyone" w:colFirst="3" w:colLast="3"/>
          </w:p>
        </w:tc>
        <w:tc>
          <w:tcPr>
            <w:tcW w:w="3420" w:type="dxa"/>
          </w:tcPr>
          <w:p w14:paraId="122A88B0">
            <w:pPr>
              <w:pStyle w:val="17"/>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（签章）</w:t>
            </w:r>
          </w:p>
        </w:tc>
        <w:tc>
          <w:tcPr>
            <w:tcW w:w="1455" w:type="dxa"/>
          </w:tcPr>
          <w:p w14:paraId="04CA8B3A">
            <w:pPr>
              <w:pStyle w:val="17"/>
              <w:adjustRightInd w:val="0"/>
              <w:snapToGrid w:val="0"/>
              <w:rPr>
                <w:rFonts w:hint="eastAsia" w:ascii="宋体" w:hAnsi="宋体" w:eastAsia="宋体" w:cs="宋体"/>
                <w:sz w:val="21"/>
                <w:szCs w:val="21"/>
              </w:rPr>
            </w:pPr>
          </w:p>
        </w:tc>
        <w:tc>
          <w:tcPr>
            <w:tcW w:w="2925" w:type="dxa"/>
          </w:tcPr>
          <w:p w14:paraId="694BE7E4">
            <w:pPr>
              <w:pStyle w:val="17"/>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（签章）</w:t>
            </w:r>
          </w:p>
        </w:tc>
      </w:tr>
      <w:permEnd w:id="58"/>
      <w:permEnd w:id="59"/>
      <w:tr w14:paraId="77C73365">
        <w:tblPrEx>
          <w:tblCellMar>
            <w:top w:w="0" w:type="dxa"/>
            <w:left w:w="108" w:type="dxa"/>
            <w:bottom w:w="0" w:type="dxa"/>
            <w:right w:w="108" w:type="dxa"/>
          </w:tblCellMar>
        </w:tblPrEx>
        <w:trPr>
          <w:trHeight w:val="567" w:hRule="atLeast"/>
        </w:trPr>
        <w:tc>
          <w:tcPr>
            <w:tcW w:w="4584" w:type="dxa"/>
            <w:gridSpan w:val="2"/>
            <w:vMerge w:val="restart"/>
          </w:tcPr>
          <w:p w14:paraId="06D08F75">
            <w:pPr>
              <w:pStyle w:val="17"/>
              <w:adjustRightInd w:val="0"/>
              <w:snapToGrid w:val="0"/>
              <w:rPr>
                <w:rFonts w:hint="eastAsia" w:ascii="宋体" w:hAnsi="宋体" w:eastAsia="宋体" w:cs="宋体"/>
                <w:sz w:val="21"/>
                <w:szCs w:val="21"/>
              </w:rPr>
            </w:pPr>
            <w:permStart w:id="60" w:edGrp="everyone"/>
            <w:permStart w:id="61" w:edGrp="everyone" w:colFirst="1" w:colLast="1"/>
            <w:r>
              <w:rPr>
                <w:rFonts w:hint="eastAsia" w:ascii="宋体" w:hAnsi="宋体" w:eastAsia="宋体" w:cs="宋体"/>
                <w:sz w:val="21"/>
                <w:szCs w:val="21"/>
              </w:rPr>
              <w:t>法定代表/授权代表：（签字或盖章）</w:t>
            </w:r>
            <w:permEnd w:id="60"/>
          </w:p>
        </w:tc>
        <w:tc>
          <w:tcPr>
            <w:tcW w:w="4380" w:type="dxa"/>
            <w:gridSpan w:val="2"/>
            <w:vMerge w:val="restart"/>
          </w:tcPr>
          <w:p w14:paraId="0A1C3919">
            <w:pPr>
              <w:pStyle w:val="17"/>
              <w:adjustRightInd w:val="0"/>
              <w:snapToGrid w:val="0"/>
              <w:rPr>
                <w:rFonts w:hint="eastAsia" w:ascii="宋体" w:hAnsi="宋体" w:eastAsia="宋体" w:cs="宋体"/>
                <w:sz w:val="21"/>
                <w:szCs w:val="21"/>
              </w:rPr>
            </w:pPr>
            <w:r>
              <w:rPr>
                <w:rFonts w:hint="eastAsia" w:ascii="宋体" w:hAnsi="宋体" w:eastAsia="宋体" w:cs="宋体"/>
                <w:sz w:val="21"/>
                <w:szCs w:val="21"/>
              </w:rPr>
              <w:t>法定代表/授权代表：（签字或盖章）</w:t>
            </w:r>
          </w:p>
        </w:tc>
      </w:tr>
      <w:permEnd w:id="61"/>
      <w:tr w14:paraId="1BEF396F">
        <w:tblPrEx>
          <w:tblCellMar>
            <w:top w:w="0" w:type="dxa"/>
            <w:left w:w="108" w:type="dxa"/>
            <w:bottom w:w="0" w:type="dxa"/>
            <w:right w:w="108" w:type="dxa"/>
          </w:tblCellMar>
        </w:tblPrEx>
        <w:trPr>
          <w:trHeight w:val="312" w:hRule="atLeast"/>
        </w:trPr>
        <w:tc>
          <w:tcPr>
            <w:tcW w:w="4584" w:type="dxa"/>
            <w:gridSpan w:val="2"/>
            <w:vMerge w:val="continue"/>
          </w:tcPr>
          <w:p w14:paraId="300B9630">
            <w:pPr>
              <w:pStyle w:val="17"/>
              <w:adjustRightInd w:val="0"/>
              <w:snapToGrid w:val="0"/>
              <w:rPr>
                <w:rFonts w:hint="eastAsia" w:ascii="宋体" w:hAnsi="宋体" w:eastAsia="宋体" w:cs="宋体"/>
                <w:sz w:val="21"/>
                <w:szCs w:val="21"/>
              </w:rPr>
            </w:pPr>
            <w:permStart w:id="62" w:edGrp="everyone" w:colFirst="1" w:colLast="1"/>
          </w:p>
        </w:tc>
        <w:tc>
          <w:tcPr>
            <w:tcW w:w="4380" w:type="dxa"/>
            <w:gridSpan w:val="2"/>
            <w:vMerge w:val="continue"/>
          </w:tcPr>
          <w:p w14:paraId="478D89E0">
            <w:pPr>
              <w:pStyle w:val="17"/>
              <w:adjustRightInd w:val="0"/>
              <w:snapToGrid w:val="0"/>
              <w:rPr>
                <w:rFonts w:hint="eastAsia" w:ascii="宋体" w:hAnsi="宋体" w:eastAsia="宋体" w:cs="宋体"/>
                <w:sz w:val="21"/>
                <w:szCs w:val="21"/>
              </w:rPr>
            </w:pPr>
          </w:p>
        </w:tc>
      </w:tr>
      <w:permEnd w:id="62"/>
      <w:tr w14:paraId="24A846FD">
        <w:tblPrEx>
          <w:tblCellMar>
            <w:top w:w="0" w:type="dxa"/>
            <w:left w:w="108" w:type="dxa"/>
            <w:bottom w:w="0" w:type="dxa"/>
            <w:right w:w="108" w:type="dxa"/>
          </w:tblCellMar>
        </w:tblPrEx>
        <w:trPr>
          <w:trHeight w:val="567" w:hRule="atLeast"/>
        </w:trPr>
        <w:tc>
          <w:tcPr>
            <w:tcW w:w="4584" w:type="dxa"/>
            <w:gridSpan w:val="2"/>
          </w:tcPr>
          <w:p w14:paraId="437B0FBF">
            <w:pPr>
              <w:pStyle w:val="17"/>
              <w:adjustRightInd w:val="0"/>
              <w:snapToGrid w:val="0"/>
              <w:rPr>
                <w:rFonts w:hint="eastAsia" w:ascii="宋体" w:hAnsi="宋体" w:eastAsia="宋体" w:cs="宋体"/>
                <w:sz w:val="21"/>
                <w:szCs w:val="21"/>
              </w:rPr>
            </w:pPr>
            <w:permStart w:id="63" w:edGrp="everyone" w:colFirst="1" w:colLast="1"/>
            <w:permStart w:id="64" w:edGrp="everyone" w:colFirst="2" w:colLast="2"/>
            <w:r>
              <w:rPr>
                <w:rFonts w:hint="eastAsia" w:ascii="宋体" w:hAnsi="宋体" w:eastAsia="宋体" w:cs="宋体"/>
                <w:sz w:val="21"/>
                <w:szCs w:val="21"/>
              </w:rPr>
              <w:t>纳税人识别号：913200007140930345</w:t>
            </w:r>
          </w:p>
        </w:tc>
        <w:tc>
          <w:tcPr>
            <w:tcW w:w="1455" w:type="dxa"/>
          </w:tcPr>
          <w:p w14:paraId="6317E39B">
            <w:pPr>
              <w:pStyle w:val="17"/>
              <w:adjustRightInd w:val="0"/>
              <w:snapToGrid w:val="0"/>
              <w:rPr>
                <w:rFonts w:hint="eastAsia" w:ascii="宋体" w:hAnsi="宋体" w:eastAsia="宋体" w:cs="宋体"/>
                <w:sz w:val="21"/>
                <w:szCs w:val="21"/>
              </w:rPr>
            </w:pPr>
          </w:p>
        </w:tc>
        <w:tc>
          <w:tcPr>
            <w:tcW w:w="2925" w:type="dxa"/>
          </w:tcPr>
          <w:p w14:paraId="2683AD9E">
            <w:pPr>
              <w:pStyle w:val="17"/>
              <w:adjustRightInd w:val="0"/>
              <w:snapToGrid w:val="0"/>
              <w:rPr>
                <w:rFonts w:hint="eastAsia" w:ascii="宋体" w:hAnsi="宋体" w:eastAsia="宋体" w:cs="宋体"/>
                <w:sz w:val="21"/>
                <w:szCs w:val="21"/>
              </w:rPr>
            </w:pPr>
          </w:p>
        </w:tc>
      </w:tr>
      <w:permEnd w:id="63"/>
      <w:permEnd w:id="64"/>
      <w:tr w14:paraId="0BC1C629">
        <w:tblPrEx>
          <w:tblCellMar>
            <w:top w:w="0" w:type="dxa"/>
            <w:left w:w="108" w:type="dxa"/>
            <w:bottom w:w="0" w:type="dxa"/>
            <w:right w:w="108" w:type="dxa"/>
          </w:tblCellMar>
        </w:tblPrEx>
        <w:trPr>
          <w:trHeight w:val="1134" w:hRule="atLeast"/>
        </w:trPr>
        <w:tc>
          <w:tcPr>
            <w:tcW w:w="1164" w:type="dxa"/>
          </w:tcPr>
          <w:p w14:paraId="66B8216A">
            <w:pPr>
              <w:pStyle w:val="17"/>
              <w:adjustRightInd w:val="0"/>
              <w:snapToGrid w:val="0"/>
              <w:rPr>
                <w:rFonts w:hint="eastAsia" w:ascii="宋体" w:hAnsi="宋体" w:eastAsia="宋体" w:cs="宋体"/>
                <w:sz w:val="21"/>
                <w:szCs w:val="21"/>
              </w:rPr>
            </w:pPr>
            <w:permStart w:id="65" w:edGrp="everyone" w:colFirst="2" w:colLast="2"/>
            <w:permStart w:id="66" w:edGrp="everyone" w:colFirst="3" w:colLast="3"/>
            <w:r>
              <w:rPr>
                <w:rFonts w:hint="eastAsia" w:ascii="宋体" w:hAnsi="宋体" w:eastAsia="宋体" w:cs="宋体"/>
                <w:sz w:val="21"/>
                <w:szCs w:val="21"/>
              </w:rPr>
              <w:t>甲方地址：</w:t>
            </w:r>
          </w:p>
        </w:tc>
        <w:tc>
          <w:tcPr>
            <w:tcW w:w="3420" w:type="dxa"/>
          </w:tcPr>
          <w:p w14:paraId="40E6C09D">
            <w:pPr>
              <w:pStyle w:val="17"/>
              <w:adjustRightInd w:val="0"/>
              <w:snapToGrid w:val="0"/>
              <w:spacing w:line="480" w:lineRule="auto"/>
              <w:rPr>
                <w:rFonts w:hint="eastAsia" w:ascii="宋体" w:hAnsi="宋体" w:eastAsia="宋体" w:cs="宋体"/>
                <w:sz w:val="21"/>
                <w:szCs w:val="21"/>
              </w:rPr>
            </w:pPr>
            <w:r>
              <w:rPr>
                <w:rFonts w:hint="eastAsia" w:ascii="宋体" w:hAnsi="宋体" w:eastAsia="宋体" w:cs="宋体"/>
              </w:rPr>
              <w:t>南京市江宁区秣陵街道天元西路199号东部机场集团10楼</w:t>
            </w:r>
          </w:p>
        </w:tc>
        <w:tc>
          <w:tcPr>
            <w:tcW w:w="1455" w:type="dxa"/>
          </w:tcPr>
          <w:p w14:paraId="6F783075">
            <w:pPr>
              <w:pStyle w:val="17"/>
              <w:adjustRightInd w:val="0"/>
              <w:snapToGrid w:val="0"/>
              <w:rPr>
                <w:rFonts w:hint="eastAsia" w:ascii="宋体" w:hAnsi="宋体" w:eastAsia="宋体" w:cs="宋体"/>
                <w:sz w:val="21"/>
                <w:szCs w:val="21"/>
              </w:rPr>
            </w:pPr>
            <w:r>
              <w:rPr>
                <w:rFonts w:hint="eastAsia" w:ascii="宋体" w:hAnsi="宋体" w:eastAsia="宋体" w:cs="宋体"/>
                <w:sz w:val="21"/>
                <w:szCs w:val="21"/>
              </w:rPr>
              <w:t>乙方地址：</w:t>
            </w:r>
          </w:p>
        </w:tc>
        <w:tc>
          <w:tcPr>
            <w:tcW w:w="2925" w:type="dxa"/>
          </w:tcPr>
          <w:p w14:paraId="70E7E825">
            <w:pPr>
              <w:pStyle w:val="17"/>
              <w:adjustRightInd w:val="0"/>
              <w:snapToGrid w:val="0"/>
              <w:spacing w:line="480" w:lineRule="auto"/>
              <w:rPr>
                <w:rFonts w:hint="eastAsia" w:ascii="宋体" w:hAnsi="宋体" w:eastAsia="宋体" w:cs="宋体"/>
                <w:sz w:val="21"/>
                <w:szCs w:val="21"/>
              </w:rPr>
            </w:pPr>
          </w:p>
        </w:tc>
      </w:tr>
      <w:permEnd w:id="65"/>
      <w:permEnd w:id="66"/>
      <w:tr w14:paraId="7519DCF7">
        <w:tblPrEx>
          <w:tblCellMar>
            <w:top w:w="0" w:type="dxa"/>
            <w:left w:w="108" w:type="dxa"/>
            <w:bottom w:w="0" w:type="dxa"/>
            <w:right w:w="108" w:type="dxa"/>
          </w:tblCellMar>
        </w:tblPrEx>
        <w:trPr>
          <w:trHeight w:val="392" w:hRule="atLeast"/>
        </w:trPr>
        <w:tc>
          <w:tcPr>
            <w:tcW w:w="1164" w:type="dxa"/>
          </w:tcPr>
          <w:p w14:paraId="23DBC9F8">
            <w:pPr>
              <w:pStyle w:val="17"/>
              <w:adjustRightInd w:val="0"/>
              <w:snapToGrid w:val="0"/>
              <w:rPr>
                <w:rFonts w:hint="eastAsia" w:ascii="宋体" w:hAnsi="宋体" w:eastAsia="宋体" w:cs="宋体"/>
                <w:sz w:val="21"/>
                <w:szCs w:val="21"/>
              </w:rPr>
            </w:pPr>
            <w:permStart w:id="67" w:edGrp="everyone" w:colFirst="2" w:colLast="2"/>
            <w:permStart w:id="68" w:edGrp="everyone" w:colFirst="3" w:colLast="3"/>
            <w:r>
              <w:rPr>
                <w:rFonts w:hint="eastAsia" w:ascii="宋体" w:hAnsi="宋体" w:eastAsia="宋体" w:cs="宋体"/>
                <w:sz w:val="21"/>
                <w:szCs w:val="21"/>
              </w:rPr>
              <w:t>开户银行：</w:t>
            </w:r>
          </w:p>
        </w:tc>
        <w:tc>
          <w:tcPr>
            <w:tcW w:w="3420" w:type="dxa"/>
          </w:tcPr>
          <w:p w14:paraId="41DFF5FA">
            <w:pPr>
              <w:pStyle w:val="17"/>
              <w:adjustRightInd w:val="0"/>
              <w:snapToGrid w:val="0"/>
              <w:rPr>
                <w:rFonts w:hint="eastAsia" w:ascii="宋体" w:hAnsi="宋体" w:eastAsia="宋体" w:cs="宋体"/>
                <w:sz w:val="21"/>
                <w:szCs w:val="21"/>
              </w:rPr>
            </w:pPr>
            <w:r>
              <w:rPr>
                <w:rFonts w:hint="eastAsia" w:ascii="宋体" w:hAnsi="宋体" w:eastAsia="宋体" w:cs="宋体"/>
                <w:sz w:val="21"/>
                <w:szCs w:val="21"/>
              </w:rPr>
              <w:t>中国银行南京禄口机场支行</w:t>
            </w:r>
          </w:p>
        </w:tc>
        <w:tc>
          <w:tcPr>
            <w:tcW w:w="1455" w:type="dxa"/>
          </w:tcPr>
          <w:p w14:paraId="47EC4B37">
            <w:pPr>
              <w:pStyle w:val="17"/>
              <w:adjustRightInd w:val="0"/>
              <w:snapToGrid w:val="0"/>
              <w:rPr>
                <w:rFonts w:hint="eastAsia" w:ascii="宋体" w:hAnsi="宋体" w:eastAsia="宋体" w:cs="宋体"/>
                <w:sz w:val="21"/>
                <w:szCs w:val="21"/>
              </w:rPr>
            </w:pPr>
            <w:r>
              <w:rPr>
                <w:rFonts w:hint="eastAsia" w:ascii="宋体" w:hAnsi="宋体" w:eastAsia="宋体" w:cs="宋体"/>
                <w:sz w:val="21"/>
                <w:szCs w:val="21"/>
              </w:rPr>
              <w:t>开户银行：</w:t>
            </w:r>
          </w:p>
        </w:tc>
        <w:tc>
          <w:tcPr>
            <w:tcW w:w="2925" w:type="dxa"/>
          </w:tcPr>
          <w:p w14:paraId="4F0E5D30">
            <w:pPr>
              <w:pStyle w:val="17"/>
              <w:adjustRightInd w:val="0"/>
              <w:snapToGrid w:val="0"/>
              <w:rPr>
                <w:rFonts w:hint="eastAsia" w:ascii="宋体" w:hAnsi="宋体" w:eastAsia="宋体" w:cs="宋体"/>
                <w:sz w:val="21"/>
                <w:szCs w:val="21"/>
              </w:rPr>
            </w:pPr>
          </w:p>
        </w:tc>
      </w:tr>
      <w:permEnd w:id="67"/>
      <w:permEnd w:id="68"/>
      <w:tr w14:paraId="50A0FA2D">
        <w:tblPrEx>
          <w:tblCellMar>
            <w:top w:w="0" w:type="dxa"/>
            <w:left w:w="108" w:type="dxa"/>
            <w:bottom w:w="0" w:type="dxa"/>
            <w:right w:w="108" w:type="dxa"/>
          </w:tblCellMar>
        </w:tblPrEx>
        <w:trPr>
          <w:trHeight w:val="354" w:hRule="atLeast"/>
        </w:trPr>
        <w:tc>
          <w:tcPr>
            <w:tcW w:w="1164" w:type="dxa"/>
          </w:tcPr>
          <w:p w14:paraId="7C3EEA76">
            <w:pPr>
              <w:pStyle w:val="17"/>
              <w:adjustRightInd w:val="0"/>
              <w:snapToGrid w:val="0"/>
              <w:rPr>
                <w:rFonts w:hint="eastAsia" w:ascii="宋体" w:hAnsi="宋体" w:eastAsia="宋体" w:cs="宋体"/>
                <w:sz w:val="21"/>
                <w:szCs w:val="21"/>
              </w:rPr>
            </w:pPr>
            <w:permStart w:id="69" w:edGrp="everyone" w:colFirst="2" w:colLast="2"/>
            <w:permStart w:id="70" w:edGrp="everyone" w:colFirst="3" w:colLast="3"/>
            <w:r>
              <w:rPr>
                <w:rFonts w:hint="eastAsia" w:ascii="宋体" w:hAnsi="宋体" w:eastAsia="宋体" w:cs="宋体"/>
                <w:sz w:val="21"/>
                <w:szCs w:val="21"/>
              </w:rPr>
              <w:t>账   号：</w:t>
            </w:r>
          </w:p>
        </w:tc>
        <w:tc>
          <w:tcPr>
            <w:tcW w:w="3420" w:type="dxa"/>
          </w:tcPr>
          <w:p w14:paraId="14B59F17">
            <w:pPr>
              <w:pStyle w:val="17"/>
              <w:adjustRightInd w:val="0"/>
              <w:snapToGrid w:val="0"/>
              <w:rPr>
                <w:rFonts w:hint="eastAsia" w:ascii="宋体" w:hAnsi="宋体" w:eastAsia="宋体" w:cs="宋体"/>
                <w:sz w:val="21"/>
                <w:szCs w:val="21"/>
              </w:rPr>
            </w:pPr>
            <w:r>
              <w:rPr>
                <w:rFonts w:hint="eastAsia" w:ascii="宋体" w:hAnsi="宋体" w:eastAsia="宋体" w:cs="宋体"/>
                <w:sz w:val="21"/>
                <w:szCs w:val="21"/>
              </w:rPr>
              <w:t>553470001259</w:t>
            </w:r>
          </w:p>
        </w:tc>
        <w:tc>
          <w:tcPr>
            <w:tcW w:w="1455" w:type="dxa"/>
          </w:tcPr>
          <w:p w14:paraId="16A4F054">
            <w:pPr>
              <w:pStyle w:val="17"/>
              <w:adjustRightInd w:val="0"/>
              <w:snapToGrid w:val="0"/>
              <w:rPr>
                <w:rFonts w:hint="eastAsia" w:ascii="宋体" w:hAnsi="宋体" w:eastAsia="宋体" w:cs="宋体"/>
                <w:sz w:val="21"/>
                <w:szCs w:val="21"/>
              </w:rPr>
            </w:pPr>
            <w:r>
              <w:rPr>
                <w:rFonts w:hint="eastAsia" w:ascii="宋体" w:hAnsi="宋体" w:eastAsia="宋体" w:cs="宋体"/>
                <w:sz w:val="21"/>
                <w:szCs w:val="21"/>
              </w:rPr>
              <w:t>账    号：</w:t>
            </w:r>
          </w:p>
        </w:tc>
        <w:tc>
          <w:tcPr>
            <w:tcW w:w="2925" w:type="dxa"/>
          </w:tcPr>
          <w:p w14:paraId="50A4781E">
            <w:pPr>
              <w:pStyle w:val="17"/>
              <w:adjustRightInd w:val="0"/>
              <w:snapToGrid w:val="0"/>
              <w:rPr>
                <w:rFonts w:hint="eastAsia" w:ascii="宋体" w:hAnsi="宋体" w:eastAsia="宋体" w:cs="宋体"/>
                <w:sz w:val="21"/>
                <w:szCs w:val="21"/>
              </w:rPr>
            </w:pPr>
          </w:p>
        </w:tc>
      </w:tr>
      <w:permEnd w:id="69"/>
      <w:permEnd w:id="70"/>
      <w:tr w14:paraId="72F08E30">
        <w:tblPrEx>
          <w:tblCellMar>
            <w:top w:w="0" w:type="dxa"/>
            <w:left w:w="108" w:type="dxa"/>
            <w:bottom w:w="0" w:type="dxa"/>
            <w:right w:w="108" w:type="dxa"/>
          </w:tblCellMar>
        </w:tblPrEx>
        <w:trPr>
          <w:trHeight w:val="404" w:hRule="atLeast"/>
        </w:trPr>
        <w:tc>
          <w:tcPr>
            <w:tcW w:w="1164" w:type="dxa"/>
          </w:tcPr>
          <w:p w14:paraId="4AAA8409">
            <w:pPr>
              <w:pStyle w:val="17"/>
              <w:adjustRightInd w:val="0"/>
              <w:snapToGrid w:val="0"/>
              <w:rPr>
                <w:rFonts w:hint="eastAsia" w:ascii="宋体" w:hAnsi="宋体" w:eastAsia="宋体" w:cs="宋体"/>
                <w:sz w:val="21"/>
                <w:szCs w:val="21"/>
              </w:rPr>
            </w:pPr>
            <w:permStart w:id="71" w:edGrp="everyone" w:colFirst="1" w:colLast="1"/>
            <w:permStart w:id="72" w:edGrp="everyone" w:colFirst="2" w:colLast="2"/>
            <w:permStart w:id="73" w:edGrp="everyone" w:colFirst="3" w:colLast="3"/>
            <w:r>
              <w:rPr>
                <w:rFonts w:hint="eastAsia" w:ascii="宋体" w:hAnsi="宋体" w:eastAsia="宋体" w:cs="宋体"/>
                <w:sz w:val="21"/>
                <w:szCs w:val="21"/>
              </w:rPr>
              <w:t>电   话：</w:t>
            </w:r>
          </w:p>
        </w:tc>
        <w:tc>
          <w:tcPr>
            <w:tcW w:w="3420" w:type="dxa"/>
          </w:tcPr>
          <w:p w14:paraId="0A98387F">
            <w:pPr>
              <w:pStyle w:val="17"/>
              <w:adjustRightInd w:val="0"/>
              <w:snapToGrid w:val="0"/>
              <w:rPr>
                <w:rFonts w:hint="eastAsia" w:ascii="宋体" w:hAnsi="宋体" w:eastAsia="宋体" w:cs="宋体"/>
                <w:sz w:val="21"/>
                <w:szCs w:val="21"/>
              </w:rPr>
            </w:pPr>
            <w:r>
              <w:rPr>
                <w:rFonts w:hint="eastAsia" w:ascii="宋体" w:hAnsi="宋体" w:eastAsia="宋体" w:cs="宋体"/>
                <w:sz w:val="21"/>
                <w:szCs w:val="21"/>
              </w:rPr>
              <w:t>025-69820630</w:t>
            </w:r>
          </w:p>
        </w:tc>
        <w:tc>
          <w:tcPr>
            <w:tcW w:w="1455" w:type="dxa"/>
          </w:tcPr>
          <w:p w14:paraId="0CBC10D8">
            <w:pPr>
              <w:pStyle w:val="17"/>
              <w:adjustRightInd w:val="0"/>
              <w:snapToGrid w:val="0"/>
              <w:rPr>
                <w:rFonts w:hint="eastAsia" w:ascii="宋体" w:hAnsi="宋体" w:eastAsia="宋体" w:cs="宋体"/>
                <w:sz w:val="21"/>
                <w:szCs w:val="21"/>
              </w:rPr>
            </w:pPr>
            <w:r>
              <w:rPr>
                <w:rFonts w:hint="eastAsia" w:ascii="宋体" w:hAnsi="宋体" w:eastAsia="宋体" w:cs="宋体"/>
                <w:sz w:val="21"/>
                <w:szCs w:val="21"/>
              </w:rPr>
              <w:t>电    话：</w:t>
            </w:r>
          </w:p>
        </w:tc>
        <w:tc>
          <w:tcPr>
            <w:tcW w:w="2925" w:type="dxa"/>
          </w:tcPr>
          <w:p w14:paraId="25DEE47E">
            <w:pPr>
              <w:pStyle w:val="17"/>
              <w:adjustRightInd w:val="0"/>
              <w:snapToGrid w:val="0"/>
              <w:rPr>
                <w:rFonts w:hint="eastAsia" w:ascii="宋体" w:hAnsi="宋体" w:eastAsia="宋体" w:cs="宋体"/>
                <w:sz w:val="21"/>
                <w:szCs w:val="21"/>
              </w:rPr>
            </w:pPr>
          </w:p>
        </w:tc>
      </w:tr>
      <w:permEnd w:id="71"/>
      <w:permEnd w:id="72"/>
      <w:permEnd w:id="73"/>
      <w:tr w14:paraId="0CF38E56">
        <w:tblPrEx>
          <w:tblCellMar>
            <w:top w:w="0" w:type="dxa"/>
            <w:left w:w="108" w:type="dxa"/>
            <w:bottom w:w="0" w:type="dxa"/>
            <w:right w:w="108" w:type="dxa"/>
          </w:tblCellMar>
        </w:tblPrEx>
        <w:trPr>
          <w:trHeight w:val="342" w:hRule="atLeast"/>
        </w:trPr>
        <w:tc>
          <w:tcPr>
            <w:tcW w:w="1164" w:type="dxa"/>
          </w:tcPr>
          <w:p w14:paraId="118BAE2B">
            <w:pPr>
              <w:pStyle w:val="17"/>
              <w:adjustRightInd w:val="0"/>
              <w:snapToGrid w:val="0"/>
              <w:rPr>
                <w:rFonts w:hint="eastAsia" w:ascii="宋体" w:hAnsi="宋体" w:eastAsia="宋体" w:cs="宋体"/>
                <w:sz w:val="21"/>
                <w:szCs w:val="21"/>
              </w:rPr>
            </w:pPr>
            <w:permStart w:id="74" w:edGrp="everyone" w:colFirst="1" w:colLast="1"/>
            <w:permStart w:id="75" w:edGrp="everyone" w:colFirst="2" w:colLast="2"/>
            <w:permStart w:id="76" w:edGrp="everyone" w:colFirst="3" w:colLast="3"/>
            <w:r>
              <w:rPr>
                <w:rFonts w:hint="eastAsia" w:ascii="宋体" w:hAnsi="宋体" w:eastAsia="宋体" w:cs="宋体"/>
                <w:sz w:val="21"/>
                <w:szCs w:val="21"/>
              </w:rPr>
              <w:t>传   真：</w:t>
            </w:r>
          </w:p>
        </w:tc>
        <w:tc>
          <w:tcPr>
            <w:tcW w:w="3420" w:type="dxa"/>
          </w:tcPr>
          <w:p w14:paraId="36A55C4C">
            <w:pPr>
              <w:pStyle w:val="17"/>
              <w:adjustRightInd w:val="0"/>
              <w:snapToGrid w:val="0"/>
              <w:rPr>
                <w:rFonts w:hint="eastAsia" w:ascii="宋体" w:hAnsi="宋体" w:eastAsia="宋体" w:cs="宋体"/>
                <w:sz w:val="21"/>
                <w:szCs w:val="21"/>
              </w:rPr>
            </w:pPr>
            <w:r>
              <w:rPr>
                <w:rFonts w:hint="eastAsia" w:ascii="宋体" w:hAnsi="宋体" w:eastAsia="宋体" w:cs="宋体"/>
                <w:sz w:val="21"/>
                <w:szCs w:val="21"/>
              </w:rPr>
              <w:t>025-69820630</w:t>
            </w:r>
          </w:p>
        </w:tc>
        <w:tc>
          <w:tcPr>
            <w:tcW w:w="1455" w:type="dxa"/>
          </w:tcPr>
          <w:p w14:paraId="00D29DB0">
            <w:pPr>
              <w:pStyle w:val="17"/>
              <w:adjustRightInd w:val="0"/>
              <w:snapToGrid w:val="0"/>
              <w:rPr>
                <w:rFonts w:hint="eastAsia" w:ascii="宋体" w:hAnsi="宋体" w:eastAsia="宋体" w:cs="宋体"/>
                <w:sz w:val="21"/>
                <w:szCs w:val="21"/>
              </w:rPr>
            </w:pPr>
            <w:r>
              <w:rPr>
                <w:rFonts w:hint="eastAsia" w:ascii="宋体" w:hAnsi="宋体" w:eastAsia="宋体" w:cs="宋体"/>
                <w:sz w:val="21"/>
                <w:szCs w:val="21"/>
              </w:rPr>
              <w:t>传    真：</w:t>
            </w:r>
          </w:p>
        </w:tc>
        <w:tc>
          <w:tcPr>
            <w:tcW w:w="2925" w:type="dxa"/>
          </w:tcPr>
          <w:p w14:paraId="2AF826C1">
            <w:pPr>
              <w:pStyle w:val="17"/>
              <w:adjustRightInd w:val="0"/>
              <w:snapToGrid w:val="0"/>
              <w:rPr>
                <w:rFonts w:hint="eastAsia" w:ascii="宋体" w:hAnsi="宋体" w:eastAsia="宋体" w:cs="宋体"/>
                <w:sz w:val="21"/>
                <w:szCs w:val="21"/>
              </w:rPr>
            </w:pPr>
          </w:p>
        </w:tc>
      </w:tr>
      <w:permEnd w:id="74"/>
      <w:permEnd w:id="75"/>
      <w:permEnd w:id="76"/>
      <w:tr w14:paraId="39F9DC26">
        <w:tblPrEx>
          <w:tblCellMar>
            <w:top w:w="0" w:type="dxa"/>
            <w:left w:w="108" w:type="dxa"/>
            <w:bottom w:w="0" w:type="dxa"/>
            <w:right w:w="108" w:type="dxa"/>
          </w:tblCellMar>
        </w:tblPrEx>
        <w:trPr>
          <w:trHeight w:val="417" w:hRule="atLeast"/>
        </w:trPr>
        <w:tc>
          <w:tcPr>
            <w:tcW w:w="1164" w:type="dxa"/>
          </w:tcPr>
          <w:p w14:paraId="76A83E83">
            <w:pPr>
              <w:pStyle w:val="17"/>
              <w:adjustRightInd w:val="0"/>
              <w:snapToGrid w:val="0"/>
              <w:rPr>
                <w:rFonts w:hint="eastAsia" w:ascii="宋体" w:hAnsi="宋体" w:eastAsia="宋体" w:cs="宋体"/>
                <w:sz w:val="21"/>
                <w:szCs w:val="21"/>
              </w:rPr>
            </w:pPr>
            <w:permStart w:id="77" w:edGrp="everyone" w:colFirst="1" w:colLast="1"/>
            <w:permStart w:id="78" w:edGrp="everyone" w:colFirst="2" w:colLast="2"/>
            <w:permStart w:id="79" w:edGrp="everyone" w:colFirst="3" w:colLast="3"/>
            <w:r>
              <w:rPr>
                <w:rFonts w:hint="eastAsia" w:ascii="宋体" w:hAnsi="宋体" w:eastAsia="宋体" w:cs="宋体"/>
                <w:sz w:val="21"/>
                <w:szCs w:val="21"/>
              </w:rPr>
              <w:t>电子邮箱：</w:t>
            </w:r>
          </w:p>
        </w:tc>
        <w:tc>
          <w:tcPr>
            <w:tcW w:w="3420" w:type="dxa"/>
          </w:tcPr>
          <w:p w14:paraId="2F7311CD">
            <w:pPr>
              <w:pStyle w:val="17"/>
              <w:adjustRightInd w:val="0"/>
              <w:snapToGrid w:val="0"/>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tc>
        <w:tc>
          <w:tcPr>
            <w:tcW w:w="1455" w:type="dxa"/>
          </w:tcPr>
          <w:p w14:paraId="6C7EBE69">
            <w:pPr>
              <w:pStyle w:val="17"/>
              <w:adjustRightInd w:val="0"/>
              <w:snapToGrid w:val="0"/>
              <w:rPr>
                <w:rFonts w:hint="eastAsia" w:ascii="宋体" w:hAnsi="宋体" w:eastAsia="宋体" w:cs="宋体"/>
                <w:sz w:val="21"/>
                <w:szCs w:val="21"/>
              </w:rPr>
            </w:pPr>
            <w:r>
              <w:rPr>
                <w:rFonts w:hint="eastAsia" w:ascii="宋体" w:hAnsi="宋体" w:eastAsia="宋体" w:cs="宋体"/>
                <w:sz w:val="21"/>
                <w:szCs w:val="21"/>
              </w:rPr>
              <w:t>电子邮箱：</w:t>
            </w:r>
          </w:p>
        </w:tc>
        <w:tc>
          <w:tcPr>
            <w:tcW w:w="2925" w:type="dxa"/>
          </w:tcPr>
          <w:p w14:paraId="555BB349">
            <w:pPr>
              <w:pStyle w:val="17"/>
              <w:adjustRightInd w:val="0"/>
              <w:snapToGrid w:val="0"/>
              <w:rPr>
                <w:rFonts w:hint="eastAsia" w:ascii="宋体" w:hAnsi="宋体" w:eastAsia="宋体" w:cs="宋体"/>
                <w:sz w:val="21"/>
                <w:szCs w:val="21"/>
              </w:rPr>
            </w:pPr>
          </w:p>
        </w:tc>
      </w:tr>
      <w:permEnd w:id="77"/>
      <w:permEnd w:id="78"/>
      <w:permEnd w:id="79"/>
      <w:tr w14:paraId="5D5F4F98">
        <w:tblPrEx>
          <w:tblCellMar>
            <w:top w:w="0" w:type="dxa"/>
            <w:left w:w="108" w:type="dxa"/>
            <w:bottom w:w="0" w:type="dxa"/>
            <w:right w:w="108" w:type="dxa"/>
          </w:tblCellMar>
        </w:tblPrEx>
        <w:trPr>
          <w:trHeight w:val="567" w:hRule="atLeast"/>
        </w:trPr>
        <w:tc>
          <w:tcPr>
            <w:tcW w:w="4584" w:type="dxa"/>
            <w:gridSpan w:val="2"/>
          </w:tcPr>
          <w:p w14:paraId="417F7579">
            <w:pPr>
              <w:pStyle w:val="17"/>
              <w:adjustRightInd w:val="0"/>
              <w:snapToGrid w:val="0"/>
              <w:jc w:val="right"/>
              <w:rPr>
                <w:rFonts w:hint="eastAsia" w:ascii="宋体" w:hAnsi="宋体" w:eastAsia="宋体" w:cs="宋体"/>
                <w:sz w:val="21"/>
                <w:szCs w:val="21"/>
              </w:rPr>
            </w:pPr>
            <w:permStart w:id="80" w:edGrp="everyone"/>
            <w:r>
              <w:rPr>
                <w:rFonts w:hint="eastAsia" w:ascii="宋体" w:hAnsi="宋体" w:eastAsia="宋体" w:cs="宋体"/>
                <w:sz w:val="21"/>
                <w:szCs w:val="21"/>
              </w:rPr>
              <w:t>年    月    日</w:t>
            </w:r>
            <w:permEnd w:id="80"/>
          </w:p>
        </w:tc>
        <w:tc>
          <w:tcPr>
            <w:tcW w:w="4380" w:type="dxa"/>
            <w:gridSpan w:val="2"/>
          </w:tcPr>
          <w:p w14:paraId="51CA6A5D">
            <w:pPr>
              <w:pStyle w:val="17"/>
              <w:adjustRightInd w:val="0"/>
              <w:snapToGrid w:val="0"/>
              <w:jc w:val="right"/>
              <w:rPr>
                <w:rFonts w:hint="eastAsia" w:ascii="宋体" w:hAnsi="宋体" w:eastAsia="宋体" w:cs="宋体"/>
                <w:sz w:val="21"/>
                <w:szCs w:val="21"/>
              </w:rPr>
            </w:pPr>
            <w:permStart w:id="81" w:edGrp="everyone"/>
            <w:r>
              <w:rPr>
                <w:rFonts w:hint="eastAsia" w:ascii="宋体" w:hAnsi="宋体" w:eastAsia="宋体" w:cs="宋体"/>
                <w:sz w:val="21"/>
                <w:szCs w:val="21"/>
              </w:rPr>
              <w:t>年    月    日</w:t>
            </w:r>
            <w:permEnd w:id="81"/>
          </w:p>
        </w:tc>
      </w:tr>
    </w:tbl>
    <w:p w14:paraId="2C7D63F2">
      <w:pPr>
        <w:pageBreakBefore/>
        <w:spacing w:line="360" w:lineRule="auto"/>
        <w:rPr>
          <w:rFonts w:hint="eastAsia" w:ascii="宋体" w:hAnsi="宋体" w:eastAsia="宋体" w:cs="宋体"/>
          <w:color w:val="000000"/>
          <w:sz w:val="44"/>
          <w:szCs w:val="44"/>
        </w:rPr>
      </w:pPr>
    </w:p>
    <w:p w14:paraId="616FF9B4">
      <w:pPr>
        <w:spacing w:line="360" w:lineRule="auto"/>
        <w:ind w:firstLine="881"/>
        <w:jc w:val="left"/>
        <w:rPr>
          <w:rFonts w:hint="eastAsia" w:ascii="宋体" w:hAnsi="宋体" w:eastAsia="宋体" w:cs="宋体"/>
          <w:b/>
          <w:bCs/>
        </w:rPr>
      </w:pPr>
      <w:r>
        <w:rPr>
          <w:rFonts w:hint="eastAsia" w:ascii="宋体" w:hAnsi="宋体" w:eastAsia="宋体" w:cs="宋体"/>
          <w:b/>
          <w:bCs/>
        </w:rPr>
        <w:t>附件六：技术参数及图纸</w:t>
      </w:r>
    </w:p>
    <w:p w14:paraId="1FCB5079">
      <w:pPr>
        <w:pStyle w:val="3"/>
        <w:tabs>
          <w:tab w:val="left" w:pos="0"/>
        </w:tabs>
        <w:adjustRightInd w:val="0"/>
        <w:snapToGrid w:val="0"/>
        <w:spacing w:before="156" w:after="156"/>
        <w:rPr>
          <w:rFonts w:hint="eastAsia" w:ascii="宋体" w:hAnsi="宋体" w:eastAsia="宋体" w:cs="宋体"/>
          <w:color w:val="000000" w:themeColor="text1"/>
          <w14:textFill>
            <w14:solidFill>
              <w14:schemeClr w14:val="tx1"/>
            </w14:solidFill>
          </w14:textFill>
        </w:rPr>
      </w:pPr>
      <w:bookmarkStart w:id="0" w:name="_Toc219812967"/>
      <w:r>
        <w:rPr>
          <w:rFonts w:hint="eastAsia" w:ascii="宋体" w:hAnsi="宋体" w:eastAsia="宋体" w:cs="宋体"/>
          <w:color w:val="000000" w:themeColor="text1"/>
          <w14:textFill>
            <w14:solidFill>
              <w14:schemeClr w14:val="tx1"/>
            </w14:solidFill>
          </w14:textFill>
        </w:rPr>
        <w:t>10kV配电柜</w:t>
      </w:r>
      <w:bookmarkEnd w:id="0"/>
    </w:p>
    <w:p w14:paraId="55DB02E1">
      <w:pPr>
        <w:pStyle w:val="4"/>
        <w:adjustRightInd w:val="0"/>
        <w:snapToGrid w:val="0"/>
        <w:spacing w:before="156" w:after="15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bookmarkStart w:id="1" w:name="_Toc219812968"/>
      <w:r>
        <w:rPr>
          <w:rFonts w:hint="eastAsia" w:ascii="宋体" w:hAnsi="宋体" w:eastAsia="宋体" w:cs="宋体"/>
          <w:b/>
          <w:sz w:val="21"/>
          <w:szCs w:val="21"/>
        </w:rPr>
        <w:t>总体要求</w:t>
      </w:r>
      <w:bookmarkEnd w:id="1"/>
    </w:p>
    <w:p w14:paraId="4E0A522C">
      <w:pPr>
        <w:snapToGrid w:val="0"/>
        <w:spacing w:line="360" w:lineRule="auto"/>
        <w:rPr>
          <w:rFonts w:hint="eastAsia" w:ascii="宋体" w:hAnsi="宋体" w:eastAsia="宋体" w:cs="宋体"/>
          <w:szCs w:val="21"/>
        </w:rPr>
      </w:pPr>
      <w:r>
        <w:rPr>
          <w:rFonts w:hint="eastAsia" w:ascii="宋体" w:hAnsi="宋体" w:eastAsia="宋体" w:cs="宋体"/>
          <w:szCs w:val="21"/>
        </w:rPr>
        <w:t>1.3.1.1 10kV配电装置选用户内成套装置移开式金属封闭金属交流封闭开关柜。采用加强绝缘型结构，一次元件主要包括：真空断路器、操动机构、电流互感器、电压互感器等，真空断路器采用小车式。</w:t>
      </w:r>
    </w:p>
    <w:p w14:paraId="7CFF330E">
      <w:pPr>
        <w:snapToGrid w:val="0"/>
        <w:spacing w:line="360" w:lineRule="auto"/>
        <w:ind w:firstLine="630" w:firstLineChars="300"/>
        <w:rPr>
          <w:rFonts w:hint="eastAsia" w:ascii="宋体" w:hAnsi="宋体" w:eastAsia="宋体" w:cs="宋体"/>
          <w:szCs w:val="21"/>
        </w:rPr>
      </w:pPr>
      <w:r>
        <w:rPr>
          <w:rFonts w:hint="eastAsia" w:ascii="宋体" w:hAnsi="宋体" w:eastAsia="宋体" w:cs="宋体"/>
          <w:szCs w:val="21"/>
        </w:rPr>
        <w:t>真空断路器</w:t>
      </w:r>
    </w:p>
    <w:p w14:paraId="65568E74">
      <w:pPr>
        <w:snapToGrid w:val="0"/>
        <w:spacing w:line="360" w:lineRule="auto"/>
        <w:ind w:firstLine="630" w:firstLineChars="300"/>
        <w:rPr>
          <w:rFonts w:hint="eastAsia" w:ascii="宋体" w:hAnsi="宋体" w:eastAsia="宋体" w:cs="宋体"/>
          <w:szCs w:val="21"/>
        </w:rPr>
      </w:pPr>
      <w:r>
        <w:rPr>
          <w:rFonts w:hint="eastAsia" w:ascii="宋体" w:hAnsi="宋体" w:eastAsia="宋体" w:cs="宋体"/>
          <w:szCs w:val="21"/>
        </w:rPr>
        <w:t>额定电压                    12kV</w:t>
      </w:r>
    </w:p>
    <w:p w14:paraId="44A3E769">
      <w:pPr>
        <w:snapToGrid w:val="0"/>
        <w:spacing w:line="360" w:lineRule="auto"/>
        <w:ind w:firstLine="630" w:firstLineChars="300"/>
        <w:rPr>
          <w:rFonts w:hint="eastAsia" w:ascii="宋体" w:hAnsi="宋体" w:eastAsia="宋体" w:cs="宋体"/>
          <w:szCs w:val="21"/>
        </w:rPr>
      </w:pPr>
      <w:r>
        <w:rPr>
          <w:rFonts w:hint="eastAsia" w:ascii="宋体" w:hAnsi="宋体" w:eastAsia="宋体" w:cs="宋体"/>
          <w:szCs w:val="21"/>
        </w:rPr>
        <w:t xml:space="preserve">额定电流                    630A </w:t>
      </w:r>
    </w:p>
    <w:p w14:paraId="5EF176DE">
      <w:pPr>
        <w:snapToGrid w:val="0"/>
        <w:spacing w:line="360" w:lineRule="auto"/>
        <w:ind w:firstLine="630" w:firstLineChars="300"/>
        <w:rPr>
          <w:rFonts w:hint="eastAsia" w:ascii="宋体" w:hAnsi="宋体" w:eastAsia="宋体" w:cs="宋体"/>
          <w:szCs w:val="21"/>
        </w:rPr>
      </w:pPr>
      <w:r>
        <w:rPr>
          <w:rFonts w:hint="eastAsia" w:ascii="宋体" w:hAnsi="宋体" w:eastAsia="宋体" w:cs="宋体"/>
          <w:szCs w:val="21"/>
        </w:rPr>
        <w:t>额定频率                    50Hz</w:t>
      </w:r>
    </w:p>
    <w:p w14:paraId="706A06AD">
      <w:pPr>
        <w:snapToGrid w:val="0"/>
        <w:spacing w:line="360" w:lineRule="auto"/>
        <w:ind w:firstLine="630" w:firstLineChars="300"/>
        <w:rPr>
          <w:rFonts w:hint="eastAsia" w:ascii="宋体" w:hAnsi="宋体" w:eastAsia="宋体" w:cs="宋体"/>
          <w:szCs w:val="21"/>
        </w:rPr>
      </w:pPr>
      <w:r>
        <w:rPr>
          <w:rFonts w:hint="eastAsia" w:ascii="宋体" w:hAnsi="宋体" w:eastAsia="宋体" w:cs="宋体"/>
          <w:szCs w:val="21"/>
        </w:rPr>
        <w:t>额定短路断开电流            25kA</w:t>
      </w:r>
    </w:p>
    <w:p w14:paraId="2E8F077F">
      <w:pPr>
        <w:snapToGrid w:val="0"/>
        <w:spacing w:line="360" w:lineRule="auto"/>
        <w:ind w:firstLine="630" w:firstLineChars="300"/>
        <w:rPr>
          <w:rFonts w:hint="eastAsia" w:ascii="宋体" w:hAnsi="宋体" w:eastAsia="宋体" w:cs="宋体"/>
          <w:szCs w:val="21"/>
        </w:rPr>
      </w:pPr>
      <w:r>
        <w:rPr>
          <w:rFonts w:hint="eastAsia" w:ascii="宋体" w:hAnsi="宋体" w:eastAsia="宋体" w:cs="宋体"/>
          <w:szCs w:val="21"/>
        </w:rPr>
        <w:t>额定短时耐受电流            40kA/4s</w:t>
      </w:r>
    </w:p>
    <w:p w14:paraId="401F554C">
      <w:pPr>
        <w:snapToGrid w:val="0"/>
        <w:spacing w:line="360" w:lineRule="auto"/>
        <w:ind w:firstLine="630" w:firstLineChars="300"/>
        <w:rPr>
          <w:rFonts w:hint="eastAsia" w:ascii="宋体" w:hAnsi="宋体" w:eastAsia="宋体" w:cs="宋体"/>
          <w:szCs w:val="21"/>
        </w:rPr>
      </w:pPr>
      <w:r>
        <w:rPr>
          <w:rFonts w:hint="eastAsia" w:ascii="宋体" w:hAnsi="宋体" w:eastAsia="宋体" w:cs="宋体"/>
          <w:szCs w:val="21"/>
        </w:rPr>
        <w:t>额定峰值耐受电流            80kA</w:t>
      </w:r>
    </w:p>
    <w:p w14:paraId="0D182D5D">
      <w:pPr>
        <w:snapToGrid w:val="0"/>
        <w:spacing w:line="360" w:lineRule="auto"/>
        <w:ind w:firstLine="630" w:firstLineChars="300"/>
        <w:rPr>
          <w:rFonts w:hint="eastAsia" w:ascii="宋体" w:hAnsi="宋体" w:eastAsia="宋体" w:cs="宋体"/>
          <w:szCs w:val="21"/>
        </w:rPr>
      </w:pPr>
      <w:r>
        <w:rPr>
          <w:rFonts w:hint="eastAsia" w:ascii="宋体" w:hAnsi="宋体" w:eastAsia="宋体" w:cs="宋体"/>
          <w:szCs w:val="21"/>
        </w:rPr>
        <w:t>额定操作顺序                O-0.3s-CO-180s-CO</w:t>
      </w:r>
    </w:p>
    <w:p w14:paraId="7390F9B6">
      <w:pPr>
        <w:snapToGrid w:val="0"/>
        <w:spacing w:line="360" w:lineRule="auto"/>
        <w:ind w:firstLine="630" w:firstLineChars="300"/>
        <w:rPr>
          <w:rFonts w:hint="eastAsia" w:ascii="宋体" w:hAnsi="宋体" w:eastAsia="宋体" w:cs="宋体"/>
          <w:szCs w:val="21"/>
        </w:rPr>
      </w:pPr>
      <w:r>
        <w:rPr>
          <w:rFonts w:hint="eastAsia" w:ascii="宋体" w:hAnsi="宋体" w:eastAsia="宋体" w:cs="宋体"/>
          <w:szCs w:val="21"/>
        </w:rPr>
        <w:t>操作机构：弹簧操作机构</w:t>
      </w:r>
    </w:p>
    <w:p w14:paraId="1BC8AC69">
      <w:pPr>
        <w:snapToGrid w:val="0"/>
        <w:spacing w:line="360" w:lineRule="auto"/>
        <w:ind w:firstLine="630" w:firstLineChars="300"/>
        <w:rPr>
          <w:rFonts w:hint="eastAsia" w:ascii="宋体" w:hAnsi="宋体" w:eastAsia="宋体" w:cs="宋体"/>
          <w:szCs w:val="21"/>
        </w:rPr>
      </w:pPr>
      <w:r>
        <w:rPr>
          <w:rFonts w:hint="eastAsia" w:ascii="宋体" w:hAnsi="宋体" w:eastAsia="宋体" w:cs="宋体"/>
          <w:szCs w:val="21"/>
        </w:rPr>
        <w:t>电流互感器（装设在柜内）</w:t>
      </w:r>
    </w:p>
    <w:p w14:paraId="7C8B0432">
      <w:pPr>
        <w:snapToGrid w:val="0"/>
        <w:spacing w:line="360" w:lineRule="auto"/>
        <w:ind w:firstLine="630" w:firstLineChars="300"/>
        <w:rPr>
          <w:rFonts w:hint="eastAsia" w:ascii="宋体" w:hAnsi="宋体" w:eastAsia="宋体" w:cs="宋体"/>
          <w:szCs w:val="21"/>
        </w:rPr>
      </w:pPr>
      <w:r>
        <w:rPr>
          <w:rFonts w:hint="eastAsia" w:ascii="宋体" w:hAnsi="宋体" w:eastAsia="宋体" w:cs="宋体"/>
          <w:szCs w:val="21"/>
        </w:rPr>
        <w:t>型号                        LZZBJ9-12</w:t>
      </w:r>
    </w:p>
    <w:p w14:paraId="7C2CDA03">
      <w:pPr>
        <w:snapToGrid w:val="0"/>
        <w:spacing w:line="360" w:lineRule="auto"/>
        <w:ind w:firstLine="630" w:firstLineChars="300"/>
        <w:rPr>
          <w:rFonts w:hint="eastAsia" w:ascii="宋体" w:hAnsi="宋体" w:eastAsia="宋体" w:cs="宋体"/>
          <w:szCs w:val="21"/>
        </w:rPr>
      </w:pPr>
      <w:r>
        <w:rPr>
          <w:rFonts w:hint="eastAsia" w:ascii="宋体" w:hAnsi="宋体" w:eastAsia="宋体" w:cs="宋体"/>
          <w:szCs w:val="21"/>
        </w:rPr>
        <w:t>额定电压                    10kV</w:t>
      </w:r>
    </w:p>
    <w:p w14:paraId="5FB49C00">
      <w:pPr>
        <w:snapToGrid w:val="0"/>
        <w:spacing w:line="360" w:lineRule="auto"/>
        <w:ind w:firstLine="630" w:firstLineChars="300"/>
        <w:rPr>
          <w:rFonts w:hint="eastAsia" w:ascii="宋体" w:hAnsi="宋体" w:eastAsia="宋体" w:cs="宋体"/>
          <w:szCs w:val="21"/>
        </w:rPr>
      </w:pPr>
      <w:r>
        <w:rPr>
          <w:rFonts w:hint="eastAsia" w:ascii="宋体" w:hAnsi="宋体" w:eastAsia="宋体" w:cs="宋体"/>
          <w:szCs w:val="21"/>
        </w:rPr>
        <w:t>变比                       ***/***A   5P30/0.5/0.2S /5P30</w:t>
      </w:r>
    </w:p>
    <w:p w14:paraId="2ED19008">
      <w:pPr>
        <w:snapToGrid w:val="0"/>
        <w:spacing w:line="360" w:lineRule="auto"/>
        <w:ind w:firstLine="630" w:firstLineChars="300"/>
        <w:rPr>
          <w:rFonts w:hint="eastAsia" w:ascii="宋体" w:hAnsi="宋体" w:eastAsia="宋体" w:cs="宋体"/>
          <w:b/>
          <w:bCs/>
          <w:szCs w:val="21"/>
        </w:rPr>
      </w:pPr>
      <w:r>
        <w:rPr>
          <w:rFonts w:hint="eastAsia" w:ascii="宋体" w:hAnsi="宋体" w:eastAsia="宋体" w:cs="宋体"/>
          <w:szCs w:val="21"/>
        </w:rPr>
        <w:t>电压互感器（装设在柜内）</w:t>
      </w:r>
    </w:p>
    <w:p w14:paraId="388F4931">
      <w:pPr>
        <w:snapToGrid w:val="0"/>
        <w:spacing w:line="360" w:lineRule="auto"/>
        <w:ind w:firstLine="630" w:firstLineChars="300"/>
        <w:rPr>
          <w:rFonts w:hint="eastAsia" w:ascii="宋体" w:hAnsi="宋体" w:eastAsia="宋体" w:cs="宋体"/>
          <w:szCs w:val="21"/>
        </w:rPr>
      </w:pPr>
      <w:r>
        <w:rPr>
          <w:rFonts w:hint="eastAsia" w:ascii="宋体" w:hAnsi="宋体" w:eastAsia="宋体" w:cs="宋体"/>
          <w:szCs w:val="21"/>
        </w:rPr>
        <w:t>型号                       JDZX9-10Q</w:t>
      </w:r>
    </w:p>
    <w:p w14:paraId="6BF79ECF">
      <w:pPr>
        <w:snapToGrid w:val="0"/>
        <w:spacing w:line="360" w:lineRule="auto"/>
        <w:ind w:firstLine="630" w:firstLineChars="300"/>
        <w:rPr>
          <w:rFonts w:hint="eastAsia" w:ascii="宋体" w:hAnsi="宋体" w:eastAsia="宋体" w:cs="宋体"/>
          <w:szCs w:val="21"/>
        </w:rPr>
      </w:pPr>
      <w:r>
        <w:rPr>
          <w:rFonts w:hint="eastAsia" w:ascii="宋体" w:hAnsi="宋体" w:eastAsia="宋体" w:cs="宋体"/>
          <w:szCs w:val="21"/>
        </w:rPr>
        <w:t>额定电压                    10kV</w:t>
      </w:r>
    </w:p>
    <w:p w14:paraId="15946C61">
      <w:pPr>
        <w:snapToGrid w:val="0"/>
        <w:spacing w:line="360" w:lineRule="auto"/>
        <w:ind w:firstLine="630" w:firstLineChars="300"/>
        <w:rPr>
          <w:rFonts w:hint="eastAsia" w:ascii="宋体" w:hAnsi="宋体" w:eastAsia="宋体" w:cs="宋体"/>
          <w:szCs w:val="21"/>
        </w:rPr>
      </w:pPr>
      <w:r>
        <w:rPr>
          <w:rFonts w:hint="eastAsia" w:ascii="宋体" w:hAnsi="宋体" w:eastAsia="宋体" w:cs="宋体"/>
          <w:szCs w:val="21"/>
        </w:rPr>
        <w:t xml:space="preserve">变比                        </w:t>
      </w:r>
    </w:p>
    <w:p w14:paraId="7A0E7E68">
      <w:pPr>
        <w:snapToGrid w:val="0"/>
        <w:spacing w:line="360" w:lineRule="auto"/>
        <w:ind w:firstLine="630" w:firstLineChars="300"/>
        <w:rPr>
          <w:rFonts w:hint="eastAsia" w:ascii="宋体" w:hAnsi="宋体" w:eastAsia="宋体" w:cs="宋体"/>
          <w:szCs w:val="21"/>
        </w:rPr>
      </w:pPr>
      <w:r>
        <w:rPr>
          <w:rFonts w:hint="eastAsia" w:ascii="宋体" w:hAnsi="宋体" w:eastAsia="宋体" w:cs="宋体"/>
          <w:szCs w:val="21"/>
        </w:rPr>
        <w:t>避雷器型号：HY5WZ-51/134</w:t>
      </w:r>
    </w:p>
    <w:p w14:paraId="19144C54">
      <w:pPr>
        <w:snapToGrid w:val="0"/>
        <w:spacing w:line="360" w:lineRule="auto"/>
        <w:rPr>
          <w:rFonts w:hint="eastAsia" w:ascii="宋体" w:hAnsi="宋体" w:eastAsia="宋体" w:cs="宋体"/>
          <w:szCs w:val="21"/>
        </w:rPr>
      </w:pPr>
      <w:r>
        <w:rPr>
          <w:rFonts w:hint="eastAsia" w:ascii="宋体" w:hAnsi="宋体" w:eastAsia="宋体" w:cs="宋体"/>
          <w:szCs w:val="21"/>
        </w:rPr>
        <w:t>1.3.1.2产品设计应能使设备安全地进行下述各项工作：正常运行、检查、维护操作、主回路验电、安装和扩建后的相序校核和操作联锁、连接电缆的接地、电缆试验、连接电缆或其他器件的绝缘试验以及消除危险的静电电荷等。</w:t>
      </w:r>
    </w:p>
    <w:p w14:paraId="3AC0DF66">
      <w:pPr>
        <w:snapToGrid w:val="0"/>
        <w:spacing w:line="360" w:lineRule="auto"/>
        <w:rPr>
          <w:rFonts w:hint="eastAsia" w:ascii="宋体" w:hAnsi="宋体" w:eastAsia="宋体" w:cs="宋体"/>
          <w:szCs w:val="21"/>
        </w:rPr>
      </w:pPr>
      <w:r>
        <w:rPr>
          <w:rFonts w:hint="eastAsia" w:ascii="宋体" w:hAnsi="宋体" w:eastAsia="宋体" w:cs="宋体"/>
          <w:szCs w:val="21"/>
        </w:rPr>
        <w:t>1.3.1.3 产品的设计应能在允许的基础误差和热胀冷缩的热效应下不致影响设备所保证的性能，并满足与其他设备连接的要求。</w:t>
      </w:r>
    </w:p>
    <w:p w14:paraId="14471E54">
      <w:pPr>
        <w:snapToGrid w:val="0"/>
        <w:spacing w:line="360" w:lineRule="auto"/>
        <w:rPr>
          <w:rFonts w:hint="eastAsia" w:ascii="宋体" w:hAnsi="宋体" w:eastAsia="宋体" w:cs="宋体"/>
          <w:szCs w:val="21"/>
        </w:rPr>
      </w:pPr>
      <w:r>
        <w:rPr>
          <w:rFonts w:hint="eastAsia" w:ascii="宋体" w:hAnsi="宋体" w:eastAsia="宋体" w:cs="宋体"/>
          <w:szCs w:val="21"/>
        </w:rPr>
        <w:t>1.3.1.4  类型、额定值和结构相同的所有可移开部件和元件在机械和电气上应有互换性。</w:t>
      </w:r>
    </w:p>
    <w:p w14:paraId="076340EE">
      <w:pPr>
        <w:snapToGrid w:val="0"/>
        <w:spacing w:line="360" w:lineRule="auto"/>
        <w:rPr>
          <w:rFonts w:hint="eastAsia" w:ascii="宋体" w:hAnsi="宋体" w:eastAsia="宋体" w:cs="宋体"/>
          <w:szCs w:val="21"/>
        </w:rPr>
      </w:pPr>
      <w:r>
        <w:rPr>
          <w:rFonts w:hint="eastAsia" w:ascii="宋体" w:hAnsi="宋体" w:eastAsia="宋体" w:cs="宋体"/>
          <w:szCs w:val="21"/>
        </w:rPr>
        <w:t>1.3.1.5 各元件应符合各自的有关标准。10kV高压开关柜内的触头盒、穿墙套管局放小于3pC。</w:t>
      </w:r>
    </w:p>
    <w:p w14:paraId="05BE97B9">
      <w:pPr>
        <w:snapToGrid w:val="0"/>
        <w:spacing w:line="360" w:lineRule="auto"/>
        <w:rPr>
          <w:rFonts w:hint="eastAsia" w:ascii="宋体" w:hAnsi="宋体" w:eastAsia="宋体" w:cs="宋体"/>
          <w:szCs w:val="21"/>
        </w:rPr>
      </w:pPr>
      <w:r>
        <w:rPr>
          <w:rFonts w:hint="eastAsia" w:ascii="宋体" w:hAnsi="宋体" w:eastAsia="宋体" w:cs="宋体"/>
          <w:szCs w:val="21"/>
        </w:rPr>
        <w:t>1.3.1.6 10kV高压开关柜母线，母排端部应采取倒圆角的措施，圆角直径为母排厚度，母排上套绝缘护套。</w:t>
      </w:r>
    </w:p>
    <w:p w14:paraId="7BCF3C97">
      <w:pPr>
        <w:snapToGrid w:val="0"/>
        <w:spacing w:line="360" w:lineRule="auto"/>
        <w:rPr>
          <w:rFonts w:hint="eastAsia" w:ascii="宋体" w:hAnsi="宋体" w:eastAsia="宋体" w:cs="宋体"/>
          <w:szCs w:val="21"/>
        </w:rPr>
      </w:pPr>
      <w:r>
        <w:rPr>
          <w:rFonts w:hint="eastAsia" w:ascii="宋体" w:hAnsi="宋体" w:eastAsia="宋体" w:cs="宋体"/>
          <w:szCs w:val="21"/>
        </w:rPr>
        <w:t>1.3.1.7  柜体应采用敷铝锌钢板弯折后栓接而成或采用优质防锈处理的冷轧钢板制成，板厚不得小于2mm。</w:t>
      </w:r>
    </w:p>
    <w:p w14:paraId="58546963">
      <w:pPr>
        <w:snapToGrid w:val="0"/>
        <w:spacing w:line="360" w:lineRule="auto"/>
        <w:rPr>
          <w:rFonts w:hint="eastAsia" w:ascii="宋体" w:hAnsi="宋体" w:eastAsia="宋体" w:cs="宋体"/>
          <w:szCs w:val="21"/>
        </w:rPr>
      </w:pPr>
      <w:r>
        <w:rPr>
          <w:rFonts w:hint="eastAsia" w:ascii="宋体" w:hAnsi="宋体" w:eastAsia="宋体" w:cs="宋体"/>
          <w:szCs w:val="21"/>
        </w:rPr>
        <w:t>1.3.1.8 开关柜应分为断路器室、母线室、电缆室和控制仪表室等金属封闭的独立隔室，其中仪表室有独立的泄压通道。</w:t>
      </w:r>
    </w:p>
    <w:p w14:paraId="395BD09C">
      <w:pPr>
        <w:snapToGrid w:val="0"/>
        <w:spacing w:line="360" w:lineRule="auto"/>
        <w:rPr>
          <w:rFonts w:hint="eastAsia" w:ascii="宋体" w:hAnsi="宋体" w:eastAsia="宋体" w:cs="宋体"/>
          <w:szCs w:val="21"/>
        </w:rPr>
      </w:pPr>
      <w:r>
        <w:rPr>
          <w:rFonts w:hint="eastAsia" w:ascii="宋体" w:hAnsi="宋体" w:eastAsia="宋体" w:cs="宋体"/>
          <w:szCs w:val="21"/>
        </w:rPr>
        <w:t>1.3.1.9 断路器室的活门应标有母线侧、线路侧等识别字样。母线侧活门还应附有红色带电标志和相色标志。活门与断路器手车联锁。</w:t>
      </w:r>
    </w:p>
    <w:p w14:paraId="125EBBC1">
      <w:pPr>
        <w:snapToGrid w:val="0"/>
        <w:spacing w:line="360" w:lineRule="auto"/>
        <w:rPr>
          <w:rFonts w:hint="eastAsia" w:ascii="宋体" w:hAnsi="宋体" w:eastAsia="宋体" w:cs="宋体"/>
          <w:szCs w:val="21"/>
        </w:rPr>
      </w:pPr>
      <w:r>
        <w:rPr>
          <w:rFonts w:hint="eastAsia" w:ascii="宋体" w:hAnsi="宋体" w:eastAsia="宋体" w:cs="宋体"/>
          <w:szCs w:val="21"/>
        </w:rPr>
        <w:t>1.3.1.10  开关柜相序按面对开关柜从左至右为A、B、C，从上到下排列为A、B、C。</w:t>
      </w:r>
    </w:p>
    <w:p w14:paraId="57558EBD">
      <w:pPr>
        <w:snapToGrid w:val="0"/>
        <w:spacing w:line="360" w:lineRule="auto"/>
        <w:rPr>
          <w:rFonts w:hint="eastAsia" w:ascii="宋体" w:hAnsi="宋体" w:eastAsia="宋体" w:cs="宋体"/>
          <w:szCs w:val="21"/>
        </w:rPr>
      </w:pPr>
      <w:r>
        <w:rPr>
          <w:rFonts w:hint="eastAsia" w:ascii="宋体" w:hAnsi="宋体" w:eastAsia="宋体" w:cs="宋体"/>
          <w:szCs w:val="21"/>
        </w:rPr>
        <w:t>1.3.1.11 对最小空气间隙的要求：</w:t>
      </w:r>
    </w:p>
    <w:p w14:paraId="0851C846">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1）单纯以空气作为绝缘介质的开关柜，相间和相对地的最小空气间隙应满足下列要求：</w:t>
      </w:r>
    </w:p>
    <w:p w14:paraId="447CD037">
      <w:pPr>
        <w:snapToGrid w:val="0"/>
        <w:spacing w:line="360" w:lineRule="auto"/>
        <w:rPr>
          <w:rFonts w:hint="eastAsia" w:ascii="宋体" w:hAnsi="宋体" w:eastAsia="宋体" w:cs="宋体"/>
          <w:szCs w:val="21"/>
        </w:rPr>
      </w:pPr>
      <w:r>
        <w:rPr>
          <w:rFonts w:hint="eastAsia" w:ascii="宋体" w:hAnsi="宋体" w:eastAsia="宋体" w:cs="宋体"/>
          <w:szCs w:val="21"/>
        </w:rPr>
        <w:t>10kV：相间和相对地不小于125mm，带电体至门不小于155mm。</w:t>
      </w:r>
    </w:p>
    <w:p w14:paraId="034C9CF5">
      <w:pPr>
        <w:snapToGrid w:val="0"/>
        <w:spacing w:line="360" w:lineRule="auto"/>
        <w:ind w:firstLine="420"/>
        <w:rPr>
          <w:rFonts w:hint="eastAsia" w:ascii="宋体" w:hAnsi="宋体" w:eastAsia="宋体" w:cs="宋体"/>
          <w:szCs w:val="21"/>
        </w:rPr>
      </w:pPr>
      <w:r>
        <w:rPr>
          <w:rFonts w:hint="eastAsia" w:ascii="宋体" w:hAnsi="宋体" w:eastAsia="宋体" w:cs="宋体"/>
          <w:szCs w:val="21"/>
        </w:rPr>
        <w:t>2）以空气和绝缘隔板组成的复合绝缘作为绝缘介质的开关柜，绝缘隔板应选用耐电弧、耐高温、阻燃、低毒、不吸潮且具有优良机械强度和电气绝缘性能的材料。带电体与绝缘板之间的最小空气间隙应满足：对10kV设备应不小于30mm。</w:t>
      </w:r>
    </w:p>
    <w:p w14:paraId="2D2E27B7">
      <w:pPr>
        <w:snapToGrid w:val="0"/>
        <w:spacing w:line="360" w:lineRule="auto"/>
        <w:ind w:firstLine="420"/>
        <w:rPr>
          <w:rFonts w:hint="eastAsia" w:ascii="宋体" w:hAnsi="宋体" w:eastAsia="宋体" w:cs="宋体"/>
          <w:szCs w:val="21"/>
        </w:rPr>
      </w:pPr>
      <w:r>
        <w:rPr>
          <w:rFonts w:hint="eastAsia" w:ascii="宋体" w:hAnsi="宋体" w:eastAsia="宋体" w:cs="宋体"/>
          <w:szCs w:val="21"/>
        </w:rPr>
        <w:t>如采用热缩套包裹导体结构，则该部位必须满足不小于155mm的空气绝缘净距要求。</w:t>
      </w:r>
    </w:p>
    <w:p w14:paraId="5EB6609C">
      <w:pPr>
        <w:snapToGrid w:val="0"/>
        <w:spacing w:line="360" w:lineRule="auto"/>
        <w:ind w:firstLine="407" w:firstLineChars="194"/>
        <w:rPr>
          <w:rFonts w:hint="eastAsia" w:ascii="宋体" w:hAnsi="宋体" w:eastAsia="宋体" w:cs="宋体"/>
          <w:szCs w:val="21"/>
        </w:rPr>
      </w:pPr>
      <w:r>
        <w:rPr>
          <w:rFonts w:hint="eastAsia" w:ascii="宋体" w:hAnsi="宋体" w:eastAsia="宋体" w:cs="宋体"/>
          <w:szCs w:val="21"/>
        </w:rPr>
        <w:t>3）开关柜内部导体采用的热缩绝缘材料老化寿命应大于25年，并提供试验报告。</w:t>
      </w:r>
    </w:p>
    <w:p w14:paraId="15A53C4E">
      <w:pPr>
        <w:snapToGrid w:val="0"/>
        <w:spacing w:line="360" w:lineRule="auto"/>
        <w:ind w:firstLine="407" w:firstLineChars="194"/>
        <w:rPr>
          <w:rFonts w:hint="eastAsia" w:ascii="宋体" w:hAnsi="宋体" w:eastAsia="宋体" w:cs="宋体"/>
          <w:szCs w:val="21"/>
        </w:rPr>
      </w:pPr>
      <w:r>
        <w:rPr>
          <w:rFonts w:hint="eastAsia" w:ascii="宋体" w:hAnsi="宋体" w:eastAsia="宋体" w:cs="宋体"/>
          <w:szCs w:val="21"/>
        </w:rPr>
        <w:t>4）以上空气间隙要求应根据使用海拔高度进行修正。</w:t>
      </w:r>
    </w:p>
    <w:p w14:paraId="7F074AEF">
      <w:pPr>
        <w:snapToGrid w:val="0"/>
        <w:spacing w:line="360" w:lineRule="auto"/>
        <w:rPr>
          <w:rFonts w:hint="eastAsia" w:ascii="宋体" w:hAnsi="宋体" w:eastAsia="宋体" w:cs="宋体"/>
          <w:szCs w:val="21"/>
        </w:rPr>
      </w:pPr>
      <w:r>
        <w:rPr>
          <w:rFonts w:hint="eastAsia" w:ascii="宋体" w:hAnsi="宋体" w:eastAsia="宋体" w:cs="宋体"/>
          <w:szCs w:val="21"/>
        </w:rPr>
        <w:t>1.3.1.12对接地的要求：</w:t>
      </w:r>
    </w:p>
    <w:p w14:paraId="55D2A16B">
      <w:pPr>
        <w:snapToGrid w:val="0"/>
        <w:spacing w:line="360" w:lineRule="auto"/>
        <w:ind w:firstLine="420"/>
        <w:rPr>
          <w:rFonts w:hint="eastAsia" w:ascii="宋体" w:hAnsi="宋体" w:eastAsia="宋体" w:cs="宋体"/>
          <w:szCs w:val="21"/>
        </w:rPr>
      </w:pPr>
      <w:r>
        <w:rPr>
          <w:rFonts w:hint="eastAsia" w:ascii="宋体" w:hAnsi="宋体" w:eastAsia="宋体" w:cs="宋体"/>
          <w:szCs w:val="21"/>
        </w:rPr>
        <w:t>1）开关柜的底架上均应设置可靠的适用于规定故障条件的接地端子，该端子应有一紧固螺钉或螺栓连接至接地导体。紧固螺钉或螺栓的直径应不小于12mm。接地连接点应标以清晰可见的接地符号。</w:t>
      </w:r>
    </w:p>
    <w:p w14:paraId="0C87639C">
      <w:pPr>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2）接地导体应采用铜质导体，在规定的接地故障条件下，在额定短路持续时间为4s时，其电流密度不应超过110A/mm</w:t>
      </w:r>
      <w:r>
        <w:rPr>
          <w:rFonts w:hint="eastAsia" w:ascii="宋体" w:hAnsi="宋体" w:eastAsia="宋体" w:cs="宋体"/>
          <w:szCs w:val="21"/>
          <w:vertAlign w:val="superscript"/>
        </w:rPr>
        <w:t>2</w:t>
      </w:r>
      <w:r>
        <w:rPr>
          <w:rFonts w:hint="eastAsia" w:ascii="宋体" w:hAnsi="宋体" w:eastAsia="宋体" w:cs="宋体"/>
          <w:szCs w:val="21"/>
        </w:rPr>
        <w:t>，但最小截面积不应小于240mm</w:t>
      </w:r>
      <w:r>
        <w:rPr>
          <w:rFonts w:hint="eastAsia" w:ascii="宋体" w:hAnsi="宋体" w:eastAsia="宋体" w:cs="宋体"/>
          <w:szCs w:val="21"/>
          <w:vertAlign w:val="superscript"/>
        </w:rPr>
        <w:t>2</w:t>
      </w:r>
      <w:r>
        <w:rPr>
          <w:rFonts w:hint="eastAsia" w:ascii="宋体" w:hAnsi="宋体" w:eastAsia="宋体" w:cs="宋体"/>
          <w:szCs w:val="21"/>
        </w:rPr>
        <w:t>。接地导体的末端应用铜质端子与设备的接地系统相连接，端子的电气接触面积应与接地导体的截面相适应，但最小电气接触面积不应小于160mm</w:t>
      </w:r>
      <w:r>
        <w:rPr>
          <w:rFonts w:hint="eastAsia" w:ascii="宋体" w:hAnsi="宋体" w:eastAsia="宋体" w:cs="宋体"/>
          <w:szCs w:val="21"/>
          <w:vertAlign w:val="superscript"/>
        </w:rPr>
        <w:t>2</w:t>
      </w:r>
      <w:r>
        <w:rPr>
          <w:rFonts w:hint="eastAsia" w:ascii="宋体" w:hAnsi="宋体" w:eastAsia="宋体" w:cs="宋体"/>
          <w:szCs w:val="21"/>
        </w:rPr>
        <w:t>。</w:t>
      </w:r>
    </w:p>
    <w:p w14:paraId="41051410">
      <w:pPr>
        <w:snapToGrid w:val="0"/>
        <w:spacing w:line="360" w:lineRule="auto"/>
        <w:ind w:firstLine="407" w:firstLineChars="194"/>
        <w:rPr>
          <w:rFonts w:hint="eastAsia" w:ascii="宋体" w:hAnsi="宋体" w:eastAsia="宋体" w:cs="宋体"/>
          <w:szCs w:val="21"/>
        </w:rPr>
      </w:pPr>
      <w:r>
        <w:rPr>
          <w:rFonts w:hint="eastAsia" w:ascii="宋体" w:hAnsi="宋体" w:eastAsia="宋体" w:cs="宋体"/>
          <w:szCs w:val="21"/>
        </w:rPr>
        <w:t>3）主回路中凡规定或需要触及的所有部件都应可靠接地。</w:t>
      </w:r>
    </w:p>
    <w:p w14:paraId="7ADF9315">
      <w:pPr>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4）各个功能单元的外壳均应连接到接地导体上，除主回路和辅助回路之外的所有要接地的金属部件应直接或通过金属构件与接地导体相连接。金属部件和外壳到接地端子之间通过30A直流电流时压降不大于3V。功能单元内部的相互连接应保证电气连续性。</w:t>
      </w:r>
    </w:p>
    <w:p w14:paraId="6E1A94B2">
      <w:pPr>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5）可抽出部件应接地的金属部件，在试验位置、隔离位置及任何中间位置均应保持接地。</w:t>
      </w:r>
    </w:p>
    <w:p w14:paraId="0CC76B7A">
      <w:pPr>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6）可移开部件应接地的金属部件，在插入和抽出过程中，在静触头和主回路的可移开部件接触之前和分离过程中应接地，以保证能通过可能的最大短路电流。</w:t>
      </w:r>
    </w:p>
    <w:p w14:paraId="5972CFB5">
      <w:pPr>
        <w:snapToGrid w:val="0"/>
        <w:spacing w:line="360" w:lineRule="auto"/>
        <w:ind w:firstLine="420"/>
        <w:rPr>
          <w:rFonts w:hint="eastAsia" w:ascii="宋体" w:hAnsi="宋体" w:eastAsia="宋体" w:cs="宋体"/>
          <w:szCs w:val="21"/>
        </w:rPr>
      </w:pPr>
      <w:r>
        <w:rPr>
          <w:rFonts w:hint="eastAsia" w:ascii="宋体" w:hAnsi="宋体" w:eastAsia="宋体" w:cs="宋体"/>
          <w:szCs w:val="21"/>
        </w:rPr>
        <w:t>7）接地回路应能承受的短时耐受电流最大值为主回路额定短时耐受电流的87%。</w:t>
      </w:r>
    </w:p>
    <w:p w14:paraId="249728EC">
      <w:pPr>
        <w:snapToGrid w:val="0"/>
        <w:spacing w:line="360" w:lineRule="auto"/>
        <w:ind w:firstLine="420"/>
        <w:rPr>
          <w:rFonts w:hint="eastAsia" w:ascii="宋体" w:hAnsi="宋体" w:eastAsia="宋体" w:cs="宋体"/>
          <w:szCs w:val="21"/>
        </w:rPr>
      </w:pPr>
      <w:r>
        <w:rPr>
          <w:rFonts w:hint="eastAsia" w:ascii="宋体" w:hAnsi="宋体" w:eastAsia="宋体" w:cs="宋体"/>
          <w:szCs w:val="21"/>
        </w:rPr>
        <w:t>8）二次控制仪表室应设有专用独立的接地导体（若需要）。</w:t>
      </w:r>
    </w:p>
    <w:p w14:paraId="5609BB3A">
      <w:pPr>
        <w:snapToGrid w:val="0"/>
        <w:spacing w:line="360" w:lineRule="auto"/>
        <w:rPr>
          <w:rFonts w:hint="eastAsia" w:ascii="宋体" w:hAnsi="宋体" w:eastAsia="宋体" w:cs="宋体"/>
          <w:szCs w:val="21"/>
        </w:rPr>
      </w:pPr>
      <w:r>
        <w:rPr>
          <w:rFonts w:hint="eastAsia" w:ascii="宋体" w:hAnsi="宋体" w:eastAsia="宋体" w:cs="宋体"/>
          <w:szCs w:val="21"/>
        </w:rPr>
        <w:t>1.3.1.13 开关柜柜顶设有横眉可粘贴间隔名称。开关柜前门表面应标有清晰明显的主接线示意图。</w:t>
      </w:r>
    </w:p>
    <w:p w14:paraId="4E608393">
      <w:pPr>
        <w:snapToGrid w:val="0"/>
        <w:spacing w:line="360" w:lineRule="auto"/>
        <w:rPr>
          <w:rFonts w:hint="eastAsia" w:ascii="宋体" w:hAnsi="宋体" w:eastAsia="宋体" w:cs="宋体"/>
          <w:szCs w:val="21"/>
        </w:rPr>
      </w:pPr>
      <w:r>
        <w:rPr>
          <w:rFonts w:hint="eastAsia" w:ascii="宋体" w:hAnsi="宋体" w:eastAsia="宋体" w:cs="宋体"/>
          <w:szCs w:val="21"/>
        </w:rPr>
        <w:t>1.3.1.14 观察窗的要求：</w:t>
      </w:r>
    </w:p>
    <w:p w14:paraId="67A480A2">
      <w:pPr>
        <w:snapToGrid w:val="0"/>
        <w:spacing w:line="360" w:lineRule="auto"/>
        <w:ind w:firstLine="420"/>
        <w:rPr>
          <w:rFonts w:hint="eastAsia" w:ascii="宋体" w:hAnsi="宋体" w:eastAsia="宋体" w:cs="宋体"/>
          <w:szCs w:val="21"/>
        </w:rPr>
      </w:pPr>
      <w:r>
        <w:rPr>
          <w:rFonts w:hint="eastAsia" w:ascii="宋体" w:hAnsi="宋体" w:eastAsia="宋体" w:cs="宋体"/>
          <w:szCs w:val="21"/>
        </w:rPr>
        <w:t>1）观察窗至少应达到对外壳规定的防护等级。</w:t>
      </w:r>
    </w:p>
    <w:p w14:paraId="2CE7A5B6">
      <w:pPr>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2）观察窗应使用机械强度与外壳相当的透明板，同时应有足够的电气间隙和静电屏蔽措施，防止危险的静电电荷。</w:t>
      </w:r>
    </w:p>
    <w:p w14:paraId="4DCD0F4F">
      <w:pPr>
        <w:snapToGrid w:val="0"/>
        <w:spacing w:line="360" w:lineRule="auto"/>
        <w:ind w:firstLine="420"/>
        <w:rPr>
          <w:rFonts w:hint="eastAsia" w:ascii="宋体" w:hAnsi="宋体" w:eastAsia="宋体" w:cs="宋体"/>
          <w:szCs w:val="21"/>
        </w:rPr>
      </w:pPr>
      <w:r>
        <w:rPr>
          <w:rFonts w:hint="eastAsia" w:ascii="宋体" w:hAnsi="宋体" w:eastAsia="宋体" w:cs="宋体"/>
          <w:szCs w:val="21"/>
        </w:rPr>
        <w:t>3）主回路的带电部分与观察窗的可触及表面的绝缘应满足相对地的绝缘要求。</w:t>
      </w:r>
    </w:p>
    <w:p w14:paraId="4ED11B85">
      <w:pPr>
        <w:snapToGrid w:val="0"/>
        <w:spacing w:line="360" w:lineRule="auto"/>
        <w:rPr>
          <w:rFonts w:hint="eastAsia" w:ascii="宋体" w:hAnsi="宋体" w:eastAsia="宋体" w:cs="宋体"/>
          <w:szCs w:val="21"/>
        </w:rPr>
      </w:pPr>
      <w:r>
        <w:rPr>
          <w:rFonts w:hint="eastAsia" w:ascii="宋体" w:hAnsi="宋体" w:eastAsia="宋体" w:cs="宋体"/>
          <w:szCs w:val="21"/>
        </w:rPr>
        <w:t>1.3.1.15 对柜内照明的要求：开关柜内电缆室和二次控制仪表室应设置照明设备。</w:t>
      </w:r>
    </w:p>
    <w:p w14:paraId="4719A4A4">
      <w:pPr>
        <w:snapToGrid w:val="0"/>
        <w:spacing w:line="360" w:lineRule="auto"/>
        <w:rPr>
          <w:rFonts w:hint="eastAsia" w:ascii="宋体" w:hAnsi="宋体" w:eastAsia="宋体" w:cs="宋体"/>
          <w:szCs w:val="21"/>
        </w:rPr>
      </w:pPr>
      <w:r>
        <w:rPr>
          <w:rFonts w:hint="eastAsia" w:ascii="宋体" w:hAnsi="宋体" w:eastAsia="宋体" w:cs="宋体"/>
          <w:szCs w:val="21"/>
        </w:rPr>
        <w:t xml:space="preserve">1.3.1.16 </w:t>
      </w:r>
      <w:bookmarkStart w:id="2" w:name="_Toc114236681"/>
      <w:r>
        <w:rPr>
          <w:rFonts w:hint="eastAsia" w:ascii="宋体" w:hAnsi="宋体" w:eastAsia="宋体" w:cs="宋体"/>
          <w:szCs w:val="21"/>
        </w:rPr>
        <w:t>开关柜应配置开关状态指示器，开关状态指示器功能至少包括动态模拟图，高压带电指示，温湿度控制等。开关柜内设电加热器，并由状态指示器中温湿度控制器进行控制。</w:t>
      </w:r>
      <w:bookmarkEnd w:id="2"/>
    </w:p>
    <w:p w14:paraId="3DCE13ED">
      <w:pPr>
        <w:snapToGrid w:val="0"/>
        <w:spacing w:line="360" w:lineRule="auto"/>
        <w:rPr>
          <w:rFonts w:hint="eastAsia" w:ascii="宋体" w:hAnsi="宋体" w:eastAsia="宋体" w:cs="宋体"/>
          <w:szCs w:val="21"/>
        </w:rPr>
      </w:pPr>
      <w:r>
        <w:rPr>
          <w:rFonts w:hint="eastAsia" w:ascii="宋体" w:hAnsi="宋体" w:eastAsia="宋体" w:cs="宋体"/>
          <w:szCs w:val="21"/>
        </w:rPr>
        <w:t>1.3.1</w:t>
      </w:r>
      <w:r>
        <w:rPr>
          <w:rFonts w:hint="eastAsia" w:ascii="宋体" w:hAnsi="宋体" w:eastAsia="宋体" w:cs="宋体"/>
          <w:spacing w:val="20"/>
          <w:szCs w:val="21"/>
        </w:rPr>
        <w:t>.</w:t>
      </w:r>
      <w:r>
        <w:rPr>
          <w:rFonts w:hint="eastAsia" w:ascii="宋体" w:hAnsi="宋体" w:eastAsia="宋体" w:cs="宋体"/>
          <w:szCs w:val="21"/>
        </w:rPr>
        <w:t>17 开关柜的“五防”和联锁要求：</w:t>
      </w:r>
    </w:p>
    <w:p w14:paraId="25DF379A">
      <w:pPr>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1）开关柜应具有可靠的“五防”功能：防止误分、误合断路器；防止带负荷分、合隔离开关（插头）；防止带电分、合接地刀闸；防止带接地刀闸送电；防止误入带电间隔。各个柜体的五防均由本柜解决。</w:t>
      </w:r>
    </w:p>
    <w:p w14:paraId="7F64D3E0">
      <w:pPr>
        <w:snapToGrid w:val="0"/>
        <w:spacing w:line="360" w:lineRule="auto"/>
        <w:ind w:firstLine="407" w:firstLineChars="194"/>
        <w:rPr>
          <w:rFonts w:hint="eastAsia" w:ascii="宋体" w:hAnsi="宋体" w:eastAsia="宋体" w:cs="宋体"/>
          <w:szCs w:val="21"/>
        </w:rPr>
      </w:pPr>
      <w:r>
        <w:rPr>
          <w:rFonts w:hint="eastAsia" w:ascii="宋体" w:hAnsi="宋体" w:eastAsia="宋体" w:cs="宋体"/>
          <w:szCs w:val="21"/>
        </w:rPr>
        <w:t>2）电缆室门与接地刀闸采取机械闭锁方式，并有紧急解锁装置。</w:t>
      </w:r>
    </w:p>
    <w:p w14:paraId="5A213CC6">
      <w:pPr>
        <w:snapToGrid w:val="0"/>
        <w:spacing w:line="360" w:lineRule="auto"/>
        <w:ind w:firstLine="407" w:firstLineChars="194"/>
        <w:rPr>
          <w:rFonts w:hint="eastAsia" w:ascii="宋体" w:hAnsi="宋体" w:eastAsia="宋体" w:cs="宋体"/>
          <w:szCs w:val="21"/>
        </w:rPr>
      </w:pPr>
      <w:r>
        <w:rPr>
          <w:rFonts w:hint="eastAsia" w:ascii="宋体" w:hAnsi="宋体" w:eastAsia="宋体" w:cs="宋体"/>
          <w:szCs w:val="21"/>
        </w:rPr>
        <w:t>3）当断路器处在合闸位置时，断路器小车无法推进或拉出。</w:t>
      </w:r>
    </w:p>
    <w:p w14:paraId="48255045">
      <w:pPr>
        <w:snapToGrid w:val="0"/>
        <w:spacing w:line="360" w:lineRule="auto"/>
        <w:ind w:firstLine="407" w:firstLineChars="194"/>
        <w:rPr>
          <w:rFonts w:hint="eastAsia" w:ascii="宋体" w:hAnsi="宋体" w:eastAsia="宋体" w:cs="宋体"/>
          <w:szCs w:val="21"/>
        </w:rPr>
      </w:pPr>
      <w:r>
        <w:rPr>
          <w:rFonts w:hint="eastAsia" w:ascii="宋体" w:hAnsi="宋体" w:eastAsia="宋体" w:cs="宋体"/>
          <w:szCs w:val="21"/>
        </w:rPr>
        <w:t>4）当断路器小车未到工作或试验位置时，断路器无法进行合闸操作。</w:t>
      </w:r>
    </w:p>
    <w:p w14:paraId="5A8546D3">
      <w:pPr>
        <w:snapToGrid w:val="0"/>
        <w:spacing w:line="360" w:lineRule="auto"/>
        <w:ind w:firstLine="407" w:firstLineChars="194"/>
        <w:rPr>
          <w:rFonts w:hint="eastAsia" w:ascii="宋体" w:hAnsi="宋体" w:eastAsia="宋体" w:cs="宋体"/>
          <w:szCs w:val="21"/>
        </w:rPr>
      </w:pPr>
      <w:r>
        <w:rPr>
          <w:rFonts w:hint="eastAsia" w:ascii="宋体" w:hAnsi="宋体" w:eastAsia="宋体" w:cs="宋体"/>
          <w:szCs w:val="21"/>
        </w:rPr>
        <w:t>5）当接地刀闸处在合闸位置时，断路器小车无法从“试验”位置进入“工作”位置。</w:t>
      </w:r>
    </w:p>
    <w:p w14:paraId="45FAEBBC">
      <w:pPr>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6）当断路器小车处在“试验”位置与“工作”位置之间（包括“工作”位置）时，无法操作接地刀闸。</w:t>
      </w:r>
    </w:p>
    <w:p w14:paraId="46327864">
      <w:pPr>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7）进出线柜应装有能反映出线侧有无电压，并具有自检功能的带电显示装置。当出线侧带电时，应闭锁操作接地刀闸。</w:t>
      </w:r>
    </w:p>
    <w:p w14:paraId="19418027">
      <w:pPr>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8）母线验电小车只有在母联分段柜开关小车及对应主变压器开关小车在试验或检修位置时才允许推入。母线接地时，该母线上的验电小车不能推入。</w:t>
      </w:r>
    </w:p>
    <w:p w14:paraId="00DE1A42">
      <w:pPr>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9）站用变压器柜的前门应具有带电显示强制闭锁，并留有方便站用变检修时接地线的部位，要求与柜前门有相互闭锁。</w:t>
      </w:r>
    </w:p>
    <w:p w14:paraId="63A21165">
      <w:pPr>
        <w:tabs>
          <w:tab w:val="left" w:pos="938"/>
        </w:tabs>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10）站用变压器柜内的隔离小车与柜内的低压总开关应设机械闭锁或电气闭锁。其程序过程为应先拉开低压总开关、再拉出隔离小车，然后再开站用变柜门，反之亦然。</w:t>
      </w:r>
    </w:p>
    <w:p w14:paraId="5B822B1B">
      <w:pPr>
        <w:tabs>
          <w:tab w:val="left" w:pos="938"/>
        </w:tabs>
        <w:snapToGrid w:val="0"/>
        <w:spacing w:line="360" w:lineRule="auto"/>
        <w:ind w:firstLine="407" w:firstLineChars="194"/>
        <w:rPr>
          <w:rFonts w:hint="eastAsia" w:ascii="宋体" w:hAnsi="宋体" w:eastAsia="宋体" w:cs="宋体"/>
          <w:szCs w:val="21"/>
        </w:rPr>
      </w:pPr>
      <w:r>
        <w:rPr>
          <w:rFonts w:hint="eastAsia" w:ascii="宋体" w:hAnsi="宋体" w:eastAsia="宋体" w:cs="宋体"/>
          <w:szCs w:val="21"/>
        </w:rPr>
        <w:t>11）开关柜电气闭锁应单独设置电源回路，且与其他回路独立。</w:t>
      </w:r>
    </w:p>
    <w:p w14:paraId="2BBC80D4">
      <w:pPr>
        <w:snapToGrid w:val="0"/>
        <w:spacing w:line="360" w:lineRule="auto"/>
        <w:rPr>
          <w:rFonts w:hint="eastAsia" w:ascii="宋体" w:hAnsi="宋体" w:eastAsia="宋体" w:cs="宋体"/>
          <w:szCs w:val="21"/>
        </w:rPr>
      </w:pPr>
      <w:r>
        <w:rPr>
          <w:rFonts w:hint="eastAsia" w:ascii="宋体" w:hAnsi="宋体" w:eastAsia="宋体" w:cs="宋体"/>
          <w:szCs w:val="21"/>
        </w:rPr>
        <w:t>1.3.1</w:t>
      </w:r>
      <w:r>
        <w:rPr>
          <w:rFonts w:hint="eastAsia" w:ascii="宋体" w:hAnsi="宋体" w:eastAsia="宋体" w:cs="宋体"/>
          <w:spacing w:val="20"/>
          <w:szCs w:val="21"/>
        </w:rPr>
        <w:t>.</w:t>
      </w:r>
      <w:r>
        <w:rPr>
          <w:rFonts w:hint="eastAsia" w:ascii="宋体" w:hAnsi="宋体" w:eastAsia="宋体" w:cs="宋体"/>
          <w:szCs w:val="21"/>
        </w:rPr>
        <w:t>18 对开关柜限制并避免内部电弧故障的要求：</w:t>
      </w:r>
    </w:p>
    <w:p w14:paraId="79A70C92">
      <w:pPr>
        <w:snapToGrid w:val="0"/>
        <w:spacing w:line="360" w:lineRule="auto"/>
        <w:ind w:firstLine="407" w:firstLineChars="194"/>
        <w:rPr>
          <w:rFonts w:hint="eastAsia" w:ascii="宋体" w:hAnsi="宋体" w:eastAsia="宋体" w:cs="宋体"/>
          <w:szCs w:val="21"/>
        </w:rPr>
      </w:pPr>
      <w:r>
        <w:rPr>
          <w:rFonts w:hint="eastAsia" w:ascii="宋体" w:hAnsi="宋体" w:eastAsia="宋体" w:cs="宋体"/>
          <w:szCs w:val="21"/>
        </w:rPr>
        <w:t>1）开关柜应通过内部燃弧试验，并出具相应的试验报告。</w:t>
      </w:r>
    </w:p>
    <w:p w14:paraId="189A28CA">
      <w:pPr>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2）开关柜的各隔室之间，应满足正常使用条件和限制隔室内部电弧影响的要求；并能防止因本身缺陷、异常或误操作导致的内电弧伤及工作人员，能限制电弧的燃烧范围。</w:t>
      </w:r>
    </w:p>
    <w:p w14:paraId="6D1B88A6">
      <w:pPr>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3）应采取防止人为造成内部故障的措施，还应考虑到由于柜内组件动作造成的故障引起隔室内过压及压力释放装置喷出气体，可能对人员和其他正常运行设备的影响。</w:t>
      </w:r>
    </w:p>
    <w:p w14:paraId="54563C25">
      <w:pPr>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4）在仪表室设有排气通道和泄压装置，当产生内部故障电弧时，泄压通道将被自动打开，释放内部压力，压力排泄方向为无人经过区域，泄压侧应选用尼龙螺栓。</w:t>
      </w:r>
    </w:p>
    <w:p w14:paraId="0B4E2A64">
      <w:pPr>
        <w:snapToGrid w:val="0"/>
        <w:spacing w:line="360" w:lineRule="auto"/>
        <w:rPr>
          <w:rFonts w:hint="eastAsia" w:ascii="宋体" w:hAnsi="宋体" w:eastAsia="宋体" w:cs="宋体"/>
          <w:szCs w:val="21"/>
        </w:rPr>
      </w:pPr>
      <w:r>
        <w:rPr>
          <w:rFonts w:hint="eastAsia" w:ascii="宋体" w:hAnsi="宋体" w:eastAsia="宋体" w:cs="宋体"/>
          <w:szCs w:val="21"/>
        </w:rPr>
        <w:t>1.3.1</w:t>
      </w:r>
      <w:r>
        <w:rPr>
          <w:rFonts w:hint="eastAsia" w:ascii="宋体" w:hAnsi="宋体" w:eastAsia="宋体" w:cs="宋体"/>
          <w:spacing w:val="20"/>
          <w:szCs w:val="21"/>
        </w:rPr>
        <w:t>.</w:t>
      </w:r>
      <w:r>
        <w:rPr>
          <w:rFonts w:hint="eastAsia" w:ascii="宋体" w:hAnsi="宋体" w:eastAsia="宋体" w:cs="宋体"/>
          <w:szCs w:val="21"/>
        </w:rPr>
        <w:t>19 开关柜防护等级的要求：</w:t>
      </w:r>
    </w:p>
    <w:p w14:paraId="50BCF4BA">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在开关柜的柜门关闭时防护等级应达到IP4X或以上，柜门打开时防护等级达到IP2X或以上。</w:t>
      </w:r>
    </w:p>
    <w:p w14:paraId="7C055876">
      <w:pPr>
        <w:topLinePunct/>
        <w:snapToGrid w:val="0"/>
        <w:spacing w:line="360" w:lineRule="auto"/>
        <w:rPr>
          <w:rFonts w:hint="eastAsia" w:ascii="宋体" w:hAnsi="宋体" w:eastAsia="宋体" w:cs="宋体"/>
          <w:szCs w:val="21"/>
        </w:rPr>
      </w:pPr>
      <w:bookmarkStart w:id="3" w:name="_Toc196296990"/>
      <w:bookmarkStart w:id="4" w:name="_Toc196279312"/>
      <w:r>
        <w:rPr>
          <w:rFonts w:hint="eastAsia" w:ascii="宋体" w:hAnsi="宋体" w:eastAsia="宋体" w:cs="宋体"/>
          <w:szCs w:val="21"/>
        </w:rPr>
        <w:t>1.3.1</w:t>
      </w:r>
      <w:r>
        <w:rPr>
          <w:rFonts w:hint="eastAsia" w:ascii="宋体" w:hAnsi="宋体" w:eastAsia="宋体" w:cs="宋体"/>
          <w:bCs/>
          <w:szCs w:val="21"/>
        </w:rPr>
        <w:t xml:space="preserve">.20 </w:t>
      </w:r>
      <w:r>
        <w:rPr>
          <w:rFonts w:hint="eastAsia" w:ascii="宋体" w:hAnsi="宋体" w:eastAsia="宋体" w:cs="宋体"/>
          <w:szCs w:val="21"/>
        </w:rPr>
        <w:t>对断路器的要求</w:t>
      </w:r>
    </w:p>
    <w:p w14:paraId="741F9F59">
      <w:pPr>
        <w:topLinePunct/>
        <w:snapToGrid w:val="0"/>
        <w:spacing w:line="360" w:lineRule="auto"/>
        <w:rPr>
          <w:rFonts w:hint="eastAsia" w:ascii="宋体" w:hAnsi="宋体" w:eastAsia="宋体" w:cs="宋体"/>
          <w:szCs w:val="21"/>
        </w:rPr>
      </w:pPr>
      <w:r>
        <w:rPr>
          <w:rFonts w:hint="eastAsia" w:ascii="宋体" w:hAnsi="宋体" w:eastAsia="宋体" w:cs="宋体"/>
          <w:szCs w:val="21"/>
        </w:rPr>
        <w:t>1.3.1.20.1对真空断路器的要求</w:t>
      </w:r>
      <w:bookmarkEnd w:id="3"/>
      <w:bookmarkEnd w:id="4"/>
      <w:r>
        <w:rPr>
          <w:rFonts w:hint="eastAsia" w:ascii="宋体" w:hAnsi="宋体" w:eastAsia="宋体" w:cs="宋体"/>
          <w:szCs w:val="21"/>
        </w:rPr>
        <w:t>：</w:t>
      </w:r>
    </w:p>
    <w:p w14:paraId="7C311C87">
      <w:pPr>
        <w:topLinePunct/>
        <w:snapToGrid w:val="0"/>
        <w:spacing w:line="360" w:lineRule="auto"/>
        <w:ind w:firstLine="407" w:firstLineChars="194"/>
        <w:rPr>
          <w:rFonts w:hint="eastAsia" w:ascii="宋体" w:hAnsi="宋体" w:eastAsia="宋体" w:cs="宋体"/>
          <w:szCs w:val="21"/>
        </w:rPr>
      </w:pPr>
      <w:r>
        <w:rPr>
          <w:rFonts w:hint="eastAsia" w:ascii="宋体" w:hAnsi="宋体" w:eastAsia="宋体" w:cs="宋体"/>
          <w:szCs w:val="21"/>
        </w:rPr>
        <w:t>1）真空断路器应采用操动机构与本体一体化的结构。</w:t>
      </w:r>
    </w:p>
    <w:p w14:paraId="03206959">
      <w:pPr>
        <w:topLinePunct/>
        <w:snapToGrid w:val="0"/>
        <w:spacing w:line="360" w:lineRule="auto"/>
        <w:ind w:firstLine="407" w:firstLineChars="194"/>
        <w:rPr>
          <w:rFonts w:hint="eastAsia" w:ascii="宋体" w:hAnsi="宋体" w:eastAsia="宋体" w:cs="宋体"/>
          <w:szCs w:val="21"/>
        </w:rPr>
      </w:pPr>
      <w:r>
        <w:rPr>
          <w:rFonts w:hint="eastAsia" w:ascii="宋体" w:hAnsi="宋体" w:eastAsia="宋体" w:cs="宋体"/>
          <w:szCs w:val="21"/>
        </w:rPr>
        <w:t>2) 真空断路器应采用全绝缘极柱固封型断路器。</w:t>
      </w:r>
    </w:p>
    <w:p w14:paraId="0D762A04">
      <w:pPr>
        <w:topLinePunct/>
        <w:snapToGrid w:val="0"/>
        <w:spacing w:line="360" w:lineRule="auto"/>
        <w:ind w:firstLine="407" w:firstLineChars="194"/>
        <w:rPr>
          <w:rFonts w:hint="eastAsia" w:ascii="宋体" w:hAnsi="宋体" w:eastAsia="宋体" w:cs="宋体"/>
          <w:szCs w:val="21"/>
        </w:rPr>
      </w:pPr>
      <w:r>
        <w:rPr>
          <w:rFonts w:hint="eastAsia" w:ascii="宋体" w:hAnsi="宋体" w:eastAsia="宋体" w:cs="宋体"/>
          <w:szCs w:val="21"/>
        </w:rPr>
        <w:t>3）真空灭弧室应与型式试验中采用的一致。</w:t>
      </w:r>
    </w:p>
    <w:p w14:paraId="09369527">
      <w:pPr>
        <w:topLinePunct/>
        <w:snapToGrid w:val="0"/>
        <w:spacing w:line="360" w:lineRule="auto"/>
        <w:ind w:firstLine="407" w:firstLineChars="194"/>
        <w:rPr>
          <w:rFonts w:hint="eastAsia" w:ascii="宋体" w:hAnsi="宋体" w:eastAsia="宋体" w:cs="宋体"/>
          <w:szCs w:val="21"/>
        </w:rPr>
      </w:pPr>
      <w:r>
        <w:rPr>
          <w:rFonts w:hint="eastAsia" w:ascii="宋体" w:hAnsi="宋体" w:eastAsia="宋体" w:cs="宋体"/>
          <w:szCs w:val="21"/>
        </w:rPr>
        <w:t>4）真空灭弧室要求采用陶瓷外壳。</w:t>
      </w:r>
    </w:p>
    <w:p w14:paraId="0E04BE68">
      <w:pPr>
        <w:topLinePunct/>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5）真空灭弧室允许储存期不小于25年，出厂时灭弧室真空度不得小于1.33×10</w:t>
      </w:r>
      <w:r>
        <w:rPr>
          <w:rFonts w:hint="eastAsia" w:ascii="宋体" w:hAnsi="宋体" w:eastAsia="宋体" w:cs="宋体"/>
          <w:szCs w:val="21"/>
          <w:vertAlign w:val="superscript"/>
        </w:rPr>
        <w:t>3</w:t>
      </w:r>
      <w:r>
        <w:rPr>
          <w:rFonts w:hint="eastAsia" w:ascii="宋体" w:hAnsi="宋体" w:eastAsia="宋体" w:cs="宋体"/>
          <w:szCs w:val="21"/>
        </w:rPr>
        <w:t>Pa。在允许储存期内，其真空度应满足运行要求。</w:t>
      </w:r>
    </w:p>
    <w:p w14:paraId="670948F6">
      <w:pPr>
        <w:topLinePunct/>
        <w:snapToGrid w:val="0"/>
        <w:spacing w:line="360" w:lineRule="auto"/>
        <w:ind w:firstLine="407" w:firstLineChars="194"/>
        <w:rPr>
          <w:rFonts w:hint="eastAsia" w:ascii="宋体" w:hAnsi="宋体" w:eastAsia="宋体" w:cs="宋体"/>
          <w:szCs w:val="21"/>
        </w:rPr>
      </w:pPr>
      <w:r>
        <w:rPr>
          <w:rFonts w:hint="eastAsia" w:ascii="宋体" w:hAnsi="宋体" w:eastAsia="宋体" w:cs="宋体"/>
          <w:szCs w:val="21"/>
        </w:rPr>
        <w:t>6）真空灭弧室在出厂时应做“老化”试验，并附有报告。</w:t>
      </w:r>
    </w:p>
    <w:p w14:paraId="6A40F382">
      <w:pPr>
        <w:topLinePunct/>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7）用于开合电容器组的断路器必须通过开合电容器组的型式试验，满足C1或C2级的要求。</w:t>
      </w:r>
    </w:p>
    <w:p w14:paraId="58CAC2E1">
      <w:pPr>
        <w:topLinePunct/>
        <w:snapToGrid w:val="0"/>
        <w:spacing w:line="360" w:lineRule="auto"/>
        <w:ind w:firstLine="407" w:firstLineChars="194"/>
        <w:rPr>
          <w:rFonts w:hint="eastAsia" w:ascii="宋体" w:hAnsi="宋体" w:eastAsia="宋体" w:cs="宋体"/>
          <w:szCs w:val="21"/>
        </w:rPr>
      </w:pPr>
      <w:r>
        <w:rPr>
          <w:rFonts w:hint="eastAsia" w:ascii="宋体" w:hAnsi="宋体" w:eastAsia="宋体" w:cs="宋体"/>
          <w:szCs w:val="21"/>
        </w:rPr>
        <w:t>8）真空断路器上应设有易于监视真空开关触头磨损程度的标记。</w:t>
      </w:r>
    </w:p>
    <w:p w14:paraId="75A306DB">
      <w:pPr>
        <w:topLinePunct/>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9）真空断路器接地金属外壳上应有防锈的、导电性能良好的、直径为12mm的接地螺钉。接地点附近应标有接地符号。</w:t>
      </w:r>
    </w:p>
    <w:p w14:paraId="0A4AE697">
      <w:pPr>
        <w:topLinePunct/>
        <w:snapToGrid w:val="0"/>
        <w:spacing w:line="360" w:lineRule="auto"/>
        <w:rPr>
          <w:rFonts w:hint="eastAsia" w:ascii="宋体" w:hAnsi="宋体" w:eastAsia="宋体" w:cs="宋体"/>
          <w:szCs w:val="21"/>
        </w:rPr>
      </w:pPr>
      <w:bookmarkStart w:id="5" w:name="_Toc196296991"/>
      <w:bookmarkStart w:id="6" w:name="_Toc196279311"/>
      <w:r>
        <w:rPr>
          <w:rFonts w:hint="eastAsia" w:ascii="宋体" w:hAnsi="宋体" w:eastAsia="宋体" w:cs="宋体"/>
          <w:szCs w:val="21"/>
        </w:rPr>
        <w:t>1.3.1.20.2 对SF</w:t>
      </w:r>
      <w:r>
        <w:rPr>
          <w:rFonts w:hint="eastAsia" w:ascii="宋体" w:hAnsi="宋体" w:eastAsia="宋体" w:cs="宋体"/>
          <w:szCs w:val="21"/>
          <w:vertAlign w:val="subscript"/>
        </w:rPr>
        <w:t>6</w:t>
      </w:r>
      <w:r>
        <w:rPr>
          <w:rFonts w:hint="eastAsia" w:ascii="宋体" w:hAnsi="宋体" w:eastAsia="宋体" w:cs="宋体"/>
          <w:szCs w:val="21"/>
        </w:rPr>
        <w:t>断路器的要求</w:t>
      </w:r>
      <w:bookmarkEnd w:id="5"/>
      <w:bookmarkEnd w:id="6"/>
      <w:r>
        <w:rPr>
          <w:rFonts w:hint="eastAsia" w:ascii="宋体" w:hAnsi="宋体" w:eastAsia="宋体" w:cs="宋体"/>
          <w:szCs w:val="21"/>
        </w:rPr>
        <w:t>：（若有）</w:t>
      </w:r>
    </w:p>
    <w:p w14:paraId="767CD909">
      <w:pPr>
        <w:topLinePunct/>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1）SF</w:t>
      </w:r>
      <w:r>
        <w:rPr>
          <w:rFonts w:hint="eastAsia" w:ascii="宋体" w:hAnsi="宋体" w:eastAsia="宋体" w:cs="宋体"/>
          <w:szCs w:val="21"/>
          <w:vertAlign w:val="subscript"/>
        </w:rPr>
        <w:t>6</w:t>
      </w:r>
      <w:r>
        <w:rPr>
          <w:rFonts w:hint="eastAsia" w:ascii="宋体" w:hAnsi="宋体" w:eastAsia="宋体" w:cs="宋体"/>
          <w:szCs w:val="21"/>
        </w:rPr>
        <w:t>气体应符合GB/T 12022《工业六氟化硫》的规定，应向买方提交新气试验的合格证书，所用气体必须经买方复检合格后方可使用。</w:t>
      </w:r>
    </w:p>
    <w:p w14:paraId="2E9F3897">
      <w:pPr>
        <w:topLinePunct/>
        <w:snapToGrid w:val="0"/>
        <w:spacing w:line="360" w:lineRule="auto"/>
        <w:ind w:firstLine="407" w:firstLineChars="194"/>
        <w:rPr>
          <w:rFonts w:hint="eastAsia" w:ascii="宋体" w:hAnsi="宋体" w:eastAsia="宋体" w:cs="宋体"/>
          <w:szCs w:val="21"/>
        </w:rPr>
      </w:pPr>
      <w:r>
        <w:rPr>
          <w:rFonts w:hint="eastAsia" w:ascii="宋体" w:hAnsi="宋体" w:eastAsia="宋体" w:cs="宋体"/>
          <w:szCs w:val="21"/>
        </w:rPr>
        <w:t>2）气体抽样阀：为便于气体的试验抽样及补充，断路器应装设合适的阀门。</w:t>
      </w:r>
    </w:p>
    <w:p w14:paraId="2D4AB852">
      <w:pPr>
        <w:topLinePunct/>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3）SF</w:t>
      </w:r>
      <w:r>
        <w:rPr>
          <w:rFonts w:hint="eastAsia" w:ascii="宋体" w:hAnsi="宋体" w:eastAsia="宋体" w:cs="宋体"/>
          <w:szCs w:val="21"/>
          <w:vertAlign w:val="subscript"/>
        </w:rPr>
        <w:t>6</w:t>
      </w:r>
      <w:r>
        <w:rPr>
          <w:rFonts w:hint="eastAsia" w:ascii="宋体" w:hAnsi="宋体" w:eastAsia="宋体" w:cs="宋体"/>
          <w:szCs w:val="21"/>
        </w:rPr>
        <w:t>气体系统的要求：断路器的SF</w:t>
      </w:r>
      <w:r>
        <w:rPr>
          <w:rFonts w:hint="eastAsia" w:ascii="宋体" w:hAnsi="宋体" w:eastAsia="宋体" w:cs="宋体"/>
          <w:szCs w:val="21"/>
          <w:vertAlign w:val="subscript"/>
        </w:rPr>
        <w:t>6</w:t>
      </w:r>
      <w:r>
        <w:rPr>
          <w:rFonts w:hint="eastAsia" w:ascii="宋体" w:hAnsi="宋体" w:eastAsia="宋体" w:cs="宋体"/>
          <w:szCs w:val="21"/>
        </w:rPr>
        <w:t>气体系统应便于安装和维修，并有用来连接气体处理装置和其他设备的合适连接点。</w:t>
      </w:r>
    </w:p>
    <w:p w14:paraId="268DF5DC">
      <w:pPr>
        <w:topLinePunct/>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4）SF</w:t>
      </w:r>
      <w:r>
        <w:rPr>
          <w:rFonts w:hint="eastAsia" w:ascii="宋体" w:hAnsi="宋体" w:eastAsia="宋体" w:cs="宋体"/>
          <w:szCs w:val="21"/>
          <w:vertAlign w:val="subscript"/>
        </w:rPr>
        <w:t>6</w:t>
      </w:r>
      <w:r>
        <w:rPr>
          <w:rFonts w:hint="eastAsia" w:ascii="宋体" w:hAnsi="宋体" w:eastAsia="宋体" w:cs="宋体"/>
          <w:szCs w:val="21"/>
        </w:rPr>
        <w:t>气体监测设备：断路器应装设SF</w:t>
      </w:r>
      <w:r>
        <w:rPr>
          <w:rFonts w:hint="eastAsia" w:ascii="宋体" w:hAnsi="宋体" w:eastAsia="宋体" w:cs="宋体"/>
          <w:szCs w:val="21"/>
          <w:vertAlign w:val="subscript"/>
        </w:rPr>
        <w:t>6</w:t>
      </w:r>
      <w:r>
        <w:rPr>
          <w:rFonts w:hint="eastAsia" w:ascii="宋体" w:hAnsi="宋体" w:eastAsia="宋体" w:cs="宋体"/>
          <w:szCs w:val="21"/>
        </w:rPr>
        <w:t>气体监测设备（包括密度继电器，压力表）。且该设备应设有阀门，以便在不拆卸的情况下进行校验。</w:t>
      </w:r>
    </w:p>
    <w:p w14:paraId="2F1DCB1F">
      <w:pPr>
        <w:topLinePunct/>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5）SF</w:t>
      </w:r>
      <w:r>
        <w:rPr>
          <w:rFonts w:hint="eastAsia" w:ascii="宋体" w:hAnsi="宋体" w:eastAsia="宋体" w:cs="宋体"/>
          <w:szCs w:val="21"/>
          <w:vertAlign w:val="subscript"/>
        </w:rPr>
        <w:t>6</w:t>
      </w:r>
      <w:r>
        <w:rPr>
          <w:rFonts w:hint="eastAsia" w:ascii="宋体" w:hAnsi="宋体" w:eastAsia="宋体" w:cs="宋体"/>
          <w:szCs w:val="21"/>
        </w:rPr>
        <w:t>气体内的水分含量：断路器中SF</w:t>
      </w:r>
      <w:r>
        <w:rPr>
          <w:rFonts w:hint="eastAsia" w:ascii="宋体" w:hAnsi="宋体" w:eastAsia="宋体" w:cs="宋体"/>
          <w:szCs w:val="21"/>
          <w:vertAlign w:val="subscript"/>
        </w:rPr>
        <w:t>6</w:t>
      </w:r>
      <w:r>
        <w:rPr>
          <w:rFonts w:hint="eastAsia" w:ascii="宋体" w:hAnsi="宋体" w:eastAsia="宋体" w:cs="宋体"/>
          <w:szCs w:val="21"/>
        </w:rPr>
        <w:t>气体在额定压力下在20℃时的最大水分含量应小于150μL/L，在其他温度时应予修正。</w:t>
      </w:r>
    </w:p>
    <w:p w14:paraId="250621B4">
      <w:pPr>
        <w:topLinePunct/>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6）SF</w:t>
      </w:r>
      <w:r>
        <w:rPr>
          <w:rFonts w:hint="eastAsia" w:ascii="宋体" w:hAnsi="宋体" w:eastAsia="宋体" w:cs="宋体"/>
          <w:szCs w:val="21"/>
          <w:vertAlign w:val="subscript"/>
        </w:rPr>
        <w:t>6</w:t>
      </w:r>
      <w:r>
        <w:rPr>
          <w:rFonts w:hint="eastAsia" w:ascii="宋体" w:hAnsi="宋体" w:eastAsia="宋体" w:cs="宋体"/>
          <w:szCs w:val="21"/>
        </w:rPr>
        <w:t>断路器的吸附剂：乙方应提交一份解释文件，包括吸附剂的位置、种类和质量。</w:t>
      </w:r>
    </w:p>
    <w:p w14:paraId="7747CE21">
      <w:pPr>
        <w:topLinePunct/>
        <w:snapToGrid w:val="0"/>
        <w:spacing w:line="360" w:lineRule="auto"/>
        <w:rPr>
          <w:rFonts w:hint="eastAsia" w:ascii="宋体" w:hAnsi="宋体" w:eastAsia="宋体" w:cs="宋体"/>
          <w:szCs w:val="21"/>
        </w:rPr>
      </w:pPr>
      <w:bookmarkStart w:id="7" w:name="_Toc196296992"/>
      <w:r>
        <w:rPr>
          <w:rFonts w:hint="eastAsia" w:ascii="宋体" w:hAnsi="宋体" w:eastAsia="宋体" w:cs="宋体"/>
          <w:szCs w:val="21"/>
        </w:rPr>
        <w:t>1.3.1.3 操动机构要求</w:t>
      </w:r>
      <w:bookmarkEnd w:id="7"/>
      <w:r>
        <w:rPr>
          <w:rFonts w:hint="eastAsia" w:ascii="宋体" w:hAnsi="宋体" w:eastAsia="宋体" w:cs="宋体"/>
          <w:szCs w:val="21"/>
        </w:rPr>
        <w:t>：</w:t>
      </w:r>
    </w:p>
    <w:p w14:paraId="18BBBCBB">
      <w:pPr>
        <w:topLinePunct/>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1）操动机构采用弹簧操动机构，应保证断路器能三相分、合闸以及三相跳闸和自动重合闸。</w:t>
      </w:r>
    </w:p>
    <w:p w14:paraId="75440568">
      <w:pPr>
        <w:topLinePunct/>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2）操动机构自身应具备防止跳跃的性能。应配备断路器的分合闸指示，操动机构的计数器，储能状态指示应明显清晰，便于观察，且均用中文表示。</w:t>
      </w:r>
    </w:p>
    <w:p w14:paraId="4D905ED1">
      <w:pPr>
        <w:topLinePunct/>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3）应安装能显示断路器操作次数的计数器。该计数器与操作回路应无电气联系，且不影响断路器的合分闸操作。计数器为合闸计数。</w:t>
      </w:r>
    </w:p>
    <w:p w14:paraId="36925177">
      <w:pPr>
        <w:topLinePunct/>
        <w:snapToGrid w:val="0"/>
        <w:spacing w:line="360" w:lineRule="auto"/>
        <w:ind w:firstLine="407" w:firstLineChars="194"/>
        <w:rPr>
          <w:rFonts w:hint="eastAsia" w:ascii="宋体" w:hAnsi="宋体" w:eastAsia="宋体" w:cs="宋体"/>
          <w:szCs w:val="21"/>
        </w:rPr>
      </w:pPr>
      <w:r>
        <w:rPr>
          <w:rFonts w:hint="eastAsia" w:ascii="宋体" w:hAnsi="宋体" w:eastAsia="宋体" w:cs="宋体"/>
          <w:szCs w:val="21"/>
        </w:rPr>
        <w:t>4）弹簧操纵机构应能电动机储能并可手动储能，可紧急跳闸。</w:t>
      </w:r>
    </w:p>
    <w:p w14:paraId="264C1E65">
      <w:pPr>
        <w:topLinePunct/>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5）操动机构的额定电源电压（</w:t>
      </w:r>
      <w:r>
        <w:rPr>
          <w:rFonts w:hint="eastAsia" w:ascii="宋体" w:hAnsi="宋体" w:eastAsia="宋体" w:cs="宋体"/>
          <w:i/>
          <w:szCs w:val="21"/>
        </w:rPr>
        <w:t>U</w:t>
      </w:r>
      <w:r>
        <w:rPr>
          <w:rFonts w:hint="eastAsia" w:ascii="宋体" w:hAnsi="宋体" w:eastAsia="宋体" w:cs="宋体"/>
          <w:szCs w:val="21"/>
          <w:vertAlign w:val="subscript"/>
        </w:rPr>
        <w:t>a</w:t>
      </w:r>
      <w:r>
        <w:rPr>
          <w:rFonts w:hint="eastAsia" w:ascii="宋体" w:hAnsi="宋体" w:eastAsia="宋体" w:cs="宋体"/>
          <w:szCs w:val="21"/>
        </w:rPr>
        <w:t>）为直流220V/ 110V，并联脱扣器应能满足85%～110%</w:t>
      </w:r>
      <w:r>
        <w:rPr>
          <w:rFonts w:hint="eastAsia" w:ascii="宋体" w:hAnsi="宋体" w:eastAsia="宋体" w:cs="宋体"/>
          <w:i/>
          <w:szCs w:val="21"/>
        </w:rPr>
        <w:t>U</w:t>
      </w:r>
      <w:r>
        <w:rPr>
          <w:rFonts w:hint="eastAsia" w:ascii="宋体" w:hAnsi="宋体" w:eastAsia="宋体" w:cs="宋体"/>
          <w:szCs w:val="21"/>
          <w:vertAlign w:val="subscript"/>
        </w:rPr>
        <w:t>a</w:t>
      </w:r>
      <w:r>
        <w:rPr>
          <w:rFonts w:hint="eastAsia" w:ascii="宋体" w:hAnsi="宋体" w:eastAsia="宋体" w:cs="宋体"/>
          <w:szCs w:val="21"/>
        </w:rPr>
        <w:t>时可靠合闸，65%～110%</w:t>
      </w:r>
      <w:r>
        <w:rPr>
          <w:rFonts w:hint="eastAsia" w:ascii="宋体" w:hAnsi="宋体" w:eastAsia="宋体" w:cs="宋体"/>
          <w:i/>
          <w:szCs w:val="21"/>
        </w:rPr>
        <w:t>U</w:t>
      </w:r>
      <w:r>
        <w:rPr>
          <w:rFonts w:hint="eastAsia" w:ascii="宋体" w:hAnsi="宋体" w:eastAsia="宋体" w:cs="宋体"/>
          <w:szCs w:val="21"/>
          <w:vertAlign w:val="subscript"/>
        </w:rPr>
        <w:t>a</w:t>
      </w:r>
      <w:r>
        <w:rPr>
          <w:rFonts w:hint="eastAsia" w:ascii="宋体" w:hAnsi="宋体" w:eastAsia="宋体" w:cs="宋体"/>
          <w:szCs w:val="21"/>
        </w:rPr>
        <w:t>时可靠分闸，30%</w:t>
      </w:r>
      <w:r>
        <w:rPr>
          <w:rFonts w:hint="eastAsia" w:ascii="宋体" w:hAnsi="宋体" w:eastAsia="宋体" w:cs="宋体"/>
          <w:i/>
          <w:szCs w:val="21"/>
        </w:rPr>
        <w:t>U</w:t>
      </w:r>
      <w:r>
        <w:rPr>
          <w:rFonts w:hint="eastAsia" w:ascii="宋体" w:hAnsi="宋体" w:eastAsia="宋体" w:cs="宋体"/>
          <w:szCs w:val="21"/>
          <w:vertAlign w:val="subscript"/>
        </w:rPr>
        <w:t>a</w:t>
      </w:r>
      <w:r>
        <w:rPr>
          <w:rFonts w:hint="eastAsia" w:ascii="宋体" w:hAnsi="宋体" w:eastAsia="宋体" w:cs="宋体"/>
          <w:szCs w:val="21"/>
        </w:rPr>
        <w:t>及以下时不动作。</w:t>
      </w:r>
    </w:p>
    <w:p w14:paraId="5136CC33">
      <w:pPr>
        <w:topLinePunct/>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6）弹簧储能系统：由储能弹簧进行分、合闸操作的弹簧操动机构应能满足“分-0.3s-合分-180s</w:t>
      </w:r>
      <w:r>
        <w:rPr>
          <w:rFonts w:hint="eastAsia" w:ascii="宋体" w:hAnsi="宋体" w:eastAsia="宋体" w:cs="宋体"/>
          <w:spacing w:val="4"/>
          <w:szCs w:val="21"/>
        </w:rPr>
        <w:t>-合分”的操作顺序。弹簧操纵机构应能可靠防止发生空合操作。弹簧储能可以电动和手动实现。</w:t>
      </w:r>
    </w:p>
    <w:p w14:paraId="3E44B39E">
      <w:pPr>
        <w:topLinePunct/>
        <w:snapToGrid w:val="0"/>
        <w:spacing w:line="360" w:lineRule="auto"/>
        <w:ind w:firstLine="407" w:firstLineChars="194"/>
        <w:rPr>
          <w:rFonts w:hint="eastAsia" w:ascii="宋体" w:hAnsi="宋体" w:eastAsia="宋体" w:cs="宋体"/>
          <w:szCs w:val="21"/>
        </w:rPr>
      </w:pPr>
      <w:r>
        <w:rPr>
          <w:rFonts w:hint="eastAsia" w:ascii="宋体" w:hAnsi="宋体" w:eastAsia="宋体" w:cs="宋体"/>
          <w:szCs w:val="21"/>
        </w:rPr>
        <w:t>7）断路器处于断开或闭合位置，都应能对合闸弹簧储能。</w:t>
      </w:r>
    </w:p>
    <w:p w14:paraId="6CAB8E3C">
      <w:pPr>
        <w:topLinePunct/>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8）在正常情况下，合闸弹簧完成合闸操作后要立即自动开始再储能，合闸弹簧应在20s内完成储能。</w:t>
      </w:r>
    </w:p>
    <w:p w14:paraId="0C7C8BD6">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9）在弹簧储能进行过程中不能合闸，并且弹簧在储能全部完成前不能释放。</w:t>
      </w:r>
    </w:p>
    <w:p w14:paraId="210D43EC">
      <w:pPr>
        <w:tabs>
          <w:tab w:val="left" w:pos="980"/>
        </w:tabs>
        <w:topLinePunct/>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10）合闸操作的机械联锁应保证机构处于合闸时，不能再进行合闸动作；而当断路器处于合闸位置和储能状态时，能可靠地进行一次“分-0.3s-合分”操作循环。</w:t>
      </w:r>
    </w:p>
    <w:p w14:paraId="14F36A89">
      <w:pPr>
        <w:tabs>
          <w:tab w:val="left" w:pos="980"/>
        </w:tabs>
        <w:topLinePunct/>
        <w:snapToGrid w:val="0"/>
        <w:spacing w:line="360" w:lineRule="auto"/>
        <w:ind w:firstLine="409" w:firstLineChars="195"/>
        <w:rPr>
          <w:rFonts w:hint="eastAsia" w:ascii="宋体" w:hAnsi="宋体" w:eastAsia="宋体" w:cs="宋体"/>
          <w:szCs w:val="21"/>
        </w:rPr>
      </w:pPr>
      <w:r>
        <w:rPr>
          <w:rFonts w:hint="eastAsia" w:ascii="宋体" w:hAnsi="宋体" w:eastAsia="宋体" w:cs="宋体"/>
          <w:szCs w:val="21"/>
        </w:rPr>
        <w:t>11）机械动作应灵活，储能及手动或电气分、合闸等各项操作过程中不应出现卡死，阻滞等异常现象，并设有防止“误操作”装置。</w:t>
      </w:r>
    </w:p>
    <w:p w14:paraId="594ACD47">
      <w:pPr>
        <w:tabs>
          <w:tab w:val="left" w:pos="980"/>
        </w:tabs>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12）应有机械装置指示合闸弹簧的储能状态，并能实现远方监控。</w:t>
      </w:r>
    </w:p>
    <w:p w14:paraId="25B20FE2">
      <w:pPr>
        <w:tabs>
          <w:tab w:val="left" w:pos="980"/>
        </w:tabs>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13）乙方应提供用于断路器分闸和合闸所有必需的中间继电器、闭锁继电器。</w:t>
      </w:r>
    </w:p>
    <w:p w14:paraId="3B182AF1">
      <w:pPr>
        <w:snapToGrid w:val="0"/>
        <w:spacing w:line="360" w:lineRule="auto"/>
        <w:rPr>
          <w:rFonts w:hint="eastAsia" w:ascii="宋体" w:hAnsi="宋体" w:eastAsia="宋体" w:cs="宋体"/>
          <w:szCs w:val="21"/>
        </w:rPr>
      </w:pPr>
      <w:bookmarkStart w:id="8" w:name="_Toc8261"/>
      <w:bookmarkStart w:id="9" w:name="_Toc255394706"/>
      <w:bookmarkStart w:id="10" w:name="_Toc185151545"/>
      <w:r>
        <w:rPr>
          <w:rFonts w:hint="eastAsia" w:ascii="宋体" w:hAnsi="宋体" w:eastAsia="宋体" w:cs="宋体"/>
          <w:szCs w:val="21"/>
        </w:rPr>
        <w:t>1.3.1.21 隔离开关（若有）</w:t>
      </w:r>
      <w:bookmarkEnd w:id="8"/>
      <w:bookmarkEnd w:id="9"/>
    </w:p>
    <w:p w14:paraId="29343139">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符合行业及国家相关规定</w:t>
      </w:r>
    </w:p>
    <w:p w14:paraId="52513118">
      <w:pPr>
        <w:snapToGrid w:val="0"/>
        <w:spacing w:line="360" w:lineRule="auto"/>
        <w:rPr>
          <w:rFonts w:hint="eastAsia" w:ascii="宋体" w:hAnsi="宋体" w:eastAsia="宋体" w:cs="宋体"/>
          <w:szCs w:val="21"/>
        </w:rPr>
      </w:pPr>
      <w:bookmarkStart w:id="11" w:name="_Toc255394707"/>
      <w:bookmarkStart w:id="12" w:name="_Toc21857"/>
      <w:r>
        <w:rPr>
          <w:rFonts w:hint="eastAsia" w:ascii="宋体" w:hAnsi="宋体" w:eastAsia="宋体" w:cs="宋体"/>
          <w:szCs w:val="21"/>
        </w:rPr>
        <w:t>1.3.1.22 接地开关</w:t>
      </w:r>
      <w:bookmarkEnd w:id="10"/>
      <w:bookmarkEnd w:id="11"/>
      <w:bookmarkEnd w:id="12"/>
    </w:p>
    <w:p w14:paraId="0FD55A4F">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操动机构：可手动和电动（如有）操作，每组接地开关应装设一个机械式的分、合位置指示器；应装设观察窗，以便操作人员检查触头的位置。</w:t>
      </w:r>
    </w:p>
    <w:p w14:paraId="06F65475">
      <w:pPr>
        <w:snapToGrid w:val="0"/>
        <w:spacing w:line="360" w:lineRule="auto"/>
        <w:rPr>
          <w:rFonts w:hint="eastAsia" w:ascii="宋体" w:hAnsi="宋体" w:eastAsia="宋体" w:cs="宋体"/>
          <w:szCs w:val="21"/>
        </w:rPr>
      </w:pPr>
      <w:bookmarkStart w:id="13" w:name="_Toc32725"/>
      <w:bookmarkStart w:id="14" w:name="_Toc255394708"/>
      <w:bookmarkStart w:id="15" w:name="_Toc185151546"/>
      <w:r>
        <w:rPr>
          <w:rFonts w:hint="eastAsia" w:ascii="宋体" w:hAnsi="宋体" w:eastAsia="宋体" w:cs="宋体"/>
          <w:szCs w:val="21"/>
        </w:rPr>
        <w:t>1.3.1.23 电流互感器</w:t>
      </w:r>
      <w:bookmarkEnd w:id="13"/>
      <w:bookmarkEnd w:id="14"/>
      <w:bookmarkEnd w:id="15"/>
    </w:p>
    <w:p w14:paraId="3312B21E">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对电流互感器应提供下列数据：励磁特性曲线、拐点电压、75℃时最大二次电阻值等。</w:t>
      </w:r>
    </w:p>
    <w:p w14:paraId="6F4809C7">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开关柜内的电流互感器在出厂前必须做伏安特性筛选，同一柜内的三相电流互感器伏安特性应相匹配，并有出厂报告。</w:t>
      </w:r>
    </w:p>
    <w:p w14:paraId="39AC122D">
      <w:pPr>
        <w:snapToGrid w:val="0"/>
        <w:spacing w:line="360" w:lineRule="auto"/>
        <w:rPr>
          <w:rFonts w:hint="eastAsia" w:ascii="宋体" w:hAnsi="宋体" w:eastAsia="宋体" w:cs="宋体"/>
          <w:szCs w:val="21"/>
        </w:rPr>
      </w:pPr>
      <w:bookmarkStart w:id="16" w:name="_Toc255394709"/>
      <w:bookmarkStart w:id="17" w:name="_Toc32589"/>
      <w:bookmarkStart w:id="18" w:name="_Toc185151547"/>
      <w:r>
        <w:rPr>
          <w:rFonts w:hint="eastAsia" w:ascii="宋体" w:hAnsi="宋体" w:eastAsia="宋体" w:cs="宋体"/>
          <w:szCs w:val="21"/>
        </w:rPr>
        <w:t>1.3.1.24 电压互感器</w:t>
      </w:r>
      <w:bookmarkEnd w:id="16"/>
      <w:bookmarkEnd w:id="17"/>
      <w:bookmarkEnd w:id="18"/>
    </w:p>
    <w:p w14:paraId="19421DFE">
      <w:pPr>
        <w:snapToGrid w:val="0"/>
        <w:spacing w:line="360" w:lineRule="auto"/>
        <w:ind w:firstLine="407" w:firstLineChars="194"/>
        <w:rPr>
          <w:rFonts w:hint="eastAsia" w:ascii="宋体" w:hAnsi="宋体" w:eastAsia="宋体" w:cs="宋体"/>
          <w:szCs w:val="21"/>
        </w:rPr>
      </w:pPr>
      <w:r>
        <w:rPr>
          <w:rFonts w:hint="eastAsia" w:ascii="宋体" w:hAnsi="宋体" w:eastAsia="宋体" w:cs="宋体"/>
          <w:szCs w:val="21"/>
        </w:rPr>
        <w:t>额定电压比：</w:t>
      </w:r>
      <w:r>
        <w:rPr>
          <w:rFonts w:hint="eastAsia" w:ascii="宋体" w:hAnsi="宋体" w:eastAsia="宋体" w:cs="宋体"/>
          <w:szCs w:val="21"/>
        </w:rPr>
        <w:tab/>
      </w:r>
      <w:r>
        <w:rPr>
          <w:rFonts w:hint="eastAsia" w:ascii="宋体" w:hAnsi="宋体" w:eastAsia="宋体" w:cs="宋体"/>
          <w:position w:val="-28"/>
          <w:szCs w:val="21"/>
        </w:rPr>
        <w:object>
          <v:shape id="_x0000_i1025" o:spt="75" type="#_x0000_t75" style="height:33pt;width:90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hint="eastAsia" w:ascii="宋体" w:hAnsi="宋体" w:eastAsia="宋体" w:cs="宋体"/>
          <w:szCs w:val="21"/>
        </w:rPr>
        <w:t>kV　</w:t>
      </w:r>
    </w:p>
    <w:p w14:paraId="1885645B">
      <w:pPr>
        <w:snapToGrid w:val="0"/>
        <w:spacing w:line="360" w:lineRule="auto"/>
        <w:ind w:firstLine="407" w:firstLineChars="194"/>
        <w:rPr>
          <w:rFonts w:hint="eastAsia" w:ascii="宋体" w:hAnsi="宋体" w:eastAsia="宋体" w:cs="宋体"/>
          <w:szCs w:val="21"/>
        </w:rPr>
      </w:pPr>
      <w:r>
        <w:rPr>
          <w:rFonts w:hint="eastAsia" w:ascii="宋体" w:hAnsi="宋体" w:eastAsia="宋体" w:cs="宋体"/>
          <w:szCs w:val="21"/>
        </w:rPr>
        <w:t>准确级：　</w:t>
      </w:r>
      <w:r>
        <w:rPr>
          <w:rFonts w:hint="eastAsia" w:ascii="宋体" w:hAnsi="宋体" w:eastAsia="宋体" w:cs="宋体"/>
          <w:szCs w:val="21"/>
        </w:rPr>
        <w:tab/>
      </w:r>
      <w:r>
        <w:rPr>
          <w:rFonts w:hint="eastAsia" w:ascii="宋体" w:hAnsi="宋体" w:eastAsia="宋体" w:cs="宋体"/>
          <w:szCs w:val="21"/>
        </w:rPr>
        <w:t xml:space="preserve">0.2/0.5(3P)/3P  </w:t>
      </w:r>
    </w:p>
    <w:p w14:paraId="5067AAAF">
      <w:pPr>
        <w:snapToGrid w:val="0"/>
        <w:spacing w:line="360" w:lineRule="auto"/>
        <w:ind w:firstLine="407" w:firstLineChars="194"/>
        <w:rPr>
          <w:rFonts w:hint="eastAsia" w:ascii="宋体" w:hAnsi="宋体" w:eastAsia="宋体" w:cs="宋体"/>
          <w:szCs w:val="21"/>
        </w:rPr>
      </w:pPr>
      <w:r>
        <w:rPr>
          <w:rFonts w:hint="eastAsia" w:ascii="宋体" w:hAnsi="宋体" w:eastAsia="宋体" w:cs="宋体"/>
          <w:szCs w:val="21"/>
        </w:rPr>
        <w:t>配一次消谐装置，及微机消谐装置</w:t>
      </w:r>
    </w:p>
    <w:p w14:paraId="340BDB2F">
      <w:pPr>
        <w:snapToGrid w:val="0"/>
        <w:spacing w:line="360" w:lineRule="auto"/>
        <w:ind w:firstLine="407" w:firstLineChars="194"/>
        <w:rPr>
          <w:rFonts w:hint="eastAsia" w:ascii="宋体" w:hAnsi="宋体" w:eastAsia="宋体" w:cs="宋体"/>
          <w:szCs w:val="21"/>
        </w:rPr>
      </w:pPr>
      <w:r>
        <w:rPr>
          <w:rFonts w:hint="eastAsia" w:ascii="宋体" w:hAnsi="宋体" w:eastAsia="宋体" w:cs="宋体"/>
          <w:szCs w:val="21"/>
        </w:rPr>
        <w:t>型式：环氧浇注型</w:t>
      </w:r>
    </w:p>
    <w:p w14:paraId="45E46B39">
      <w:pPr>
        <w:snapToGrid w:val="0"/>
        <w:spacing w:line="360" w:lineRule="auto"/>
        <w:rPr>
          <w:rFonts w:hint="eastAsia" w:ascii="宋体" w:hAnsi="宋体" w:eastAsia="宋体" w:cs="宋体"/>
          <w:szCs w:val="21"/>
        </w:rPr>
      </w:pPr>
      <w:bookmarkStart w:id="19" w:name="_Toc12249"/>
      <w:bookmarkStart w:id="20" w:name="_Toc255394710"/>
      <w:bookmarkStart w:id="21" w:name="_Toc185151548"/>
      <w:r>
        <w:rPr>
          <w:rFonts w:hint="eastAsia" w:ascii="宋体" w:hAnsi="宋体" w:eastAsia="宋体" w:cs="宋体"/>
          <w:szCs w:val="21"/>
        </w:rPr>
        <w:t>1.3.1.25 避雷器</w:t>
      </w:r>
      <w:bookmarkEnd w:id="19"/>
      <w:bookmarkEnd w:id="20"/>
      <w:bookmarkEnd w:id="21"/>
    </w:p>
    <w:p w14:paraId="66F238AE">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技术参数见专用部分技术参数响应表。需配置放电计数器。</w:t>
      </w:r>
    </w:p>
    <w:p w14:paraId="75755648">
      <w:pPr>
        <w:snapToGrid w:val="0"/>
        <w:spacing w:line="360" w:lineRule="auto"/>
        <w:rPr>
          <w:rFonts w:hint="eastAsia" w:ascii="宋体" w:hAnsi="宋体" w:eastAsia="宋体" w:cs="宋体"/>
          <w:szCs w:val="21"/>
        </w:rPr>
      </w:pPr>
      <w:bookmarkStart w:id="22" w:name="_Toc20234"/>
      <w:bookmarkStart w:id="23" w:name="_Toc185151549"/>
      <w:bookmarkStart w:id="24" w:name="_Toc255394712"/>
      <w:r>
        <w:rPr>
          <w:rFonts w:hint="eastAsia" w:ascii="宋体" w:hAnsi="宋体" w:eastAsia="宋体" w:cs="宋体"/>
          <w:szCs w:val="21"/>
        </w:rPr>
        <w:t>1.3.1.26 母线</w:t>
      </w:r>
      <w:bookmarkEnd w:id="22"/>
      <w:bookmarkEnd w:id="23"/>
      <w:bookmarkEnd w:id="24"/>
    </w:p>
    <w:p w14:paraId="317BF7A7">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 xml:space="preserve"> 母线材料：铜。</w:t>
      </w:r>
    </w:p>
    <w:p w14:paraId="7BD87FEE">
      <w:pPr>
        <w:pStyle w:val="4"/>
        <w:adjustRightInd w:val="0"/>
        <w:snapToGrid w:val="0"/>
        <w:spacing w:before="156" w:after="156"/>
        <w:rPr>
          <w:rFonts w:hint="eastAsia" w:ascii="宋体" w:hAnsi="宋体" w:eastAsia="宋体" w:cs="宋体"/>
          <w:color w:val="000000" w:themeColor="text1"/>
          <w14:textFill>
            <w14:solidFill>
              <w14:schemeClr w14:val="tx1"/>
            </w14:solidFill>
          </w14:textFill>
        </w:rPr>
      </w:pPr>
      <w:bookmarkStart w:id="25" w:name="_Toc219812969"/>
      <w:r>
        <w:rPr>
          <w:rFonts w:hint="eastAsia" w:ascii="宋体" w:hAnsi="宋体" w:eastAsia="宋体" w:cs="宋体"/>
          <w:b/>
          <w:sz w:val="21"/>
          <w:szCs w:val="21"/>
        </w:rPr>
        <w:t>接线要求</w:t>
      </w:r>
      <w:bookmarkEnd w:id="25"/>
    </w:p>
    <w:p w14:paraId="3BB0CB7E">
      <w:pPr>
        <w:snapToGrid w:val="0"/>
        <w:spacing w:line="360" w:lineRule="auto"/>
        <w:rPr>
          <w:rFonts w:hint="eastAsia" w:ascii="宋体" w:hAnsi="宋体" w:eastAsia="宋体" w:cs="宋体"/>
          <w:szCs w:val="21"/>
        </w:rPr>
      </w:pPr>
      <w:r>
        <w:rPr>
          <w:rFonts w:hint="eastAsia" w:ascii="宋体" w:hAnsi="宋体" w:eastAsia="宋体" w:cs="宋体"/>
          <w:szCs w:val="21"/>
        </w:rPr>
        <w:t xml:space="preserve">1.3.2.1 </w:t>
      </w:r>
      <w:r>
        <w:rPr>
          <w:rFonts w:hint="eastAsia" w:ascii="宋体" w:hAnsi="宋体" w:eastAsia="宋体" w:cs="宋体"/>
          <w:snapToGrid w:val="0"/>
          <w:szCs w:val="21"/>
        </w:rPr>
        <w:t>母线材料：铜；乙方应提供各种触头的结构图。配电母线选用铜母线，整个母线系统采取防护隔离措施，提高安全性能。</w:t>
      </w:r>
      <w:r>
        <w:rPr>
          <w:rFonts w:hint="eastAsia" w:ascii="宋体" w:hAnsi="宋体" w:eastAsia="宋体" w:cs="宋体"/>
          <w:szCs w:val="21"/>
        </w:rPr>
        <w:t>二次设备、接线应标明原理图和安装图标号，标号应正确、完整、清晰、牢固。</w:t>
      </w:r>
    </w:p>
    <w:p w14:paraId="087B6855">
      <w:pPr>
        <w:snapToGrid w:val="0"/>
        <w:spacing w:line="360" w:lineRule="auto"/>
        <w:rPr>
          <w:rFonts w:hint="eastAsia" w:ascii="宋体" w:hAnsi="宋体" w:eastAsia="宋体" w:cs="宋体"/>
          <w:szCs w:val="21"/>
        </w:rPr>
      </w:pPr>
      <w:r>
        <w:rPr>
          <w:rFonts w:hint="eastAsia" w:ascii="宋体" w:hAnsi="宋体" w:eastAsia="宋体" w:cs="宋体"/>
          <w:szCs w:val="21"/>
        </w:rPr>
        <w:t>1.3.2.2  二次回路的接线端子排应集中安装位置，并呈45°倾斜方向，回路的布置与一次回路相对应，要充分考虑用户方便安装接线和检修。</w:t>
      </w:r>
    </w:p>
    <w:p w14:paraId="015E4A44">
      <w:pPr>
        <w:snapToGrid w:val="0"/>
        <w:spacing w:line="360" w:lineRule="auto"/>
        <w:rPr>
          <w:rFonts w:hint="eastAsia" w:ascii="宋体" w:hAnsi="宋体" w:eastAsia="宋体" w:cs="宋体"/>
          <w:szCs w:val="21"/>
        </w:rPr>
      </w:pPr>
      <w:r>
        <w:rPr>
          <w:rFonts w:hint="eastAsia" w:ascii="宋体" w:hAnsi="宋体" w:eastAsia="宋体" w:cs="宋体"/>
          <w:szCs w:val="21"/>
        </w:rPr>
        <w:t>1.3.2.3  二次回路承受2kV工频耐压试验无破坏性放电。</w:t>
      </w:r>
    </w:p>
    <w:p w14:paraId="1953CDD3">
      <w:pPr>
        <w:snapToGrid w:val="0"/>
        <w:spacing w:line="360" w:lineRule="auto"/>
        <w:rPr>
          <w:rFonts w:hint="eastAsia" w:ascii="宋体" w:hAnsi="宋体" w:eastAsia="宋体" w:cs="宋体"/>
          <w:szCs w:val="21"/>
        </w:rPr>
      </w:pPr>
      <w:r>
        <w:rPr>
          <w:rFonts w:hint="eastAsia" w:ascii="宋体" w:hAnsi="宋体" w:eastAsia="宋体" w:cs="宋体"/>
          <w:szCs w:val="21"/>
        </w:rPr>
        <w:t>1.3.2.4 所有进出开关柜的控制配线及端子均需做配线标记，该标记的文字与编号应与控制原理图上的一致。</w:t>
      </w:r>
    </w:p>
    <w:p w14:paraId="3F0BD731">
      <w:pPr>
        <w:snapToGrid w:val="0"/>
        <w:spacing w:line="360" w:lineRule="auto"/>
        <w:rPr>
          <w:rFonts w:hint="eastAsia" w:ascii="宋体" w:hAnsi="宋体" w:eastAsia="宋体" w:cs="宋体"/>
          <w:szCs w:val="21"/>
        </w:rPr>
      </w:pPr>
      <w:r>
        <w:rPr>
          <w:rFonts w:hint="eastAsia" w:ascii="宋体" w:hAnsi="宋体" w:eastAsia="宋体" w:cs="宋体"/>
          <w:szCs w:val="21"/>
        </w:rPr>
        <w:t>1.3.2.5  配线主回路应按国标规定的颜色和文字标注。</w:t>
      </w:r>
    </w:p>
    <w:p w14:paraId="444B5957">
      <w:pPr>
        <w:snapToGrid w:val="0"/>
        <w:spacing w:line="360" w:lineRule="auto"/>
        <w:rPr>
          <w:rFonts w:hint="eastAsia" w:ascii="宋体" w:hAnsi="宋体" w:eastAsia="宋体" w:cs="宋体"/>
          <w:szCs w:val="21"/>
        </w:rPr>
      </w:pPr>
      <w:r>
        <w:rPr>
          <w:rFonts w:hint="eastAsia" w:ascii="宋体" w:hAnsi="宋体" w:eastAsia="宋体" w:cs="宋体"/>
          <w:szCs w:val="21"/>
        </w:rPr>
        <w:t>1.3.2.6  二次接线应采用不小于1.5mm</w:t>
      </w:r>
      <w:r>
        <w:rPr>
          <w:rFonts w:hint="eastAsia" w:ascii="宋体" w:hAnsi="宋体" w:eastAsia="宋体" w:cs="宋体"/>
          <w:szCs w:val="21"/>
          <w:vertAlign w:val="superscript"/>
        </w:rPr>
        <w:t>2</w:t>
      </w:r>
      <w:r>
        <w:rPr>
          <w:rFonts w:hint="eastAsia" w:ascii="宋体" w:hAnsi="宋体" w:eastAsia="宋体" w:cs="宋体"/>
          <w:szCs w:val="21"/>
        </w:rPr>
        <w:t>铜芯导线，导线的分支应在元器件的端子或端子排上。每个端子只容许接单根导线。</w:t>
      </w:r>
    </w:p>
    <w:p w14:paraId="19AF3B5F">
      <w:pPr>
        <w:pStyle w:val="4"/>
        <w:adjustRightInd w:val="0"/>
        <w:snapToGrid w:val="0"/>
        <w:spacing w:before="156" w:after="156"/>
        <w:rPr>
          <w:rFonts w:hint="eastAsia" w:ascii="宋体" w:hAnsi="宋体" w:eastAsia="宋体" w:cs="宋体"/>
          <w:color w:val="000000" w:themeColor="text1"/>
          <w14:textFill>
            <w14:solidFill>
              <w14:schemeClr w14:val="tx1"/>
            </w14:solidFill>
          </w14:textFill>
        </w:rPr>
      </w:pPr>
      <w:bookmarkStart w:id="26" w:name="_Toc219812970"/>
      <w:r>
        <w:rPr>
          <w:rFonts w:hint="eastAsia" w:ascii="宋体" w:hAnsi="宋体" w:eastAsia="宋体" w:cs="宋体"/>
          <w:b/>
          <w:sz w:val="21"/>
          <w:szCs w:val="21"/>
        </w:rPr>
        <w:t>计量</w:t>
      </w:r>
      <w:bookmarkEnd w:id="26"/>
    </w:p>
    <w:p w14:paraId="72855A0A">
      <w:pPr>
        <w:topLinePunct/>
        <w:snapToGrid w:val="0"/>
        <w:spacing w:line="360" w:lineRule="auto"/>
        <w:rPr>
          <w:rFonts w:hint="eastAsia" w:ascii="宋体" w:hAnsi="宋体" w:eastAsia="宋体" w:cs="宋体"/>
          <w:szCs w:val="21"/>
        </w:rPr>
      </w:pPr>
      <w:r>
        <w:rPr>
          <w:rFonts w:hint="eastAsia" w:ascii="宋体" w:hAnsi="宋体" w:eastAsia="宋体" w:cs="宋体"/>
          <w:szCs w:val="21"/>
        </w:rPr>
        <w:t>1.3.3.1 对电流互感器应提供下列数据：励磁特性曲线、拐点电压、75</w:t>
      </w:r>
      <w:r>
        <w:rPr>
          <w:rFonts w:hint="eastAsia" w:ascii="宋体" w:hAnsi="宋体" w:eastAsia="宋体" w:cs="宋体"/>
          <w:szCs w:val="21"/>
        </w:rPr>
        <w:sym w:font="Symbol" w:char="F0B0"/>
      </w:r>
      <w:r>
        <w:rPr>
          <w:rFonts w:hint="eastAsia" w:ascii="宋体" w:hAnsi="宋体" w:eastAsia="宋体" w:cs="宋体"/>
          <w:szCs w:val="21"/>
        </w:rPr>
        <w:t>C时最大二次电阻值等。</w:t>
      </w:r>
    </w:p>
    <w:p w14:paraId="00DC2A1F">
      <w:pPr>
        <w:topLinePunct/>
        <w:snapToGrid w:val="0"/>
        <w:spacing w:line="360" w:lineRule="auto"/>
        <w:rPr>
          <w:rFonts w:hint="eastAsia" w:ascii="宋体" w:hAnsi="宋体" w:eastAsia="宋体" w:cs="宋体"/>
          <w:szCs w:val="21"/>
        </w:rPr>
      </w:pPr>
      <w:r>
        <w:rPr>
          <w:rFonts w:hint="eastAsia" w:ascii="宋体" w:hAnsi="宋体" w:eastAsia="宋体" w:cs="宋体"/>
          <w:szCs w:val="21"/>
        </w:rPr>
        <w:t>1.3.3.2开关柜内的监测仪表用电流互感器在出厂前必须做伏安特性筛选，同一柜内的三相电流互感器伏安特性应相匹配，并有出厂报告。</w:t>
      </w:r>
    </w:p>
    <w:p w14:paraId="19489DBD">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1）绝缘材质：高强度阻燃ADS</w:t>
      </w:r>
    </w:p>
    <w:p w14:paraId="11D8112A">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2）额定电压：10 kV</w:t>
      </w:r>
    </w:p>
    <w:p w14:paraId="29172B66">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3）高压计量由供电公司提供，柜厂需满足安装接线要求，安装计量互感器时须将互感器铭牌朝外便于观察。</w:t>
      </w:r>
    </w:p>
    <w:p w14:paraId="78E8AD8C">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4）计量仓高度需满足安装计量表和接线盒，计量表仓和计量互感器仓内不能其他翻柜的线缆和铜排，计量仓内的铜排需分断可拆开安装互感器，计量仓须单独铅封。</w:t>
      </w:r>
    </w:p>
    <w:p w14:paraId="1156D2FA">
      <w:pPr>
        <w:pStyle w:val="4"/>
        <w:adjustRightInd w:val="0"/>
        <w:snapToGrid w:val="0"/>
        <w:spacing w:before="156" w:after="156"/>
        <w:rPr>
          <w:rFonts w:hint="eastAsia" w:ascii="宋体" w:hAnsi="宋体" w:eastAsia="宋体" w:cs="宋体"/>
          <w:color w:val="000000" w:themeColor="text1"/>
          <w14:textFill>
            <w14:solidFill>
              <w14:schemeClr w14:val="tx1"/>
            </w14:solidFill>
          </w14:textFill>
        </w:rPr>
      </w:pPr>
      <w:bookmarkStart w:id="27" w:name="_Toc219812971"/>
      <w:r>
        <w:rPr>
          <w:rFonts w:hint="eastAsia" w:ascii="宋体" w:hAnsi="宋体" w:eastAsia="宋体" w:cs="宋体"/>
          <w:b/>
          <w:snapToGrid w:val="0"/>
          <w:sz w:val="21"/>
          <w:szCs w:val="21"/>
        </w:rPr>
        <w:t>试验要求</w:t>
      </w:r>
      <w:bookmarkEnd w:id="27"/>
    </w:p>
    <w:p w14:paraId="4AE88D79">
      <w:pPr>
        <w:topLinePunct/>
        <w:snapToGrid w:val="0"/>
        <w:spacing w:line="360" w:lineRule="auto"/>
        <w:ind w:firstLine="420"/>
        <w:rPr>
          <w:rFonts w:hint="eastAsia" w:ascii="宋体" w:hAnsi="宋体" w:eastAsia="宋体" w:cs="宋体"/>
          <w:szCs w:val="21"/>
        </w:rPr>
      </w:pPr>
    </w:p>
    <w:p w14:paraId="56882DD4">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开关柜应按DL/T 404《3.6kV～40.5kV交流金属封闭开关设备和控制设备》、GB 3906《3.6kV～40.5kV交流金属封闭开关设备和控制设备》进行型式试验、出厂试验，并应提供供货范围内主要元件的型式试验和出厂试验报告。现场交接试验应符合DL/T 404《3.6kV～40.5kV交流金属封闭开关设备和控制设备》和GB 50150《电气装置安装工程 电气设备交接试验标准》的要求。</w:t>
      </w:r>
    </w:p>
    <w:p w14:paraId="4152F3CF">
      <w:pPr>
        <w:snapToGrid w:val="0"/>
        <w:spacing w:line="360" w:lineRule="auto"/>
        <w:rPr>
          <w:rFonts w:hint="eastAsia" w:ascii="宋体" w:hAnsi="宋体" w:eastAsia="宋体" w:cs="宋体"/>
          <w:szCs w:val="21"/>
        </w:rPr>
      </w:pPr>
      <w:bookmarkStart w:id="28" w:name="_Toc255394714"/>
      <w:bookmarkStart w:id="29" w:name="_Toc241636743"/>
      <w:bookmarkStart w:id="30" w:name="_Toc28462"/>
      <w:r>
        <w:rPr>
          <w:rFonts w:hint="eastAsia" w:ascii="宋体" w:hAnsi="宋体" w:eastAsia="宋体" w:cs="宋体"/>
          <w:szCs w:val="21"/>
        </w:rPr>
        <w:t>1.3.4.1  型式试验</w:t>
      </w:r>
      <w:bookmarkEnd w:id="28"/>
      <w:bookmarkEnd w:id="29"/>
      <w:bookmarkEnd w:id="30"/>
    </w:p>
    <w:p w14:paraId="26602537">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型式试验的目的在于验证开关柜、控制回路、控制设备及辅助设备的各种性能是否符合设计的要求。由于所用元件的类型、额定参数和组合的多样性，所以不可能对所有方案都进行型式试验。型式试验只能在典型的功能单元上进行试验。任一种具体方案的性能可以引用类似方案的试验数据。</w:t>
      </w:r>
    </w:p>
    <w:p w14:paraId="518080BA">
      <w:pPr>
        <w:topLinePunct/>
        <w:snapToGrid w:val="0"/>
        <w:spacing w:line="360" w:lineRule="auto"/>
        <w:rPr>
          <w:rFonts w:hint="eastAsia" w:ascii="宋体" w:hAnsi="宋体" w:eastAsia="宋体" w:cs="宋体"/>
          <w:szCs w:val="21"/>
        </w:rPr>
      </w:pPr>
      <w:r>
        <w:rPr>
          <w:rFonts w:hint="eastAsia" w:ascii="宋体" w:hAnsi="宋体" w:eastAsia="宋体" w:cs="宋体"/>
          <w:szCs w:val="21"/>
        </w:rPr>
        <w:t>1.3.4.1.1  对型式试验的补充说明。</w:t>
      </w:r>
    </w:p>
    <w:p w14:paraId="49D73FEE">
      <w:pPr>
        <w:topLinePunct/>
        <w:snapToGrid w:val="0"/>
        <w:spacing w:line="360" w:lineRule="auto"/>
        <w:ind w:firstLine="396"/>
        <w:rPr>
          <w:rFonts w:hint="eastAsia" w:ascii="宋体" w:hAnsi="宋体" w:eastAsia="宋体" w:cs="宋体"/>
          <w:spacing w:val="-6"/>
          <w:szCs w:val="21"/>
        </w:rPr>
      </w:pPr>
      <w:r>
        <w:rPr>
          <w:rFonts w:hint="eastAsia" w:ascii="宋体" w:hAnsi="宋体" w:eastAsia="宋体" w:cs="宋体"/>
          <w:spacing w:val="-6"/>
          <w:szCs w:val="21"/>
        </w:rPr>
        <w:t>开关柜的型式试验应在典型的功能单元上进行全套试验。如开关柜所配的断路器已进行了全套试验，则开关柜的关合和开断能力的验证按DL/T 404《3.6kV～40.5kV交流金属封闭开关设备和控制设备》和GB 3906《3.6kV～40.5kV交流金属封闭开关设备和控制设备》中“关合和开断能力的验证”的要求，进行T100s和T100a试验，以及临界电流试验（如果有）。其他试验按DL/T 404《3.6kV～40.5kV交流金属封闭开关设备和控制设备》和GB 3906《3.6kV～40.5kV交流金属封闭开关设备和控制设备》进行。</w:t>
      </w:r>
    </w:p>
    <w:p w14:paraId="61BC5790">
      <w:pPr>
        <w:topLinePunct/>
        <w:snapToGrid w:val="0"/>
        <w:spacing w:line="360" w:lineRule="auto"/>
        <w:rPr>
          <w:rFonts w:hint="eastAsia" w:ascii="宋体" w:hAnsi="宋体" w:eastAsia="宋体" w:cs="宋体"/>
          <w:szCs w:val="21"/>
        </w:rPr>
      </w:pPr>
      <w:r>
        <w:rPr>
          <w:rFonts w:hint="eastAsia" w:ascii="宋体" w:hAnsi="宋体" w:eastAsia="宋体" w:cs="宋体"/>
          <w:szCs w:val="21"/>
        </w:rPr>
        <w:t>1.3.4.1.2  型式试验的内容包括：</w:t>
      </w:r>
    </w:p>
    <w:p w14:paraId="117821CE">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rPr>
        <w:tab/>
      </w:r>
      <w:r>
        <w:rPr>
          <w:rFonts w:hint="eastAsia" w:ascii="宋体" w:hAnsi="宋体" w:eastAsia="宋体" w:cs="宋体"/>
          <w:szCs w:val="21"/>
        </w:rPr>
        <w:t>绝缘试验、局部放电试验及辅助回路绝缘试验。</w:t>
      </w:r>
    </w:p>
    <w:p w14:paraId="48B5A44B">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ab/>
      </w:r>
      <w:r>
        <w:rPr>
          <w:rFonts w:hint="eastAsia" w:ascii="宋体" w:hAnsi="宋体" w:eastAsia="宋体" w:cs="宋体"/>
          <w:szCs w:val="21"/>
        </w:rPr>
        <w:t>温升试验和主回路电阻测量。</w:t>
      </w:r>
    </w:p>
    <w:p w14:paraId="7B6C9D85">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rPr>
        <w:tab/>
      </w:r>
      <w:r>
        <w:rPr>
          <w:rFonts w:hint="eastAsia" w:ascii="宋体" w:hAnsi="宋体" w:eastAsia="宋体" w:cs="宋体"/>
          <w:szCs w:val="21"/>
        </w:rPr>
        <w:t>主回路和接地回路的短时和峰值耐受电流试验。</w:t>
      </w:r>
    </w:p>
    <w:p w14:paraId="10E3F413">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rPr>
        <w:tab/>
      </w:r>
      <w:r>
        <w:rPr>
          <w:rFonts w:hint="eastAsia" w:ascii="宋体" w:hAnsi="宋体" w:eastAsia="宋体" w:cs="宋体"/>
          <w:szCs w:val="21"/>
        </w:rPr>
        <w:t>常温下的机械操作试验（包括机械特性试验、机械寿命试验）。</w:t>
      </w:r>
    </w:p>
    <w:p w14:paraId="14174104">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5）</w:t>
      </w:r>
      <w:r>
        <w:rPr>
          <w:rFonts w:hint="eastAsia" w:ascii="宋体" w:hAnsi="宋体" w:eastAsia="宋体" w:cs="宋体"/>
          <w:szCs w:val="21"/>
        </w:rPr>
        <w:tab/>
      </w:r>
      <w:r>
        <w:rPr>
          <w:rFonts w:hint="eastAsia" w:ascii="宋体" w:hAnsi="宋体" w:eastAsia="宋体" w:cs="宋体"/>
          <w:szCs w:val="21"/>
        </w:rPr>
        <w:t>短路电流关合和开断试验。</w:t>
      </w:r>
    </w:p>
    <w:p w14:paraId="5B25EE33">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szCs w:val="21"/>
        </w:rPr>
        <w:tab/>
      </w:r>
      <w:r>
        <w:rPr>
          <w:rFonts w:hint="eastAsia" w:ascii="宋体" w:hAnsi="宋体" w:eastAsia="宋体" w:cs="宋体"/>
          <w:szCs w:val="21"/>
        </w:rPr>
        <w:t>机械联闭锁试验。</w:t>
      </w:r>
    </w:p>
    <w:p w14:paraId="592FF9C3">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7）</w:t>
      </w:r>
      <w:r>
        <w:rPr>
          <w:rFonts w:hint="eastAsia" w:ascii="宋体" w:hAnsi="宋体" w:eastAsia="宋体" w:cs="宋体"/>
          <w:szCs w:val="21"/>
        </w:rPr>
        <w:tab/>
      </w:r>
      <w:r>
        <w:rPr>
          <w:rFonts w:hint="eastAsia" w:ascii="宋体" w:hAnsi="宋体" w:eastAsia="宋体" w:cs="宋体"/>
          <w:szCs w:val="21"/>
        </w:rPr>
        <w:t>防护等级试验。</w:t>
      </w:r>
    </w:p>
    <w:p w14:paraId="208D8283">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szCs w:val="21"/>
        </w:rPr>
        <w:tab/>
      </w:r>
      <w:r>
        <w:rPr>
          <w:rFonts w:hint="eastAsia" w:ascii="宋体" w:hAnsi="宋体" w:eastAsia="宋体" w:cs="宋体"/>
          <w:szCs w:val="21"/>
        </w:rPr>
        <w:t>操作振动试验。</w:t>
      </w:r>
    </w:p>
    <w:p w14:paraId="6FD498CE">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9）</w:t>
      </w:r>
      <w:r>
        <w:rPr>
          <w:rFonts w:hint="eastAsia" w:ascii="宋体" w:hAnsi="宋体" w:eastAsia="宋体" w:cs="宋体"/>
          <w:szCs w:val="21"/>
        </w:rPr>
        <w:tab/>
      </w:r>
      <w:r>
        <w:rPr>
          <w:rFonts w:hint="eastAsia" w:ascii="宋体" w:hAnsi="宋体" w:eastAsia="宋体" w:cs="宋体"/>
          <w:szCs w:val="21"/>
        </w:rPr>
        <w:t>内部故障电弧试验。</w:t>
      </w:r>
    </w:p>
    <w:p w14:paraId="49F70009">
      <w:pPr>
        <w:tabs>
          <w:tab w:val="left" w:pos="1008"/>
        </w:tabs>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10）</w:t>
      </w:r>
      <w:r>
        <w:rPr>
          <w:rFonts w:hint="eastAsia" w:ascii="宋体" w:hAnsi="宋体" w:eastAsia="宋体" w:cs="宋体"/>
          <w:szCs w:val="21"/>
        </w:rPr>
        <w:tab/>
      </w:r>
      <w:r>
        <w:rPr>
          <w:rFonts w:hint="eastAsia" w:ascii="宋体" w:hAnsi="宋体" w:eastAsia="宋体" w:cs="宋体"/>
          <w:szCs w:val="21"/>
        </w:rPr>
        <w:t>开关柜中断路器、CT、PT及避雷器等元件按标准所应进行的型式试验。</w:t>
      </w:r>
    </w:p>
    <w:p w14:paraId="23C93402">
      <w:pPr>
        <w:snapToGrid w:val="0"/>
        <w:spacing w:line="360" w:lineRule="auto"/>
        <w:rPr>
          <w:rFonts w:hint="eastAsia" w:ascii="宋体" w:hAnsi="宋体" w:eastAsia="宋体" w:cs="宋体"/>
          <w:szCs w:val="21"/>
        </w:rPr>
      </w:pPr>
      <w:bookmarkStart w:id="31" w:name="_Toc10291"/>
      <w:bookmarkStart w:id="32" w:name="_Toc241636744"/>
      <w:bookmarkStart w:id="33" w:name="_Toc255394715"/>
      <w:r>
        <w:rPr>
          <w:rFonts w:hint="eastAsia" w:ascii="宋体" w:hAnsi="宋体" w:eastAsia="宋体" w:cs="宋体"/>
          <w:szCs w:val="21"/>
        </w:rPr>
        <w:t>1.3.4.2 出厂试验</w:t>
      </w:r>
      <w:bookmarkEnd w:id="31"/>
      <w:bookmarkEnd w:id="32"/>
      <w:bookmarkEnd w:id="33"/>
    </w:p>
    <w:p w14:paraId="78DD094A">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每台开关柜均应在工厂内进行整台组装并进行出厂试验，出厂试验的技术数据应随产品一起交付买方。产品在拆前应对关键的连接部位和部件做好标记。</w:t>
      </w:r>
    </w:p>
    <w:p w14:paraId="52BA508C">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rPr>
        <w:tab/>
      </w:r>
      <w:r>
        <w:rPr>
          <w:rFonts w:hint="eastAsia" w:ascii="宋体" w:hAnsi="宋体" w:eastAsia="宋体" w:cs="宋体"/>
          <w:szCs w:val="21"/>
        </w:rPr>
        <w:t>主回路的绝缘试验。</w:t>
      </w:r>
    </w:p>
    <w:p w14:paraId="50B0DDA8">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ab/>
      </w:r>
      <w:r>
        <w:rPr>
          <w:rFonts w:hint="eastAsia" w:ascii="宋体" w:hAnsi="宋体" w:eastAsia="宋体" w:cs="宋体"/>
          <w:szCs w:val="21"/>
        </w:rPr>
        <w:t>辅助和控制回路的绝缘试验。</w:t>
      </w:r>
    </w:p>
    <w:p w14:paraId="2C3444DB">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rPr>
        <w:tab/>
      </w:r>
      <w:r>
        <w:rPr>
          <w:rFonts w:hint="eastAsia" w:ascii="宋体" w:hAnsi="宋体" w:eastAsia="宋体" w:cs="宋体"/>
          <w:szCs w:val="21"/>
        </w:rPr>
        <w:t>主回路电阻测量。</w:t>
      </w:r>
    </w:p>
    <w:p w14:paraId="6C4262B1">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rPr>
        <w:tab/>
      </w:r>
      <w:r>
        <w:rPr>
          <w:rFonts w:hint="eastAsia" w:ascii="宋体" w:hAnsi="宋体" w:eastAsia="宋体" w:cs="宋体"/>
          <w:szCs w:val="21"/>
        </w:rPr>
        <w:t>设计和外观检查。</w:t>
      </w:r>
    </w:p>
    <w:p w14:paraId="49D11809">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5）</w:t>
      </w:r>
      <w:r>
        <w:rPr>
          <w:rFonts w:hint="eastAsia" w:ascii="宋体" w:hAnsi="宋体" w:eastAsia="宋体" w:cs="宋体"/>
          <w:szCs w:val="21"/>
        </w:rPr>
        <w:tab/>
      </w:r>
      <w:r>
        <w:rPr>
          <w:rFonts w:hint="eastAsia" w:ascii="宋体" w:hAnsi="宋体" w:eastAsia="宋体" w:cs="宋体"/>
          <w:szCs w:val="21"/>
        </w:rPr>
        <w:t>机械操作和机械特性试验。</w:t>
      </w:r>
    </w:p>
    <w:p w14:paraId="7593F54C">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szCs w:val="21"/>
        </w:rPr>
        <w:tab/>
      </w:r>
      <w:r>
        <w:rPr>
          <w:rFonts w:hint="eastAsia" w:ascii="宋体" w:hAnsi="宋体" w:eastAsia="宋体" w:cs="宋体"/>
          <w:szCs w:val="21"/>
        </w:rPr>
        <w:t>局部放电测量。</w:t>
      </w:r>
    </w:p>
    <w:p w14:paraId="48365141">
      <w:pPr>
        <w:topLinePunct/>
        <w:snapToGrid w:val="0"/>
        <w:spacing w:line="360" w:lineRule="auto"/>
        <w:rPr>
          <w:rFonts w:hint="eastAsia" w:ascii="宋体" w:hAnsi="宋体" w:eastAsia="宋体" w:cs="宋体"/>
          <w:szCs w:val="21"/>
        </w:rPr>
      </w:pPr>
      <w:r>
        <w:rPr>
          <w:rFonts w:hint="eastAsia" w:ascii="宋体" w:hAnsi="宋体" w:eastAsia="宋体" w:cs="宋体"/>
          <w:szCs w:val="21"/>
        </w:rPr>
        <w:t>1.3.4.3 现场交接试验</w:t>
      </w:r>
    </w:p>
    <w:p w14:paraId="66D81323">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1）开关柜安装完毕后应进行现场交接试验，试验应符合DL/T 404和GB 50150《电气装置安装工程电气设备交接试验标准》的要求。试验时卖方应派代表参加，所有试验结果均应符合产品的技术要求。项目如下：主回路绝缘试验、辅助回路绝缘试验、主回路电阻试验、检查与核实</w:t>
      </w:r>
    </w:p>
    <w:p w14:paraId="0A630E78">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2）内容包括：外观检查、图纸与说明书；所有螺栓及接线的紧固情况；控制、测量、保护和调节设备以及包括加热器在内的正确功能等。</w:t>
      </w:r>
    </w:p>
    <w:p w14:paraId="152EC286">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① 联锁检查</w:t>
      </w:r>
    </w:p>
    <w:p w14:paraId="3DE9599C">
      <w:pPr>
        <w:topLinePunct/>
        <w:snapToGrid w:val="0"/>
        <w:spacing w:line="360" w:lineRule="auto"/>
        <w:ind w:firstLine="420"/>
        <w:rPr>
          <w:rFonts w:hint="eastAsia" w:ascii="宋体" w:hAnsi="宋体" w:eastAsia="宋体" w:cs="宋体"/>
          <w:szCs w:val="21"/>
        </w:rPr>
      </w:pPr>
      <w:r>
        <w:rPr>
          <w:rFonts w:hint="eastAsia" w:ascii="宋体" w:hAnsi="宋体" w:eastAsia="宋体" w:cs="宋体"/>
          <w:szCs w:val="21"/>
        </w:rPr>
        <w:t>② 机械操作试验</w:t>
      </w:r>
    </w:p>
    <w:p w14:paraId="3C1F81BA">
      <w:pPr>
        <w:topLinePunct/>
        <w:adjustRightInd w:val="0"/>
        <w:snapToGrid w:val="0"/>
        <w:spacing w:before="156" w:after="156" w:line="360" w:lineRule="auto"/>
        <w:ind w:firstLine="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③ 开关柜中断路器、CT、PT及避雷器等元件按标准应进行的其它现场试验</w:t>
      </w:r>
    </w:p>
    <w:p w14:paraId="1FC07E0F">
      <w:pPr>
        <w:pStyle w:val="4"/>
        <w:adjustRightInd w:val="0"/>
        <w:snapToGrid w:val="0"/>
        <w:spacing w:before="156" w:after="156"/>
        <w:rPr>
          <w:rFonts w:hint="eastAsia" w:ascii="宋体" w:hAnsi="宋体" w:eastAsia="宋体" w:cs="宋体"/>
          <w:color w:val="000000" w:themeColor="text1"/>
          <w14:textFill>
            <w14:solidFill>
              <w14:schemeClr w14:val="tx1"/>
            </w14:solidFill>
          </w14:textFill>
        </w:rPr>
      </w:pPr>
      <w:bookmarkStart w:id="34" w:name="_Toc219812972"/>
      <w:r>
        <w:rPr>
          <w:rFonts w:hint="eastAsia" w:ascii="宋体" w:hAnsi="宋体" w:eastAsia="宋体" w:cs="宋体"/>
          <w:color w:val="000000" w:themeColor="text1"/>
          <w14:textFill>
            <w14:solidFill>
              <w14:schemeClr w14:val="tx1"/>
            </w14:solidFill>
          </w14:textFill>
        </w:rPr>
        <w:t>通用要求</w:t>
      </w:r>
      <w:bookmarkEnd w:id="34"/>
    </w:p>
    <w:p w14:paraId="36B0D5D9">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1、开关柜的柜架为垂直地面安装的自撑组装式结构，柜体骨架采用C型材进行组装，具有足够的机械和电气强度，完全能够承受长途运输，安装外力和事故短路时电动力的影响而不损坏。</w:t>
      </w:r>
    </w:p>
    <w:p w14:paraId="3908BBDA">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2、柜体钢板采用冷轧钢板，厚度应满足国标和IEC的有关标准，柜架采用C型材；面板喷塑均匀平滑外观美，结构合理匀称，平直度高。</w:t>
      </w:r>
    </w:p>
    <w:p w14:paraId="1F1B61C1">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低压并网柜及柜内所有一次设备及元件短路动、热稳定电流能承受不低于母线动、热稳定电流值而不损坏，所有电气元件均经过CCC认证，配电柜提供有全型式试验/部分型式试验，并具有足够运行业绩。产品供货时，提供检验记录、试验报告及质量合格证等出厂报告。</w:t>
      </w:r>
    </w:p>
    <w:p w14:paraId="7881EE7E">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4、防护等级：IP66（室外）；</w:t>
      </w:r>
    </w:p>
    <w:p w14:paraId="2BA75F9F">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5、控制电路额定工作电压：交流 220V，具体以施工图为准。</w:t>
      </w:r>
    </w:p>
    <w:p w14:paraId="4F0C1660">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交、直流控制回路电源进线采用进口微型塑壳断路器, 该断路器满足控制回路故障时及时切断电源，断路器具有辅助触点。</w:t>
      </w:r>
    </w:p>
    <w:p w14:paraId="1DC342E2">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如控制回路用于三相三线馈线，控制交流220V电源由柜内控制隔离变压器经馈线一次回路引接，该控制变压器安装在馈线抽屉内，容量满足控制回路各个元件经常负荷及短时负荷的要求。</w:t>
      </w:r>
    </w:p>
    <w:p w14:paraId="66E9A20E">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6、并网柜内各个控制及显示元件如：选择开关、按钮、指示灯、继电器、电流互感器、表计、变送器等均选用有运行经验的优质产品，以上二次元件按订货图中数量配置。</w:t>
      </w:r>
    </w:p>
    <w:p w14:paraId="2BFAD7A4">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7、控制电源与一次电源可靠隔离。PT二次经快速小开关接至端子排，小开关的布置位置要方便操作。</w:t>
      </w:r>
    </w:p>
    <w:p w14:paraId="512F7F46">
      <w:pPr>
        <w:pStyle w:val="4"/>
        <w:adjustRightInd w:val="0"/>
        <w:snapToGrid w:val="0"/>
        <w:spacing w:before="156" w:after="156"/>
        <w:rPr>
          <w:rFonts w:hint="eastAsia" w:ascii="宋体" w:hAnsi="宋体" w:eastAsia="宋体" w:cs="宋体"/>
          <w:color w:val="000000" w:themeColor="text1"/>
          <w14:textFill>
            <w14:solidFill>
              <w14:schemeClr w14:val="tx1"/>
            </w14:solidFill>
          </w14:textFill>
        </w:rPr>
      </w:pPr>
      <w:bookmarkStart w:id="35" w:name="_Toc219812973"/>
      <w:r>
        <w:rPr>
          <w:rFonts w:hint="eastAsia" w:ascii="宋体" w:hAnsi="宋体" w:eastAsia="宋体" w:cs="宋体"/>
          <w:color w:val="000000" w:themeColor="text1"/>
          <w14:textFill>
            <w14:solidFill>
              <w14:schemeClr w14:val="tx1"/>
            </w14:solidFill>
          </w14:textFill>
        </w:rPr>
        <w:t>柜体参数表</w:t>
      </w:r>
      <w:bookmarkEnd w:id="35"/>
    </w:p>
    <w:p w14:paraId="26329253">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交流低压并网柜技术参数表（供方填写）</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4293"/>
        <w:gridCol w:w="3371"/>
      </w:tblGrid>
      <w:tr w14:paraId="518F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trPr>
        <w:tc>
          <w:tcPr>
            <w:tcW w:w="865" w:type="dxa"/>
            <w:vAlign w:val="center"/>
          </w:tcPr>
          <w:p w14:paraId="7D243139">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序号</w:t>
            </w:r>
          </w:p>
        </w:tc>
        <w:tc>
          <w:tcPr>
            <w:tcW w:w="4293" w:type="dxa"/>
            <w:vAlign w:val="center"/>
          </w:tcPr>
          <w:p w14:paraId="708144F3">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名称</w:t>
            </w:r>
          </w:p>
        </w:tc>
        <w:tc>
          <w:tcPr>
            <w:tcW w:w="3371" w:type="dxa"/>
            <w:vAlign w:val="center"/>
          </w:tcPr>
          <w:p w14:paraId="2A3F1830">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供方提供值</w:t>
            </w:r>
          </w:p>
        </w:tc>
      </w:tr>
      <w:tr w14:paraId="0BDA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10916B82">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4293" w:type="dxa"/>
            <w:vAlign w:val="center"/>
          </w:tcPr>
          <w:p w14:paraId="35D604DD">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型式</w:t>
            </w:r>
          </w:p>
        </w:tc>
        <w:tc>
          <w:tcPr>
            <w:tcW w:w="3371" w:type="dxa"/>
            <w:vAlign w:val="center"/>
          </w:tcPr>
          <w:p w14:paraId="6E855352">
            <w:pPr>
              <w:rPr>
                <w:rFonts w:hint="eastAsia" w:ascii="宋体" w:hAnsi="宋体" w:eastAsia="宋体" w:cs="宋体"/>
                <w:color w:val="000000" w:themeColor="text1"/>
                <w:sz w:val="18"/>
                <w:szCs w:val="18"/>
                <w14:textFill>
                  <w14:solidFill>
                    <w14:schemeClr w14:val="tx1"/>
                  </w14:solidFill>
                </w14:textFill>
              </w:rPr>
            </w:pPr>
          </w:p>
        </w:tc>
      </w:tr>
      <w:tr w14:paraId="2F1C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543F2843">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p>
        </w:tc>
        <w:tc>
          <w:tcPr>
            <w:tcW w:w="4293" w:type="dxa"/>
            <w:vAlign w:val="center"/>
          </w:tcPr>
          <w:p w14:paraId="15F884FC">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主电路绝缘电压            (V)</w:t>
            </w:r>
          </w:p>
        </w:tc>
        <w:tc>
          <w:tcPr>
            <w:tcW w:w="3371" w:type="dxa"/>
            <w:vAlign w:val="center"/>
          </w:tcPr>
          <w:p w14:paraId="7A126793">
            <w:pPr>
              <w:rPr>
                <w:rFonts w:hint="eastAsia" w:ascii="宋体" w:hAnsi="宋体" w:eastAsia="宋体" w:cs="宋体"/>
                <w:color w:val="000000" w:themeColor="text1"/>
                <w:sz w:val="18"/>
                <w:szCs w:val="18"/>
                <w14:textFill>
                  <w14:solidFill>
                    <w14:schemeClr w14:val="tx1"/>
                  </w14:solidFill>
                </w14:textFill>
              </w:rPr>
            </w:pPr>
          </w:p>
        </w:tc>
      </w:tr>
      <w:tr w14:paraId="28BB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6E20FB9D">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w:t>
            </w:r>
          </w:p>
        </w:tc>
        <w:tc>
          <w:tcPr>
            <w:tcW w:w="4293" w:type="dxa"/>
            <w:vAlign w:val="center"/>
          </w:tcPr>
          <w:p w14:paraId="02619965">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主电路额定工作电压        (V)</w:t>
            </w:r>
          </w:p>
        </w:tc>
        <w:tc>
          <w:tcPr>
            <w:tcW w:w="3371" w:type="dxa"/>
            <w:vAlign w:val="center"/>
          </w:tcPr>
          <w:p w14:paraId="754665C5">
            <w:pPr>
              <w:rPr>
                <w:rFonts w:hint="eastAsia" w:ascii="宋体" w:hAnsi="宋体" w:eastAsia="宋体" w:cs="宋体"/>
                <w:color w:val="000000" w:themeColor="text1"/>
                <w:sz w:val="18"/>
                <w:szCs w:val="18"/>
                <w14:textFill>
                  <w14:solidFill>
                    <w14:schemeClr w14:val="tx1"/>
                  </w14:solidFill>
                </w14:textFill>
              </w:rPr>
            </w:pPr>
          </w:p>
        </w:tc>
      </w:tr>
      <w:tr w14:paraId="0388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2F84BF96">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w:t>
            </w:r>
          </w:p>
        </w:tc>
        <w:tc>
          <w:tcPr>
            <w:tcW w:w="4293" w:type="dxa"/>
            <w:vAlign w:val="center"/>
          </w:tcPr>
          <w:p w14:paraId="12B6B503">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辅助电路额定工作电压      (V)</w:t>
            </w:r>
          </w:p>
        </w:tc>
        <w:tc>
          <w:tcPr>
            <w:tcW w:w="3371" w:type="dxa"/>
            <w:vAlign w:val="center"/>
          </w:tcPr>
          <w:p w14:paraId="064AED90">
            <w:pPr>
              <w:rPr>
                <w:rFonts w:hint="eastAsia" w:ascii="宋体" w:hAnsi="宋体" w:eastAsia="宋体" w:cs="宋体"/>
                <w:color w:val="000000" w:themeColor="text1"/>
                <w:sz w:val="18"/>
                <w:szCs w:val="18"/>
                <w14:textFill>
                  <w14:solidFill>
                    <w14:schemeClr w14:val="tx1"/>
                  </w14:solidFill>
                </w14:textFill>
              </w:rPr>
            </w:pPr>
          </w:p>
        </w:tc>
      </w:tr>
      <w:tr w14:paraId="0845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23CA81FA">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w:t>
            </w:r>
          </w:p>
        </w:tc>
        <w:tc>
          <w:tcPr>
            <w:tcW w:w="4293" w:type="dxa"/>
            <w:vAlign w:val="center"/>
          </w:tcPr>
          <w:p w14:paraId="2AE919A8">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主母线额定电流            (A)</w:t>
            </w:r>
          </w:p>
        </w:tc>
        <w:tc>
          <w:tcPr>
            <w:tcW w:w="3371" w:type="dxa"/>
            <w:vAlign w:val="center"/>
          </w:tcPr>
          <w:p w14:paraId="4B8A0099">
            <w:pPr>
              <w:rPr>
                <w:rFonts w:hint="eastAsia" w:ascii="宋体" w:hAnsi="宋体" w:eastAsia="宋体" w:cs="宋体"/>
                <w:color w:val="000000" w:themeColor="text1"/>
                <w:sz w:val="18"/>
                <w:szCs w:val="18"/>
                <w14:textFill>
                  <w14:solidFill>
                    <w14:schemeClr w14:val="tx1"/>
                  </w14:solidFill>
                </w14:textFill>
              </w:rPr>
            </w:pPr>
          </w:p>
        </w:tc>
      </w:tr>
      <w:tr w14:paraId="57DA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761A81C2">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w:t>
            </w:r>
          </w:p>
        </w:tc>
        <w:tc>
          <w:tcPr>
            <w:tcW w:w="4293" w:type="dxa"/>
            <w:vAlign w:val="center"/>
          </w:tcPr>
          <w:p w14:paraId="71F0F525">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分支母线额定电流          (A)</w:t>
            </w:r>
          </w:p>
        </w:tc>
        <w:tc>
          <w:tcPr>
            <w:tcW w:w="3371" w:type="dxa"/>
            <w:vAlign w:val="center"/>
          </w:tcPr>
          <w:p w14:paraId="43F98E71">
            <w:pPr>
              <w:rPr>
                <w:rFonts w:hint="eastAsia" w:ascii="宋体" w:hAnsi="宋体" w:eastAsia="宋体" w:cs="宋体"/>
                <w:color w:val="000000" w:themeColor="text1"/>
                <w:sz w:val="18"/>
                <w:szCs w:val="18"/>
                <w14:textFill>
                  <w14:solidFill>
                    <w14:schemeClr w14:val="tx1"/>
                  </w14:solidFill>
                </w14:textFill>
              </w:rPr>
            </w:pPr>
          </w:p>
        </w:tc>
      </w:tr>
      <w:tr w14:paraId="5C0C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705198AB">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7</w:t>
            </w:r>
          </w:p>
        </w:tc>
        <w:tc>
          <w:tcPr>
            <w:tcW w:w="4293" w:type="dxa"/>
            <w:vAlign w:val="center"/>
          </w:tcPr>
          <w:p w14:paraId="055AD195">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额定短路耐受电流</w:t>
            </w:r>
            <w:r>
              <w:rPr>
                <w:rFonts w:hint="eastAsia" w:ascii="宋体" w:hAnsi="宋体" w:eastAsia="宋体" w:cs="宋体"/>
                <w:color w:val="000000" w:themeColor="text1"/>
                <w:sz w:val="18"/>
                <w:szCs w:val="18"/>
                <w14:textFill>
                  <w14:solidFill>
                    <w14:schemeClr w14:val="tx1"/>
                  </w14:solidFill>
                </w14:textFill>
              </w:rPr>
              <w:tab/>
            </w:r>
            <w:r>
              <w:rPr>
                <w:rFonts w:hint="eastAsia" w:ascii="宋体" w:hAnsi="宋体" w:eastAsia="宋体" w:cs="宋体"/>
                <w:color w:val="000000" w:themeColor="text1"/>
                <w:sz w:val="18"/>
                <w:szCs w:val="18"/>
                <w14:textFill>
                  <w14:solidFill>
                    <w14:schemeClr w14:val="tx1"/>
                  </w14:solidFill>
                </w14:textFill>
              </w:rPr>
              <w:t>(kA)</w:t>
            </w:r>
          </w:p>
        </w:tc>
        <w:tc>
          <w:tcPr>
            <w:tcW w:w="3371" w:type="dxa"/>
            <w:vAlign w:val="center"/>
          </w:tcPr>
          <w:p w14:paraId="0827058B">
            <w:pPr>
              <w:rPr>
                <w:rFonts w:hint="eastAsia" w:ascii="宋体" w:hAnsi="宋体" w:eastAsia="宋体" w:cs="宋体"/>
                <w:color w:val="000000" w:themeColor="text1"/>
                <w:sz w:val="18"/>
                <w:szCs w:val="18"/>
                <w14:textFill>
                  <w14:solidFill>
                    <w14:schemeClr w14:val="tx1"/>
                  </w14:solidFill>
                </w14:textFill>
              </w:rPr>
            </w:pPr>
          </w:p>
        </w:tc>
      </w:tr>
      <w:tr w14:paraId="0BAF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5FCF84DC">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8</w:t>
            </w:r>
          </w:p>
        </w:tc>
        <w:tc>
          <w:tcPr>
            <w:tcW w:w="4293" w:type="dxa"/>
            <w:vAlign w:val="center"/>
          </w:tcPr>
          <w:p w14:paraId="3728E874">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额定短时耐受电流(1s)       (kA)</w:t>
            </w:r>
          </w:p>
        </w:tc>
        <w:tc>
          <w:tcPr>
            <w:tcW w:w="3371" w:type="dxa"/>
            <w:vAlign w:val="center"/>
          </w:tcPr>
          <w:p w14:paraId="376A7FA2">
            <w:pPr>
              <w:rPr>
                <w:rFonts w:hint="eastAsia" w:ascii="宋体" w:hAnsi="宋体" w:eastAsia="宋体" w:cs="宋体"/>
                <w:color w:val="000000" w:themeColor="text1"/>
                <w:sz w:val="18"/>
                <w:szCs w:val="18"/>
                <w14:textFill>
                  <w14:solidFill>
                    <w14:schemeClr w14:val="tx1"/>
                  </w14:solidFill>
                </w14:textFill>
              </w:rPr>
            </w:pPr>
          </w:p>
        </w:tc>
      </w:tr>
      <w:tr w14:paraId="6C53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5F377E4A">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9</w:t>
            </w:r>
          </w:p>
        </w:tc>
        <w:tc>
          <w:tcPr>
            <w:tcW w:w="4293" w:type="dxa"/>
            <w:vAlign w:val="center"/>
          </w:tcPr>
          <w:p w14:paraId="6EF4BBBD">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额定峰值耐受电流</w:t>
            </w:r>
            <w:r>
              <w:rPr>
                <w:rFonts w:hint="eastAsia" w:ascii="宋体" w:hAnsi="宋体" w:eastAsia="宋体" w:cs="宋体"/>
                <w:color w:val="000000" w:themeColor="text1"/>
                <w:sz w:val="18"/>
                <w:szCs w:val="18"/>
                <w14:textFill>
                  <w14:solidFill>
                    <w14:schemeClr w14:val="tx1"/>
                  </w14:solidFill>
                </w14:textFill>
              </w:rPr>
              <w:tab/>
            </w:r>
            <w:r>
              <w:rPr>
                <w:rFonts w:hint="eastAsia" w:ascii="宋体" w:hAnsi="宋体" w:eastAsia="宋体" w:cs="宋体"/>
                <w:color w:val="000000" w:themeColor="text1"/>
                <w:sz w:val="18"/>
                <w:szCs w:val="18"/>
                <w14:textFill>
                  <w14:solidFill>
                    <w14:schemeClr w14:val="tx1"/>
                  </w14:solidFill>
                </w14:textFill>
              </w:rPr>
              <w:t>(kA)</w:t>
            </w:r>
          </w:p>
        </w:tc>
        <w:tc>
          <w:tcPr>
            <w:tcW w:w="3371" w:type="dxa"/>
            <w:vAlign w:val="center"/>
          </w:tcPr>
          <w:p w14:paraId="3DD34037">
            <w:pPr>
              <w:rPr>
                <w:rFonts w:hint="eastAsia" w:ascii="宋体" w:hAnsi="宋体" w:eastAsia="宋体" w:cs="宋体"/>
                <w:color w:val="000000" w:themeColor="text1"/>
                <w:sz w:val="18"/>
                <w:szCs w:val="18"/>
                <w14:textFill>
                  <w14:solidFill>
                    <w14:schemeClr w14:val="tx1"/>
                  </w14:solidFill>
                </w14:textFill>
              </w:rPr>
            </w:pPr>
          </w:p>
        </w:tc>
      </w:tr>
      <w:tr w14:paraId="6D5B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532C32AB">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10</w:t>
            </w:r>
          </w:p>
        </w:tc>
        <w:tc>
          <w:tcPr>
            <w:tcW w:w="4293" w:type="dxa"/>
            <w:vAlign w:val="center"/>
          </w:tcPr>
          <w:p w14:paraId="61A0B258">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额定频率                  (Hz)</w:t>
            </w:r>
          </w:p>
        </w:tc>
        <w:tc>
          <w:tcPr>
            <w:tcW w:w="3371" w:type="dxa"/>
            <w:vAlign w:val="center"/>
          </w:tcPr>
          <w:p w14:paraId="6CE6CD35">
            <w:pPr>
              <w:rPr>
                <w:rFonts w:hint="eastAsia" w:ascii="宋体" w:hAnsi="宋体" w:eastAsia="宋体" w:cs="宋体"/>
                <w:color w:val="000000" w:themeColor="text1"/>
                <w:sz w:val="18"/>
                <w:szCs w:val="18"/>
                <w14:textFill>
                  <w14:solidFill>
                    <w14:schemeClr w14:val="tx1"/>
                  </w14:solidFill>
                </w14:textFill>
              </w:rPr>
            </w:pPr>
          </w:p>
        </w:tc>
      </w:tr>
      <w:tr w14:paraId="31AB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6366C669">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11</w:t>
            </w:r>
          </w:p>
        </w:tc>
        <w:tc>
          <w:tcPr>
            <w:tcW w:w="4293" w:type="dxa"/>
            <w:vAlign w:val="center"/>
          </w:tcPr>
          <w:p w14:paraId="78D68B53">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低压框架式空气断路器</w:t>
            </w:r>
          </w:p>
        </w:tc>
        <w:tc>
          <w:tcPr>
            <w:tcW w:w="3371" w:type="dxa"/>
            <w:vAlign w:val="center"/>
          </w:tcPr>
          <w:p w14:paraId="59ABDF8B">
            <w:pPr>
              <w:rPr>
                <w:rFonts w:hint="eastAsia" w:ascii="宋体" w:hAnsi="宋体" w:eastAsia="宋体" w:cs="宋体"/>
                <w:color w:val="000000" w:themeColor="text1"/>
                <w:sz w:val="18"/>
                <w:szCs w:val="18"/>
                <w14:textFill>
                  <w14:solidFill>
                    <w14:schemeClr w14:val="tx1"/>
                  </w14:solidFill>
                </w14:textFill>
              </w:rPr>
            </w:pPr>
          </w:p>
        </w:tc>
      </w:tr>
      <w:tr w14:paraId="43E0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25656365">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4293" w:type="dxa"/>
            <w:vAlign w:val="center"/>
          </w:tcPr>
          <w:p w14:paraId="3DA2E598">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型式</w:t>
            </w:r>
          </w:p>
        </w:tc>
        <w:tc>
          <w:tcPr>
            <w:tcW w:w="3371" w:type="dxa"/>
            <w:vAlign w:val="center"/>
          </w:tcPr>
          <w:p w14:paraId="2D4ED222">
            <w:pPr>
              <w:rPr>
                <w:rFonts w:hint="eastAsia" w:ascii="宋体" w:hAnsi="宋体" w:eastAsia="宋体" w:cs="宋体"/>
                <w:color w:val="000000" w:themeColor="text1"/>
                <w:sz w:val="18"/>
                <w:szCs w:val="18"/>
                <w14:textFill>
                  <w14:solidFill>
                    <w14:schemeClr w14:val="tx1"/>
                  </w14:solidFill>
                </w14:textFill>
              </w:rPr>
            </w:pPr>
          </w:p>
        </w:tc>
      </w:tr>
      <w:tr w14:paraId="0F2F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0C43F78C">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p>
        </w:tc>
        <w:tc>
          <w:tcPr>
            <w:tcW w:w="4293" w:type="dxa"/>
            <w:vAlign w:val="center"/>
          </w:tcPr>
          <w:p w14:paraId="267C5E19">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型号</w:t>
            </w:r>
          </w:p>
        </w:tc>
        <w:tc>
          <w:tcPr>
            <w:tcW w:w="3371" w:type="dxa"/>
            <w:vAlign w:val="center"/>
          </w:tcPr>
          <w:p w14:paraId="0C32AD51">
            <w:pPr>
              <w:rPr>
                <w:rFonts w:hint="eastAsia" w:ascii="宋体" w:hAnsi="宋体" w:eastAsia="宋体" w:cs="宋体"/>
                <w:color w:val="000000" w:themeColor="text1"/>
                <w:sz w:val="18"/>
                <w:szCs w:val="18"/>
                <w14:textFill>
                  <w14:solidFill>
                    <w14:schemeClr w14:val="tx1"/>
                  </w14:solidFill>
                </w14:textFill>
              </w:rPr>
            </w:pPr>
          </w:p>
        </w:tc>
      </w:tr>
      <w:tr w14:paraId="2714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34117BDE">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w:t>
            </w:r>
          </w:p>
        </w:tc>
        <w:tc>
          <w:tcPr>
            <w:tcW w:w="4293" w:type="dxa"/>
            <w:vAlign w:val="center"/>
          </w:tcPr>
          <w:p w14:paraId="1DC9B690">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极数</w:t>
            </w:r>
          </w:p>
        </w:tc>
        <w:tc>
          <w:tcPr>
            <w:tcW w:w="3371" w:type="dxa"/>
            <w:vAlign w:val="center"/>
          </w:tcPr>
          <w:p w14:paraId="5E6D6DA7">
            <w:pPr>
              <w:rPr>
                <w:rFonts w:hint="eastAsia" w:ascii="宋体" w:hAnsi="宋体" w:eastAsia="宋体" w:cs="宋体"/>
                <w:color w:val="000000" w:themeColor="text1"/>
                <w:sz w:val="18"/>
                <w:szCs w:val="18"/>
                <w14:textFill>
                  <w14:solidFill>
                    <w14:schemeClr w14:val="tx1"/>
                  </w14:solidFill>
                </w14:textFill>
              </w:rPr>
            </w:pPr>
          </w:p>
        </w:tc>
      </w:tr>
      <w:tr w14:paraId="4AA0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5C7708FE">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w:t>
            </w:r>
          </w:p>
        </w:tc>
        <w:tc>
          <w:tcPr>
            <w:tcW w:w="4293" w:type="dxa"/>
            <w:vAlign w:val="center"/>
          </w:tcPr>
          <w:p w14:paraId="5DA0EDD6">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额定电压                   (V)</w:t>
            </w:r>
          </w:p>
        </w:tc>
        <w:tc>
          <w:tcPr>
            <w:tcW w:w="3371" w:type="dxa"/>
            <w:vAlign w:val="center"/>
          </w:tcPr>
          <w:p w14:paraId="01D1045C">
            <w:pPr>
              <w:rPr>
                <w:rFonts w:hint="eastAsia" w:ascii="宋体" w:hAnsi="宋体" w:eastAsia="宋体" w:cs="宋体"/>
                <w:color w:val="000000" w:themeColor="text1"/>
                <w:sz w:val="18"/>
                <w:szCs w:val="18"/>
                <w14:textFill>
                  <w14:solidFill>
                    <w14:schemeClr w14:val="tx1"/>
                  </w14:solidFill>
                </w14:textFill>
              </w:rPr>
            </w:pPr>
          </w:p>
        </w:tc>
      </w:tr>
      <w:tr w14:paraId="62BE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1CAAE932">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w:t>
            </w:r>
          </w:p>
        </w:tc>
        <w:tc>
          <w:tcPr>
            <w:tcW w:w="4293" w:type="dxa"/>
            <w:vAlign w:val="center"/>
          </w:tcPr>
          <w:p w14:paraId="63C0E0E7">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壳架额定电流               (A)</w:t>
            </w:r>
          </w:p>
        </w:tc>
        <w:tc>
          <w:tcPr>
            <w:tcW w:w="3371" w:type="dxa"/>
            <w:vAlign w:val="center"/>
          </w:tcPr>
          <w:p w14:paraId="7980F187">
            <w:pPr>
              <w:rPr>
                <w:rFonts w:hint="eastAsia" w:ascii="宋体" w:hAnsi="宋体" w:eastAsia="宋体" w:cs="宋体"/>
                <w:color w:val="000000" w:themeColor="text1"/>
                <w:sz w:val="18"/>
                <w:szCs w:val="18"/>
                <w14:textFill>
                  <w14:solidFill>
                    <w14:schemeClr w14:val="tx1"/>
                  </w14:solidFill>
                </w14:textFill>
              </w:rPr>
            </w:pPr>
          </w:p>
        </w:tc>
      </w:tr>
      <w:tr w14:paraId="2FF4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4DA478BB">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w:t>
            </w:r>
          </w:p>
        </w:tc>
        <w:tc>
          <w:tcPr>
            <w:tcW w:w="4293" w:type="dxa"/>
            <w:vAlign w:val="center"/>
          </w:tcPr>
          <w:p w14:paraId="39B887E2">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脱扣器额定电流             (A)</w:t>
            </w:r>
          </w:p>
        </w:tc>
        <w:tc>
          <w:tcPr>
            <w:tcW w:w="3371" w:type="dxa"/>
            <w:vAlign w:val="center"/>
          </w:tcPr>
          <w:p w14:paraId="7741BCCB">
            <w:pPr>
              <w:rPr>
                <w:rFonts w:hint="eastAsia" w:ascii="宋体" w:hAnsi="宋体" w:eastAsia="宋体" w:cs="宋体"/>
                <w:color w:val="000000" w:themeColor="text1"/>
                <w:sz w:val="18"/>
                <w:szCs w:val="18"/>
                <w14:textFill>
                  <w14:solidFill>
                    <w14:schemeClr w14:val="tx1"/>
                  </w14:solidFill>
                </w14:textFill>
              </w:rPr>
            </w:pPr>
          </w:p>
        </w:tc>
      </w:tr>
      <w:tr w14:paraId="1072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59A39E10">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7)</w:t>
            </w:r>
          </w:p>
        </w:tc>
        <w:tc>
          <w:tcPr>
            <w:tcW w:w="4293" w:type="dxa"/>
            <w:vAlign w:val="center"/>
          </w:tcPr>
          <w:p w14:paraId="74F3A1AD">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额定极限短路分断能力       (kA)</w:t>
            </w:r>
          </w:p>
        </w:tc>
        <w:tc>
          <w:tcPr>
            <w:tcW w:w="3371" w:type="dxa"/>
            <w:vAlign w:val="center"/>
          </w:tcPr>
          <w:p w14:paraId="418E7032">
            <w:pPr>
              <w:rPr>
                <w:rFonts w:hint="eastAsia" w:ascii="宋体" w:hAnsi="宋体" w:eastAsia="宋体" w:cs="宋体"/>
                <w:color w:val="000000" w:themeColor="text1"/>
                <w:sz w:val="18"/>
                <w:szCs w:val="18"/>
                <w14:textFill>
                  <w14:solidFill>
                    <w14:schemeClr w14:val="tx1"/>
                  </w14:solidFill>
                </w14:textFill>
              </w:rPr>
            </w:pPr>
          </w:p>
        </w:tc>
      </w:tr>
      <w:tr w14:paraId="3D4D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263534FD">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8)</w:t>
            </w:r>
          </w:p>
        </w:tc>
        <w:tc>
          <w:tcPr>
            <w:tcW w:w="4293" w:type="dxa"/>
            <w:vAlign w:val="center"/>
          </w:tcPr>
          <w:p w14:paraId="623E905F">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额定运行短路分断能力       (kA)</w:t>
            </w:r>
          </w:p>
        </w:tc>
        <w:tc>
          <w:tcPr>
            <w:tcW w:w="3371" w:type="dxa"/>
            <w:vAlign w:val="center"/>
          </w:tcPr>
          <w:p w14:paraId="15356AC6">
            <w:pPr>
              <w:rPr>
                <w:rFonts w:hint="eastAsia" w:ascii="宋体" w:hAnsi="宋体" w:eastAsia="宋体" w:cs="宋体"/>
                <w:color w:val="000000" w:themeColor="text1"/>
                <w:sz w:val="18"/>
                <w:szCs w:val="18"/>
                <w14:textFill>
                  <w14:solidFill>
                    <w14:schemeClr w14:val="tx1"/>
                  </w14:solidFill>
                </w14:textFill>
              </w:rPr>
            </w:pPr>
          </w:p>
        </w:tc>
      </w:tr>
      <w:tr w14:paraId="51B6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72B2C316">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9)</w:t>
            </w:r>
          </w:p>
        </w:tc>
        <w:tc>
          <w:tcPr>
            <w:tcW w:w="4293" w:type="dxa"/>
            <w:vAlign w:val="center"/>
          </w:tcPr>
          <w:p w14:paraId="4EF30752">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1秒热稳定电流(kA)</w:t>
            </w:r>
          </w:p>
        </w:tc>
        <w:tc>
          <w:tcPr>
            <w:tcW w:w="3371" w:type="dxa"/>
            <w:vAlign w:val="center"/>
          </w:tcPr>
          <w:p w14:paraId="5C6CB705">
            <w:pPr>
              <w:rPr>
                <w:rFonts w:hint="eastAsia" w:ascii="宋体" w:hAnsi="宋体" w:eastAsia="宋体" w:cs="宋体"/>
                <w:color w:val="000000" w:themeColor="text1"/>
                <w:sz w:val="18"/>
                <w:szCs w:val="18"/>
                <w14:textFill>
                  <w14:solidFill>
                    <w14:schemeClr w14:val="tx1"/>
                  </w14:solidFill>
                </w14:textFill>
              </w:rPr>
            </w:pPr>
          </w:p>
        </w:tc>
      </w:tr>
      <w:tr w14:paraId="7D63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5203DA0A">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10)</w:t>
            </w:r>
          </w:p>
        </w:tc>
        <w:tc>
          <w:tcPr>
            <w:tcW w:w="4293" w:type="dxa"/>
            <w:vAlign w:val="center"/>
          </w:tcPr>
          <w:p w14:paraId="78D08374">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脱扣器型式</w:t>
            </w:r>
          </w:p>
        </w:tc>
        <w:tc>
          <w:tcPr>
            <w:tcW w:w="3371" w:type="dxa"/>
            <w:vAlign w:val="center"/>
          </w:tcPr>
          <w:p w14:paraId="724FE077">
            <w:pPr>
              <w:rPr>
                <w:rFonts w:hint="eastAsia" w:ascii="宋体" w:hAnsi="宋体" w:eastAsia="宋体" w:cs="宋体"/>
                <w:color w:val="000000" w:themeColor="text1"/>
                <w:sz w:val="18"/>
                <w:szCs w:val="18"/>
                <w14:textFill>
                  <w14:solidFill>
                    <w14:schemeClr w14:val="tx1"/>
                  </w14:solidFill>
                </w14:textFill>
              </w:rPr>
            </w:pPr>
          </w:p>
        </w:tc>
      </w:tr>
      <w:tr w14:paraId="51E7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Merge w:val="restart"/>
            <w:vAlign w:val="center"/>
          </w:tcPr>
          <w:p w14:paraId="5F0ED736">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11)</w:t>
            </w:r>
          </w:p>
        </w:tc>
        <w:tc>
          <w:tcPr>
            <w:tcW w:w="4293" w:type="dxa"/>
            <w:vAlign w:val="center"/>
          </w:tcPr>
          <w:p w14:paraId="576320D6">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断路器附件</w:t>
            </w:r>
          </w:p>
        </w:tc>
        <w:tc>
          <w:tcPr>
            <w:tcW w:w="3371" w:type="dxa"/>
            <w:vAlign w:val="center"/>
          </w:tcPr>
          <w:p w14:paraId="10EF9301">
            <w:pPr>
              <w:rPr>
                <w:rFonts w:hint="eastAsia" w:ascii="宋体" w:hAnsi="宋体" w:eastAsia="宋体" w:cs="宋体"/>
                <w:color w:val="000000" w:themeColor="text1"/>
                <w:sz w:val="18"/>
                <w:szCs w:val="18"/>
                <w14:textFill>
                  <w14:solidFill>
                    <w14:schemeClr w14:val="tx1"/>
                  </w14:solidFill>
                </w14:textFill>
              </w:rPr>
            </w:pPr>
          </w:p>
        </w:tc>
      </w:tr>
      <w:tr w14:paraId="2973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Merge w:val="continue"/>
            <w:vAlign w:val="center"/>
          </w:tcPr>
          <w:p w14:paraId="2E5C190A">
            <w:pPr>
              <w:rPr>
                <w:rFonts w:hint="eastAsia" w:ascii="宋体" w:hAnsi="宋体" w:eastAsia="宋体" w:cs="宋体"/>
                <w:color w:val="000000" w:themeColor="text1"/>
                <w:sz w:val="18"/>
                <w:szCs w:val="18"/>
                <w14:textFill>
                  <w14:solidFill>
                    <w14:schemeClr w14:val="tx1"/>
                  </w14:solidFill>
                </w14:textFill>
              </w:rPr>
            </w:pPr>
          </w:p>
        </w:tc>
        <w:tc>
          <w:tcPr>
            <w:tcW w:w="4293" w:type="dxa"/>
            <w:vAlign w:val="center"/>
          </w:tcPr>
          <w:p w14:paraId="1E396196">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分励脱扣器/线圈电压(V)</w:t>
            </w:r>
          </w:p>
        </w:tc>
        <w:tc>
          <w:tcPr>
            <w:tcW w:w="3371" w:type="dxa"/>
            <w:vAlign w:val="center"/>
          </w:tcPr>
          <w:p w14:paraId="1A617FE0">
            <w:pPr>
              <w:rPr>
                <w:rFonts w:hint="eastAsia" w:ascii="宋体" w:hAnsi="宋体" w:eastAsia="宋体" w:cs="宋体"/>
                <w:color w:val="000000" w:themeColor="text1"/>
                <w:sz w:val="18"/>
                <w:szCs w:val="18"/>
                <w14:textFill>
                  <w14:solidFill>
                    <w14:schemeClr w14:val="tx1"/>
                  </w14:solidFill>
                </w14:textFill>
              </w:rPr>
            </w:pPr>
          </w:p>
        </w:tc>
      </w:tr>
      <w:tr w14:paraId="681D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Merge w:val="continue"/>
            <w:vAlign w:val="center"/>
          </w:tcPr>
          <w:p w14:paraId="4E100916">
            <w:pPr>
              <w:rPr>
                <w:rFonts w:hint="eastAsia" w:ascii="宋体" w:hAnsi="宋体" w:eastAsia="宋体" w:cs="宋体"/>
                <w:color w:val="000000" w:themeColor="text1"/>
                <w:sz w:val="18"/>
                <w:szCs w:val="18"/>
                <w14:textFill>
                  <w14:solidFill>
                    <w14:schemeClr w14:val="tx1"/>
                  </w14:solidFill>
                </w14:textFill>
              </w:rPr>
            </w:pPr>
          </w:p>
        </w:tc>
        <w:tc>
          <w:tcPr>
            <w:tcW w:w="4293" w:type="dxa"/>
            <w:vAlign w:val="center"/>
          </w:tcPr>
          <w:p w14:paraId="58397B04">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辅助触头</w:t>
            </w:r>
          </w:p>
        </w:tc>
        <w:tc>
          <w:tcPr>
            <w:tcW w:w="3371" w:type="dxa"/>
            <w:vAlign w:val="center"/>
          </w:tcPr>
          <w:p w14:paraId="3031231E">
            <w:pPr>
              <w:rPr>
                <w:rFonts w:hint="eastAsia" w:ascii="宋体" w:hAnsi="宋体" w:eastAsia="宋体" w:cs="宋体"/>
                <w:color w:val="000000" w:themeColor="text1"/>
                <w:sz w:val="18"/>
                <w:szCs w:val="18"/>
                <w14:textFill>
                  <w14:solidFill>
                    <w14:schemeClr w14:val="tx1"/>
                  </w14:solidFill>
                </w14:textFill>
              </w:rPr>
            </w:pPr>
          </w:p>
        </w:tc>
      </w:tr>
      <w:tr w14:paraId="0666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Merge w:val="continue"/>
            <w:vAlign w:val="center"/>
          </w:tcPr>
          <w:p w14:paraId="3CB5658F">
            <w:pPr>
              <w:rPr>
                <w:rFonts w:hint="eastAsia" w:ascii="宋体" w:hAnsi="宋体" w:eastAsia="宋体" w:cs="宋体"/>
                <w:color w:val="000000" w:themeColor="text1"/>
                <w:sz w:val="18"/>
                <w:szCs w:val="18"/>
                <w14:textFill>
                  <w14:solidFill>
                    <w14:schemeClr w14:val="tx1"/>
                  </w14:solidFill>
                </w14:textFill>
              </w:rPr>
            </w:pPr>
          </w:p>
        </w:tc>
        <w:tc>
          <w:tcPr>
            <w:tcW w:w="4293" w:type="dxa"/>
            <w:vAlign w:val="center"/>
          </w:tcPr>
          <w:p w14:paraId="1605F14C">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报警触头</w:t>
            </w:r>
          </w:p>
        </w:tc>
        <w:tc>
          <w:tcPr>
            <w:tcW w:w="3371" w:type="dxa"/>
            <w:vAlign w:val="center"/>
          </w:tcPr>
          <w:p w14:paraId="7D06BBFC">
            <w:pPr>
              <w:rPr>
                <w:rFonts w:hint="eastAsia" w:ascii="宋体" w:hAnsi="宋体" w:eastAsia="宋体" w:cs="宋体"/>
                <w:color w:val="000000" w:themeColor="text1"/>
                <w:sz w:val="18"/>
                <w:szCs w:val="18"/>
                <w14:textFill>
                  <w14:solidFill>
                    <w14:schemeClr w14:val="tx1"/>
                  </w14:solidFill>
                </w14:textFill>
              </w:rPr>
            </w:pPr>
          </w:p>
        </w:tc>
      </w:tr>
      <w:tr w14:paraId="54AF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Merge w:val="continue"/>
            <w:vAlign w:val="center"/>
          </w:tcPr>
          <w:p w14:paraId="2B579358">
            <w:pPr>
              <w:rPr>
                <w:rFonts w:hint="eastAsia" w:ascii="宋体" w:hAnsi="宋体" w:eastAsia="宋体" w:cs="宋体"/>
                <w:color w:val="000000" w:themeColor="text1"/>
                <w:sz w:val="18"/>
                <w:szCs w:val="18"/>
                <w14:textFill>
                  <w14:solidFill>
                    <w14:schemeClr w14:val="tx1"/>
                  </w14:solidFill>
                </w14:textFill>
              </w:rPr>
            </w:pPr>
          </w:p>
        </w:tc>
        <w:tc>
          <w:tcPr>
            <w:tcW w:w="4293" w:type="dxa"/>
            <w:vAlign w:val="center"/>
          </w:tcPr>
          <w:p w14:paraId="59BC7095">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电动操作机构</w:t>
            </w:r>
          </w:p>
        </w:tc>
        <w:tc>
          <w:tcPr>
            <w:tcW w:w="3371" w:type="dxa"/>
            <w:vAlign w:val="center"/>
          </w:tcPr>
          <w:p w14:paraId="2D37E743">
            <w:pPr>
              <w:rPr>
                <w:rFonts w:hint="eastAsia" w:ascii="宋体" w:hAnsi="宋体" w:eastAsia="宋体" w:cs="宋体"/>
                <w:color w:val="000000" w:themeColor="text1"/>
                <w:sz w:val="18"/>
                <w:szCs w:val="18"/>
                <w14:textFill>
                  <w14:solidFill>
                    <w14:schemeClr w14:val="tx1"/>
                  </w14:solidFill>
                </w14:textFill>
              </w:rPr>
            </w:pPr>
          </w:p>
        </w:tc>
      </w:tr>
      <w:tr w14:paraId="292E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73B53708">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12)</w:t>
            </w:r>
          </w:p>
        </w:tc>
        <w:tc>
          <w:tcPr>
            <w:tcW w:w="4293" w:type="dxa"/>
            <w:vAlign w:val="center"/>
          </w:tcPr>
          <w:p w14:paraId="0A0D2A97">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制造厂商</w:t>
            </w:r>
          </w:p>
        </w:tc>
        <w:tc>
          <w:tcPr>
            <w:tcW w:w="3371" w:type="dxa"/>
            <w:vAlign w:val="center"/>
          </w:tcPr>
          <w:p w14:paraId="36279FEC">
            <w:pPr>
              <w:rPr>
                <w:rFonts w:hint="eastAsia" w:ascii="宋体" w:hAnsi="宋体" w:eastAsia="宋体" w:cs="宋体"/>
                <w:color w:val="000000" w:themeColor="text1"/>
                <w:sz w:val="18"/>
                <w:szCs w:val="18"/>
                <w14:textFill>
                  <w14:solidFill>
                    <w14:schemeClr w14:val="tx1"/>
                  </w14:solidFill>
                </w14:textFill>
              </w:rPr>
            </w:pPr>
          </w:p>
        </w:tc>
      </w:tr>
      <w:tr w14:paraId="0850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0A86489F">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13)</w:t>
            </w:r>
          </w:p>
        </w:tc>
        <w:tc>
          <w:tcPr>
            <w:tcW w:w="4293" w:type="dxa"/>
            <w:vAlign w:val="center"/>
          </w:tcPr>
          <w:p w14:paraId="5C9CAD37">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电压互感器</w:t>
            </w:r>
          </w:p>
        </w:tc>
        <w:tc>
          <w:tcPr>
            <w:tcW w:w="3371" w:type="dxa"/>
            <w:vAlign w:val="center"/>
          </w:tcPr>
          <w:p w14:paraId="01ADEC54">
            <w:pPr>
              <w:rPr>
                <w:rFonts w:hint="eastAsia" w:ascii="宋体" w:hAnsi="宋体" w:eastAsia="宋体" w:cs="宋体"/>
                <w:color w:val="000000" w:themeColor="text1"/>
                <w:sz w:val="18"/>
                <w:szCs w:val="18"/>
                <w14:textFill>
                  <w14:solidFill>
                    <w14:schemeClr w14:val="tx1"/>
                  </w14:solidFill>
                </w14:textFill>
              </w:rPr>
            </w:pPr>
          </w:p>
        </w:tc>
      </w:tr>
      <w:tr w14:paraId="61AA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005EDA53">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12</w:t>
            </w:r>
          </w:p>
        </w:tc>
        <w:tc>
          <w:tcPr>
            <w:tcW w:w="4293" w:type="dxa"/>
            <w:vAlign w:val="center"/>
          </w:tcPr>
          <w:p w14:paraId="51EA4A87">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型号</w:t>
            </w:r>
          </w:p>
        </w:tc>
        <w:tc>
          <w:tcPr>
            <w:tcW w:w="3371" w:type="dxa"/>
            <w:vAlign w:val="center"/>
          </w:tcPr>
          <w:p w14:paraId="243A0A52">
            <w:pPr>
              <w:rPr>
                <w:rFonts w:hint="eastAsia" w:ascii="宋体" w:hAnsi="宋体" w:eastAsia="宋体" w:cs="宋体"/>
                <w:color w:val="000000" w:themeColor="text1"/>
                <w:sz w:val="18"/>
                <w:szCs w:val="18"/>
                <w14:textFill>
                  <w14:solidFill>
                    <w14:schemeClr w14:val="tx1"/>
                  </w14:solidFill>
                </w14:textFill>
              </w:rPr>
            </w:pPr>
          </w:p>
        </w:tc>
      </w:tr>
      <w:tr w14:paraId="3C06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6BFA0ADC">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4293" w:type="dxa"/>
            <w:vAlign w:val="center"/>
          </w:tcPr>
          <w:p w14:paraId="727F98D9">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变比                        (V)</w:t>
            </w:r>
          </w:p>
        </w:tc>
        <w:tc>
          <w:tcPr>
            <w:tcW w:w="3371" w:type="dxa"/>
            <w:vAlign w:val="center"/>
          </w:tcPr>
          <w:p w14:paraId="2417B1A6">
            <w:pPr>
              <w:rPr>
                <w:rFonts w:hint="eastAsia" w:ascii="宋体" w:hAnsi="宋体" w:eastAsia="宋体" w:cs="宋体"/>
                <w:color w:val="000000" w:themeColor="text1"/>
                <w:sz w:val="18"/>
                <w:szCs w:val="18"/>
                <w14:textFill>
                  <w14:solidFill>
                    <w14:schemeClr w14:val="tx1"/>
                  </w14:solidFill>
                </w14:textFill>
              </w:rPr>
            </w:pPr>
          </w:p>
        </w:tc>
      </w:tr>
      <w:tr w14:paraId="0532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6FF29E6D">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p>
        </w:tc>
        <w:tc>
          <w:tcPr>
            <w:tcW w:w="4293" w:type="dxa"/>
            <w:vAlign w:val="center"/>
          </w:tcPr>
          <w:p w14:paraId="49B4BFD9">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精度</w:t>
            </w:r>
          </w:p>
        </w:tc>
        <w:tc>
          <w:tcPr>
            <w:tcW w:w="3371" w:type="dxa"/>
            <w:vAlign w:val="center"/>
          </w:tcPr>
          <w:p w14:paraId="3630B23D">
            <w:pPr>
              <w:rPr>
                <w:rFonts w:hint="eastAsia" w:ascii="宋体" w:hAnsi="宋体" w:eastAsia="宋体" w:cs="宋体"/>
                <w:color w:val="000000" w:themeColor="text1"/>
                <w:sz w:val="18"/>
                <w:szCs w:val="18"/>
                <w14:textFill>
                  <w14:solidFill>
                    <w14:schemeClr w14:val="tx1"/>
                  </w14:solidFill>
                </w14:textFill>
              </w:rPr>
            </w:pPr>
          </w:p>
        </w:tc>
      </w:tr>
      <w:tr w14:paraId="635D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7FC36371">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w:t>
            </w:r>
          </w:p>
        </w:tc>
        <w:tc>
          <w:tcPr>
            <w:tcW w:w="4293" w:type="dxa"/>
            <w:vAlign w:val="center"/>
          </w:tcPr>
          <w:p w14:paraId="05CADA32">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制造厂商</w:t>
            </w:r>
          </w:p>
        </w:tc>
        <w:tc>
          <w:tcPr>
            <w:tcW w:w="3371" w:type="dxa"/>
            <w:vAlign w:val="center"/>
          </w:tcPr>
          <w:p w14:paraId="52215241">
            <w:pPr>
              <w:rPr>
                <w:rFonts w:hint="eastAsia" w:ascii="宋体" w:hAnsi="宋体" w:eastAsia="宋体" w:cs="宋体"/>
                <w:color w:val="000000" w:themeColor="text1"/>
                <w:sz w:val="18"/>
                <w:szCs w:val="18"/>
                <w14:textFill>
                  <w14:solidFill>
                    <w14:schemeClr w14:val="tx1"/>
                  </w14:solidFill>
                </w14:textFill>
              </w:rPr>
            </w:pPr>
          </w:p>
        </w:tc>
      </w:tr>
      <w:tr w14:paraId="2C3D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1427E602">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w:t>
            </w:r>
          </w:p>
        </w:tc>
        <w:tc>
          <w:tcPr>
            <w:tcW w:w="4293" w:type="dxa"/>
            <w:vAlign w:val="center"/>
          </w:tcPr>
          <w:p w14:paraId="59AF9EC3">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电流互感器</w:t>
            </w:r>
          </w:p>
        </w:tc>
        <w:tc>
          <w:tcPr>
            <w:tcW w:w="3371" w:type="dxa"/>
            <w:vAlign w:val="center"/>
          </w:tcPr>
          <w:p w14:paraId="416A75FB">
            <w:pPr>
              <w:rPr>
                <w:rFonts w:hint="eastAsia" w:ascii="宋体" w:hAnsi="宋体" w:eastAsia="宋体" w:cs="宋体"/>
                <w:color w:val="000000" w:themeColor="text1"/>
                <w:sz w:val="18"/>
                <w:szCs w:val="18"/>
                <w14:textFill>
                  <w14:solidFill>
                    <w14:schemeClr w14:val="tx1"/>
                  </w14:solidFill>
                </w14:textFill>
              </w:rPr>
            </w:pPr>
          </w:p>
        </w:tc>
      </w:tr>
      <w:tr w14:paraId="2370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3B70DF6E">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13</w:t>
            </w:r>
          </w:p>
        </w:tc>
        <w:tc>
          <w:tcPr>
            <w:tcW w:w="4293" w:type="dxa"/>
            <w:vAlign w:val="center"/>
          </w:tcPr>
          <w:p w14:paraId="74383FB2">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型号</w:t>
            </w:r>
          </w:p>
        </w:tc>
        <w:tc>
          <w:tcPr>
            <w:tcW w:w="3371" w:type="dxa"/>
            <w:vAlign w:val="center"/>
          </w:tcPr>
          <w:p w14:paraId="2CF08D78">
            <w:pPr>
              <w:rPr>
                <w:rFonts w:hint="eastAsia" w:ascii="宋体" w:hAnsi="宋体" w:eastAsia="宋体" w:cs="宋体"/>
                <w:color w:val="000000" w:themeColor="text1"/>
                <w:sz w:val="18"/>
                <w:szCs w:val="18"/>
                <w14:textFill>
                  <w14:solidFill>
                    <w14:schemeClr w14:val="tx1"/>
                  </w14:solidFill>
                </w14:textFill>
              </w:rPr>
            </w:pPr>
          </w:p>
        </w:tc>
      </w:tr>
      <w:tr w14:paraId="4274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1CC40B8D">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4293" w:type="dxa"/>
            <w:vAlign w:val="center"/>
          </w:tcPr>
          <w:p w14:paraId="27FBDE57">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变比                        (A)</w:t>
            </w:r>
          </w:p>
        </w:tc>
        <w:tc>
          <w:tcPr>
            <w:tcW w:w="3371" w:type="dxa"/>
            <w:vAlign w:val="center"/>
          </w:tcPr>
          <w:p w14:paraId="048D7957">
            <w:pPr>
              <w:rPr>
                <w:rFonts w:hint="eastAsia" w:ascii="宋体" w:hAnsi="宋体" w:eastAsia="宋体" w:cs="宋体"/>
                <w:color w:val="000000" w:themeColor="text1"/>
                <w:sz w:val="18"/>
                <w:szCs w:val="18"/>
                <w14:textFill>
                  <w14:solidFill>
                    <w14:schemeClr w14:val="tx1"/>
                  </w14:solidFill>
                </w14:textFill>
              </w:rPr>
            </w:pPr>
          </w:p>
        </w:tc>
      </w:tr>
      <w:tr w14:paraId="14ED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1059B2E4">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p>
        </w:tc>
        <w:tc>
          <w:tcPr>
            <w:tcW w:w="4293" w:type="dxa"/>
            <w:vAlign w:val="center"/>
          </w:tcPr>
          <w:p w14:paraId="5C309F3B">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精度</w:t>
            </w:r>
          </w:p>
        </w:tc>
        <w:tc>
          <w:tcPr>
            <w:tcW w:w="3371" w:type="dxa"/>
            <w:vAlign w:val="center"/>
          </w:tcPr>
          <w:p w14:paraId="5059826F">
            <w:pPr>
              <w:rPr>
                <w:rFonts w:hint="eastAsia" w:ascii="宋体" w:hAnsi="宋体" w:eastAsia="宋体" w:cs="宋体"/>
                <w:color w:val="000000" w:themeColor="text1"/>
                <w:sz w:val="18"/>
                <w:szCs w:val="18"/>
                <w14:textFill>
                  <w14:solidFill>
                    <w14:schemeClr w14:val="tx1"/>
                  </w14:solidFill>
                </w14:textFill>
              </w:rPr>
            </w:pPr>
          </w:p>
        </w:tc>
      </w:tr>
      <w:tr w14:paraId="32A6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7F1EB32B">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w:t>
            </w:r>
          </w:p>
        </w:tc>
        <w:tc>
          <w:tcPr>
            <w:tcW w:w="4293" w:type="dxa"/>
            <w:vAlign w:val="center"/>
          </w:tcPr>
          <w:p w14:paraId="57CC674A">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制造厂商</w:t>
            </w:r>
          </w:p>
        </w:tc>
        <w:tc>
          <w:tcPr>
            <w:tcW w:w="3371" w:type="dxa"/>
            <w:vAlign w:val="center"/>
          </w:tcPr>
          <w:p w14:paraId="57A366A9">
            <w:pPr>
              <w:rPr>
                <w:rFonts w:hint="eastAsia" w:ascii="宋体" w:hAnsi="宋体" w:eastAsia="宋体" w:cs="宋体"/>
                <w:color w:val="000000" w:themeColor="text1"/>
                <w:sz w:val="18"/>
                <w:szCs w:val="18"/>
                <w14:textFill>
                  <w14:solidFill>
                    <w14:schemeClr w14:val="tx1"/>
                  </w14:solidFill>
                </w14:textFill>
              </w:rPr>
            </w:pPr>
          </w:p>
        </w:tc>
      </w:tr>
      <w:tr w14:paraId="1203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2FFE8A2A">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w:t>
            </w:r>
          </w:p>
        </w:tc>
        <w:tc>
          <w:tcPr>
            <w:tcW w:w="4293" w:type="dxa"/>
            <w:vAlign w:val="center"/>
          </w:tcPr>
          <w:p w14:paraId="53074BD1">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有功电度表</w:t>
            </w:r>
          </w:p>
        </w:tc>
        <w:tc>
          <w:tcPr>
            <w:tcW w:w="3371" w:type="dxa"/>
            <w:vAlign w:val="center"/>
          </w:tcPr>
          <w:p w14:paraId="59F4739B">
            <w:pPr>
              <w:rPr>
                <w:rFonts w:hint="eastAsia" w:ascii="宋体" w:hAnsi="宋体" w:eastAsia="宋体" w:cs="宋体"/>
                <w:color w:val="000000" w:themeColor="text1"/>
                <w:sz w:val="18"/>
                <w:szCs w:val="18"/>
                <w14:textFill>
                  <w14:solidFill>
                    <w14:schemeClr w14:val="tx1"/>
                  </w14:solidFill>
                </w14:textFill>
              </w:rPr>
            </w:pPr>
          </w:p>
        </w:tc>
      </w:tr>
      <w:tr w14:paraId="5765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3A3FE3DD">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14</w:t>
            </w:r>
          </w:p>
        </w:tc>
        <w:tc>
          <w:tcPr>
            <w:tcW w:w="4293" w:type="dxa"/>
            <w:vAlign w:val="center"/>
          </w:tcPr>
          <w:p w14:paraId="4015695B">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型号</w:t>
            </w:r>
          </w:p>
        </w:tc>
        <w:tc>
          <w:tcPr>
            <w:tcW w:w="3371" w:type="dxa"/>
            <w:vAlign w:val="center"/>
          </w:tcPr>
          <w:p w14:paraId="10779A42">
            <w:pPr>
              <w:rPr>
                <w:rFonts w:hint="eastAsia" w:ascii="宋体" w:hAnsi="宋体" w:eastAsia="宋体" w:cs="宋体"/>
                <w:color w:val="000000" w:themeColor="text1"/>
                <w:sz w:val="18"/>
                <w:szCs w:val="18"/>
                <w14:textFill>
                  <w14:solidFill>
                    <w14:schemeClr w14:val="tx1"/>
                  </w14:solidFill>
                </w14:textFill>
              </w:rPr>
            </w:pPr>
          </w:p>
        </w:tc>
      </w:tr>
      <w:tr w14:paraId="0E9C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6ED5479C">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4293" w:type="dxa"/>
            <w:vAlign w:val="center"/>
          </w:tcPr>
          <w:p w14:paraId="0729206A">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制造厂商</w:t>
            </w:r>
          </w:p>
        </w:tc>
        <w:tc>
          <w:tcPr>
            <w:tcW w:w="3371" w:type="dxa"/>
            <w:vAlign w:val="center"/>
          </w:tcPr>
          <w:p w14:paraId="4FCD35FC">
            <w:pPr>
              <w:rPr>
                <w:rFonts w:hint="eastAsia" w:ascii="宋体" w:hAnsi="宋体" w:eastAsia="宋体" w:cs="宋体"/>
                <w:color w:val="000000" w:themeColor="text1"/>
                <w:sz w:val="18"/>
                <w:szCs w:val="18"/>
                <w14:textFill>
                  <w14:solidFill>
                    <w14:schemeClr w14:val="tx1"/>
                  </w14:solidFill>
                </w14:textFill>
              </w:rPr>
            </w:pPr>
          </w:p>
        </w:tc>
      </w:tr>
      <w:tr w14:paraId="1F43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31D2FBBC">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p>
        </w:tc>
        <w:tc>
          <w:tcPr>
            <w:tcW w:w="4293" w:type="dxa"/>
            <w:vAlign w:val="center"/>
          </w:tcPr>
          <w:p w14:paraId="06102987">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多功能表</w:t>
            </w:r>
          </w:p>
        </w:tc>
        <w:tc>
          <w:tcPr>
            <w:tcW w:w="3371" w:type="dxa"/>
            <w:vAlign w:val="center"/>
          </w:tcPr>
          <w:p w14:paraId="3515C56F">
            <w:pPr>
              <w:rPr>
                <w:rFonts w:hint="eastAsia" w:ascii="宋体" w:hAnsi="宋体" w:eastAsia="宋体" w:cs="宋体"/>
                <w:color w:val="000000" w:themeColor="text1"/>
                <w:sz w:val="18"/>
                <w:szCs w:val="18"/>
                <w14:textFill>
                  <w14:solidFill>
                    <w14:schemeClr w14:val="tx1"/>
                  </w14:solidFill>
                </w14:textFill>
              </w:rPr>
            </w:pPr>
          </w:p>
        </w:tc>
      </w:tr>
      <w:tr w14:paraId="6833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0EA60DDC">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15</w:t>
            </w:r>
          </w:p>
        </w:tc>
        <w:tc>
          <w:tcPr>
            <w:tcW w:w="4293" w:type="dxa"/>
            <w:vAlign w:val="center"/>
          </w:tcPr>
          <w:p w14:paraId="136E5F15">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型号</w:t>
            </w:r>
          </w:p>
        </w:tc>
        <w:tc>
          <w:tcPr>
            <w:tcW w:w="3371" w:type="dxa"/>
            <w:vAlign w:val="center"/>
          </w:tcPr>
          <w:p w14:paraId="0C4257EA">
            <w:pPr>
              <w:rPr>
                <w:rFonts w:hint="eastAsia" w:ascii="宋体" w:hAnsi="宋体" w:eastAsia="宋体" w:cs="宋体"/>
                <w:color w:val="000000" w:themeColor="text1"/>
                <w:sz w:val="18"/>
                <w:szCs w:val="18"/>
                <w14:textFill>
                  <w14:solidFill>
                    <w14:schemeClr w14:val="tx1"/>
                  </w14:solidFill>
                </w14:textFill>
              </w:rPr>
            </w:pPr>
          </w:p>
        </w:tc>
      </w:tr>
      <w:tr w14:paraId="116A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13ACA333">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4293" w:type="dxa"/>
            <w:vAlign w:val="center"/>
          </w:tcPr>
          <w:p w14:paraId="60FD94C5">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量程                   (V)</w:t>
            </w:r>
          </w:p>
        </w:tc>
        <w:tc>
          <w:tcPr>
            <w:tcW w:w="3371" w:type="dxa"/>
            <w:vAlign w:val="center"/>
          </w:tcPr>
          <w:p w14:paraId="7B414113">
            <w:pPr>
              <w:rPr>
                <w:rFonts w:hint="eastAsia" w:ascii="宋体" w:hAnsi="宋体" w:eastAsia="宋体" w:cs="宋体"/>
                <w:color w:val="000000" w:themeColor="text1"/>
                <w:sz w:val="18"/>
                <w:szCs w:val="18"/>
                <w14:textFill>
                  <w14:solidFill>
                    <w14:schemeClr w14:val="tx1"/>
                  </w14:solidFill>
                </w14:textFill>
              </w:rPr>
            </w:pPr>
          </w:p>
        </w:tc>
      </w:tr>
      <w:tr w14:paraId="4C22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3AA0EE62">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p>
        </w:tc>
        <w:tc>
          <w:tcPr>
            <w:tcW w:w="4293" w:type="dxa"/>
            <w:vAlign w:val="center"/>
          </w:tcPr>
          <w:p w14:paraId="4AE5FCAB">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制造厂商</w:t>
            </w:r>
          </w:p>
        </w:tc>
        <w:tc>
          <w:tcPr>
            <w:tcW w:w="3371" w:type="dxa"/>
            <w:vAlign w:val="center"/>
          </w:tcPr>
          <w:p w14:paraId="741B0881">
            <w:pPr>
              <w:rPr>
                <w:rFonts w:hint="eastAsia" w:ascii="宋体" w:hAnsi="宋体" w:eastAsia="宋体" w:cs="宋体"/>
                <w:color w:val="000000" w:themeColor="text1"/>
                <w:sz w:val="18"/>
                <w:szCs w:val="18"/>
                <w14:textFill>
                  <w14:solidFill>
                    <w14:schemeClr w14:val="tx1"/>
                  </w14:solidFill>
                </w14:textFill>
              </w:rPr>
            </w:pPr>
          </w:p>
        </w:tc>
      </w:tr>
      <w:tr w14:paraId="538A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5856E94E">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w:t>
            </w:r>
          </w:p>
        </w:tc>
        <w:tc>
          <w:tcPr>
            <w:tcW w:w="4293" w:type="dxa"/>
            <w:vAlign w:val="center"/>
          </w:tcPr>
          <w:p w14:paraId="1941304D">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按钮</w:t>
            </w:r>
          </w:p>
        </w:tc>
        <w:tc>
          <w:tcPr>
            <w:tcW w:w="3371" w:type="dxa"/>
            <w:vAlign w:val="center"/>
          </w:tcPr>
          <w:p w14:paraId="74E6C114">
            <w:pPr>
              <w:rPr>
                <w:rFonts w:hint="eastAsia" w:ascii="宋体" w:hAnsi="宋体" w:eastAsia="宋体" w:cs="宋体"/>
                <w:color w:val="000000" w:themeColor="text1"/>
                <w:sz w:val="18"/>
                <w:szCs w:val="18"/>
                <w14:textFill>
                  <w14:solidFill>
                    <w14:schemeClr w14:val="tx1"/>
                  </w14:solidFill>
                </w14:textFill>
              </w:rPr>
            </w:pPr>
          </w:p>
        </w:tc>
      </w:tr>
      <w:tr w14:paraId="2E23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70DE0285">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16</w:t>
            </w:r>
          </w:p>
        </w:tc>
        <w:tc>
          <w:tcPr>
            <w:tcW w:w="4293" w:type="dxa"/>
            <w:vAlign w:val="center"/>
          </w:tcPr>
          <w:p w14:paraId="10138BF9">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型号</w:t>
            </w:r>
          </w:p>
        </w:tc>
        <w:tc>
          <w:tcPr>
            <w:tcW w:w="3371" w:type="dxa"/>
            <w:vAlign w:val="center"/>
          </w:tcPr>
          <w:p w14:paraId="58ED9969">
            <w:pPr>
              <w:rPr>
                <w:rFonts w:hint="eastAsia" w:ascii="宋体" w:hAnsi="宋体" w:eastAsia="宋体" w:cs="宋体"/>
                <w:color w:val="000000" w:themeColor="text1"/>
                <w:sz w:val="18"/>
                <w:szCs w:val="18"/>
                <w14:textFill>
                  <w14:solidFill>
                    <w14:schemeClr w14:val="tx1"/>
                  </w14:solidFill>
                </w14:textFill>
              </w:rPr>
            </w:pPr>
          </w:p>
        </w:tc>
      </w:tr>
      <w:tr w14:paraId="22AE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17CFE4BA">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4293" w:type="dxa"/>
            <w:vAlign w:val="center"/>
          </w:tcPr>
          <w:p w14:paraId="1D867F1A">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参数(额定绝缘电压/约定发热电流)</w:t>
            </w:r>
          </w:p>
        </w:tc>
        <w:tc>
          <w:tcPr>
            <w:tcW w:w="3371" w:type="dxa"/>
            <w:vAlign w:val="center"/>
          </w:tcPr>
          <w:p w14:paraId="4BC6BF84">
            <w:pPr>
              <w:rPr>
                <w:rFonts w:hint="eastAsia" w:ascii="宋体" w:hAnsi="宋体" w:eastAsia="宋体" w:cs="宋体"/>
                <w:color w:val="000000" w:themeColor="text1"/>
                <w:sz w:val="18"/>
                <w:szCs w:val="18"/>
                <w14:textFill>
                  <w14:solidFill>
                    <w14:schemeClr w14:val="tx1"/>
                  </w14:solidFill>
                </w14:textFill>
              </w:rPr>
            </w:pPr>
          </w:p>
        </w:tc>
      </w:tr>
      <w:tr w14:paraId="2FED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0BE32FED">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p>
        </w:tc>
        <w:tc>
          <w:tcPr>
            <w:tcW w:w="4293" w:type="dxa"/>
            <w:vAlign w:val="center"/>
          </w:tcPr>
          <w:p w14:paraId="25B250F2">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制造厂商</w:t>
            </w:r>
          </w:p>
        </w:tc>
        <w:tc>
          <w:tcPr>
            <w:tcW w:w="3371" w:type="dxa"/>
            <w:vAlign w:val="center"/>
          </w:tcPr>
          <w:p w14:paraId="44D81015">
            <w:pPr>
              <w:rPr>
                <w:rFonts w:hint="eastAsia" w:ascii="宋体" w:hAnsi="宋体" w:eastAsia="宋体" w:cs="宋体"/>
                <w:color w:val="000000" w:themeColor="text1"/>
                <w:sz w:val="18"/>
                <w:szCs w:val="18"/>
                <w14:textFill>
                  <w14:solidFill>
                    <w14:schemeClr w14:val="tx1"/>
                  </w14:solidFill>
                </w14:textFill>
              </w:rPr>
            </w:pPr>
          </w:p>
        </w:tc>
      </w:tr>
      <w:tr w14:paraId="7716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506B29B5">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w:t>
            </w:r>
          </w:p>
        </w:tc>
        <w:tc>
          <w:tcPr>
            <w:tcW w:w="4293" w:type="dxa"/>
            <w:vAlign w:val="center"/>
          </w:tcPr>
          <w:p w14:paraId="3A2BD813">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指示灯</w:t>
            </w:r>
          </w:p>
        </w:tc>
        <w:tc>
          <w:tcPr>
            <w:tcW w:w="3371" w:type="dxa"/>
            <w:vAlign w:val="center"/>
          </w:tcPr>
          <w:p w14:paraId="3F0D2A24">
            <w:pPr>
              <w:rPr>
                <w:rFonts w:hint="eastAsia" w:ascii="宋体" w:hAnsi="宋体" w:eastAsia="宋体" w:cs="宋体"/>
                <w:color w:val="000000" w:themeColor="text1"/>
                <w:sz w:val="18"/>
                <w:szCs w:val="18"/>
                <w14:textFill>
                  <w14:solidFill>
                    <w14:schemeClr w14:val="tx1"/>
                  </w14:solidFill>
                </w14:textFill>
              </w:rPr>
            </w:pPr>
          </w:p>
        </w:tc>
      </w:tr>
      <w:tr w14:paraId="5E28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374812EE">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17</w:t>
            </w:r>
          </w:p>
        </w:tc>
        <w:tc>
          <w:tcPr>
            <w:tcW w:w="4293" w:type="dxa"/>
            <w:vAlign w:val="center"/>
          </w:tcPr>
          <w:p w14:paraId="630AFFC3">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型号</w:t>
            </w:r>
          </w:p>
        </w:tc>
        <w:tc>
          <w:tcPr>
            <w:tcW w:w="3371" w:type="dxa"/>
            <w:vAlign w:val="center"/>
          </w:tcPr>
          <w:p w14:paraId="3802CABC">
            <w:pPr>
              <w:rPr>
                <w:rFonts w:hint="eastAsia" w:ascii="宋体" w:hAnsi="宋体" w:eastAsia="宋体" w:cs="宋体"/>
                <w:color w:val="000000" w:themeColor="text1"/>
                <w:sz w:val="18"/>
                <w:szCs w:val="18"/>
                <w14:textFill>
                  <w14:solidFill>
                    <w14:schemeClr w14:val="tx1"/>
                  </w14:solidFill>
                </w14:textFill>
              </w:rPr>
            </w:pPr>
          </w:p>
        </w:tc>
      </w:tr>
      <w:tr w14:paraId="57CD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4E32E3C4">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4293" w:type="dxa"/>
            <w:vAlign w:val="center"/>
          </w:tcPr>
          <w:p w14:paraId="1158C0FB">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制造厂商</w:t>
            </w:r>
          </w:p>
        </w:tc>
        <w:tc>
          <w:tcPr>
            <w:tcW w:w="3371" w:type="dxa"/>
            <w:vAlign w:val="center"/>
          </w:tcPr>
          <w:p w14:paraId="14F00A71">
            <w:pPr>
              <w:rPr>
                <w:rFonts w:hint="eastAsia" w:ascii="宋体" w:hAnsi="宋体" w:eastAsia="宋体" w:cs="宋体"/>
                <w:color w:val="000000" w:themeColor="text1"/>
                <w:sz w:val="18"/>
                <w:szCs w:val="18"/>
                <w14:textFill>
                  <w14:solidFill>
                    <w14:schemeClr w14:val="tx1"/>
                  </w14:solidFill>
                </w14:textFill>
              </w:rPr>
            </w:pPr>
          </w:p>
        </w:tc>
      </w:tr>
      <w:tr w14:paraId="4E90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7CE111A3">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p>
        </w:tc>
        <w:tc>
          <w:tcPr>
            <w:tcW w:w="4293" w:type="dxa"/>
            <w:vAlign w:val="center"/>
          </w:tcPr>
          <w:p w14:paraId="616E9612">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母线性能</w:t>
            </w:r>
          </w:p>
        </w:tc>
        <w:tc>
          <w:tcPr>
            <w:tcW w:w="3371" w:type="dxa"/>
            <w:vAlign w:val="center"/>
          </w:tcPr>
          <w:p w14:paraId="6A80141E">
            <w:pPr>
              <w:rPr>
                <w:rFonts w:hint="eastAsia" w:ascii="宋体" w:hAnsi="宋体" w:eastAsia="宋体" w:cs="宋体"/>
                <w:color w:val="000000" w:themeColor="text1"/>
                <w:sz w:val="18"/>
                <w:szCs w:val="18"/>
                <w14:textFill>
                  <w14:solidFill>
                    <w14:schemeClr w14:val="tx1"/>
                  </w14:solidFill>
                </w14:textFill>
              </w:rPr>
            </w:pPr>
          </w:p>
        </w:tc>
      </w:tr>
      <w:tr w14:paraId="7060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1F2715D3">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18</w:t>
            </w:r>
          </w:p>
        </w:tc>
        <w:tc>
          <w:tcPr>
            <w:tcW w:w="4293" w:type="dxa"/>
            <w:vAlign w:val="center"/>
          </w:tcPr>
          <w:p w14:paraId="397CF1DB">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材料</w:t>
            </w:r>
          </w:p>
        </w:tc>
        <w:tc>
          <w:tcPr>
            <w:tcW w:w="3371" w:type="dxa"/>
            <w:vAlign w:val="center"/>
          </w:tcPr>
          <w:p w14:paraId="09572CDD">
            <w:pPr>
              <w:rPr>
                <w:rFonts w:hint="eastAsia" w:ascii="宋体" w:hAnsi="宋体" w:eastAsia="宋体" w:cs="宋体"/>
                <w:color w:val="000000" w:themeColor="text1"/>
                <w:sz w:val="18"/>
                <w:szCs w:val="18"/>
                <w14:textFill>
                  <w14:solidFill>
                    <w14:schemeClr w14:val="tx1"/>
                  </w14:solidFill>
                </w14:textFill>
              </w:rPr>
            </w:pPr>
          </w:p>
        </w:tc>
      </w:tr>
      <w:tr w14:paraId="2C9C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4BB16FCC">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4293" w:type="dxa"/>
            <w:vAlign w:val="center"/>
          </w:tcPr>
          <w:p w14:paraId="711AC670">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水平主母线尺寸(宽×高)    (mm)</w:t>
            </w:r>
          </w:p>
        </w:tc>
        <w:tc>
          <w:tcPr>
            <w:tcW w:w="3371" w:type="dxa"/>
            <w:vAlign w:val="center"/>
          </w:tcPr>
          <w:p w14:paraId="2B3BB505">
            <w:pPr>
              <w:rPr>
                <w:rFonts w:hint="eastAsia" w:ascii="宋体" w:hAnsi="宋体" w:eastAsia="宋体" w:cs="宋体"/>
                <w:color w:val="000000" w:themeColor="text1"/>
                <w:sz w:val="18"/>
                <w:szCs w:val="18"/>
                <w14:textFill>
                  <w14:solidFill>
                    <w14:schemeClr w14:val="tx1"/>
                  </w14:solidFill>
                </w14:textFill>
              </w:rPr>
            </w:pPr>
          </w:p>
        </w:tc>
      </w:tr>
      <w:tr w14:paraId="6C30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00FEE25E">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p>
        </w:tc>
        <w:tc>
          <w:tcPr>
            <w:tcW w:w="4293" w:type="dxa"/>
            <w:vAlign w:val="center"/>
          </w:tcPr>
          <w:p w14:paraId="4D3EECC4">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分支母线尺寸(宽×高)      (mm)</w:t>
            </w:r>
          </w:p>
        </w:tc>
        <w:tc>
          <w:tcPr>
            <w:tcW w:w="3371" w:type="dxa"/>
            <w:vAlign w:val="center"/>
          </w:tcPr>
          <w:p w14:paraId="020DF306">
            <w:pPr>
              <w:rPr>
                <w:rFonts w:hint="eastAsia" w:ascii="宋体" w:hAnsi="宋体" w:eastAsia="宋体" w:cs="宋体"/>
                <w:color w:val="000000" w:themeColor="text1"/>
                <w:sz w:val="18"/>
                <w:szCs w:val="18"/>
                <w14:textFill>
                  <w14:solidFill>
                    <w14:schemeClr w14:val="tx1"/>
                  </w14:solidFill>
                </w14:textFill>
              </w:rPr>
            </w:pPr>
          </w:p>
        </w:tc>
      </w:tr>
      <w:tr w14:paraId="6E7E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2B32B2AE">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w:t>
            </w:r>
          </w:p>
        </w:tc>
        <w:tc>
          <w:tcPr>
            <w:tcW w:w="4293" w:type="dxa"/>
            <w:vAlign w:val="center"/>
          </w:tcPr>
          <w:p w14:paraId="52FD879D">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接地母线材料</w:t>
            </w:r>
          </w:p>
        </w:tc>
        <w:tc>
          <w:tcPr>
            <w:tcW w:w="3371" w:type="dxa"/>
            <w:vAlign w:val="center"/>
          </w:tcPr>
          <w:p w14:paraId="63487A09">
            <w:pPr>
              <w:rPr>
                <w:rFonts w:hint="eastAsia" w:ascii="宋体" w:hAnsi="宋体" w:eastAsia="宋体" w:cs="宋体"/>
                <w:color w:val="000000" w:themeColor="text1"/>
                <w:sz w:val="18"/>
                <w:szCs w:val="18"/>
                <w14:textFill>
                  <w14:solidFill>
                    <w14:schemeClr w14:val="tx1"/>
                  </w14:solidFill>
                </w14:textFill>
              </w:rPr>
            </w:pPr>
          </w:p>
        </w:tc>
      </w:tr>
      <w:tr w14:paraId="78EC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0771CD17">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w:t>
            </w:r>
          </w:p>
        </w:tc>
        <w:tc>
          <w:tcPr>
            <w:tcW w:w="4293" w:type="dxa"/>
            <w:vAlign w:val="center"/>
          </w:tcPr>
          <w:p w14:paraId="33D58D73">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接地母线尺寸(宽×高)      (mm)</w:t>
            </w:r>
          </w:p>
        </w:tc>
        <w:tc>
          <w:tcPr>
            <w:tcW w:w="3371" w:type="dxa"/>
            <w:vAlign w:val="center"/>
          </w:tcPr>
          <w:p w14:paraId="22A0410E">
            <w:pPr>
              <w:rPr>
                <w:rFonts w:hint="eastAsia" w:ascii="宋体" w:hAnsi="宋体" w:eastAsia="宋体" w:cs="宋体"/>
                <w:color w:val="000000" w:themeColor="text1"/>
                <w:sz w:val="18"/>
                <w:szCs w:val="18"/>
                <w14:textFill>
                  <w14:solidFill>
                    <w14:schemeClr w14:val="tx1"/>
                  </w14:solidFill>
                </w14:textFill>
              </w:rPr>
            </w:pPr>
          </w:p>
        </w:tc>
      </w:tr>
      <w:tr w14:paraId="0297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25D60EB8">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7)</w:t>
            </w:r>
          </w:p>
        </w:tc>
        <w:tc>
          <w:tcPr>
            <w:tcW w:w="4293" w:type="dxa"/>
            <w:vAlign w:val="center"/>
          </w:tcPr>
          <w:p w14:paraId="1FFF7FFD">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端子排</w:t>
            </w:r>
          </w:p>
        </w:tc>
        <w:tc>
          <w:tcPr>
            <w:tcW w:w="3371" w:type="dxa"/>
            <w:vAlign w:val="center"/>
          </w:tcPr>
          <w:p w14:paraId="27DDC9E7">
            <w:pPr>
              <w:rPr>
                <w:rFonts w:hint="eastAsia" w:ascii="宋体" w:hAnsi="宋体" w:eastAsia="宋体" w:cs="宋体"/>
                <w:color w:val="000000" w:themeColor="text1"/>
                <w:sz w:val="18"/>
                <w:szCs w:val="18"/>
                <w14:textFill>
                  <w14:solidFill>
                    <w14:schemeClr w14:val="tx1"/>
                  </w14:solidFill>
                </w14:textFill>
              </w:rPr>
            </w:pPr>
          </w:p>
        </w:tc>
      </w:tr>
      <w:tr w14:paraId="7367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07C539B9">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19</w:t>
            </w:r>
          </w:p>
        </w:tc>
        <w:tc>
          <w:tcPr>
            <w:tcW w:w="4293" w:type="dxa"/>
            <w:vAlign w:val="center"/>
          </w:tcPr>
          <w:p w14:paraId="34441F4A">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型式</w:t>
            </w:r>
          </w:p>
        </w:tc>
        <w:tc>
          <w:tcPr>
            <w:tcW w:w="3371" w:type="dxa"/>
            <w:vAlign w:val="center"/>
          </w:tcPr>
          <w:p w14:paraId="34712361">
            <w:pPr>
              <w:rPr>
                <w:rFonts w:hint="eastAsia" w:ascii="宋体" w:hAnsi="宋体" w:eastAsia="宋体" w:cs="宋体"/>
                <w:color w:val="000000" w:themeColor="text1"/>
                <w:sz w:val="18"/>
                <w:szCs w:val="18"/>
                <w14:textFill>
                  <w14:solidFill>
                    <w14:schemeClr w14:val="tx1"/>
                  </w14:solidFill>
                </w14:textFill>
              </w:rPr>
            </w:pPr>
          </w:p>
        </w:tc>
      </w:tr>
      <w:tr w14:paraId="74B8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542E20B6">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4293" w:type="dxa"/>
            <w:vAlign w:val="center"/>
          </w:tcPr>
          <w:p w14:paraId="08A9BD43">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制造厂商</w:t>
            </w:r>
          </w:p>
        </w:tc>
        <w:tc>
          <w:tcPr>
            <w:tcW w:w="3371" w:type="dxa"/>
            <w:vAlign w:val="center"/>
          </w:tcPr>
          <w:p w14:paraId="72CE7054">
            <w:pPr>
              <w:rPr>
                <w:rFonts w:hint="eastAsia" w:ascii="宋体" w:hAnsi="宋体" w:eastAsia="宋体" w:cs="宋体"/>
                <w:color w:val="000000" w:themeColor="text1"/>
                <w:sz w:val="18"/>
                <w:szCs w:val="18"/>
                <w14:textFill>
                  <w14:solidFill>
                    <w14:schemeClr w14:val="tx1"/>
                  </w14:solidFill>
                </w14:textFill>
              </w:rPr>
            </w:pPr>
          </w:p>
        </w:tc>
      </w:tr>
      <w:tr w14:paraId="094E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5BA91C29">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p>
        </w:tc>
        <w:tc>
          <w:tcPr>
            <w:tcW w:w="4293" w:type="dxa"/>
            <w:vAlign w:val="center"/>
          </w:tcPr>
          <w:p w14:paraId="01AA2F62">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柜内导线</w:t>
            </w:r>
          </w:p>
        </w:tc>
        <w:tc>
          <w:tcPr>
            <w:tcW w:w="3371" w:type="dxa"/>
            <w:vAlign w:val="center"/>
          </w:tcPr>
          <w:p w14:paraId="78E877F3">
            <w:pPr>
              <w:rPr>
                <w:rFonts w:hint="eastAsia" w:ascii="宋体" w:hAnsi="宋体" w:eastAsia="宋体" w:cs="宋体"/>
                <w:color w:val="000000" w:themeColor="text1"/>
                <w:sz w:val="18"/>
                <w:szCs w:val="18"/>
                <w14:textFill>
                  <w14:solidFill>
                    <w14:schemeClr w14:val="tx1"/>
                  </w14:solidFill>
                </w14:textFill>
              </w:rPr>
            </w:pPr>
          </w:p>
        </w:tc>
      </w:tr>
      <w:tr w14:paraId="6A11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25526976">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w:t>
            </w:r>
          </w:p>
        </w:tc>
        <w:tc>
          <w:tcPr>
            <w:tcW w:w="4293" w:type="dxa"/>
            <w:vAlign w:val="center"/>
          </w:tcPr>
          <w:p w14:paraId="65A48B03">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型号</w:t>
            </w:r>
          </w:p>
        </w:tc>
        <w:tc>
          <w:tcPr>
            <w:tcW w:w="3371" w:type="dxa"/>
            <w:vAlign w:val="center"/>
          </w:tcPr>
          <w:p w14:paraId="7475E64D">
            <w:pPr>
              <w:rPr>
                <w:rFonts w:hint="eastAsia" w:ascii="宋体" w:hAnsi="宋体" w:eastAsia="宋体" w:cs="宋体"/>
                <w:color w:val="000000" w:themeColor="text1"/>
                <w:sz w:val="18"/>
                <w:szCs w:val="18"/>
                <w14:textFill>
                  <w14:solidFill>
                    <w14:schemeClr w14:val="tx1"/>
                  </w14:solidFill>
                </w14:textFill>
              </w:rPr>
            </w:pPr>
          </w:p>
        </w:tc>
      </w:tr>
      <w:tr w14:paraId="4D25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2B43FA68">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4293" w:type="dxa"/>
            <w:vAlign w:val="center"/>
          </w:tcPr>
          <w:p w14:paraId="69EA2E5D">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绝缘</w:t>
            </w:r>
          </w:p>
        </w:tc>
        <w:tc>
          <w:tcPr>
            <w:tcW w:w="3371" w:type="dxa"/>
            <w:vAlign w:val="center"/>
          </w:tcPr>
          <w:p w14:paraId="580183AB">
            <w:pPr>
              <w:rPr>
                <w:rFonts w:hint="eastAsia" w:ascii="宋体" w:hAnsi="宋体" w:eastAsia="宋体" w:cs="宋体"/>
                <w:color w:val="000000" w:themeColor="text1"/>
                <w:sz w:val="18"/>
                <w:szCs w:val="18"/>
                <w14:textFill>
                  <w14:solidFill>
                    <w14:schemeClr w14:val="tx1"/>
                  </w14:solidFill>
                </w14:textFill>
              </w:rPr>
            </w:pPr>
          </w:p>
        </w:tc>
      </w:tr>
      <w:tr w14:paraId="14CA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25753799">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p>
        </w:tc>
        <w:tc>
          <w:tcPr>
            <w:tcW w:w="4293" w:type="dxa"/>
            <w:vAlign w:val="center"/>
          </w:tcPr>
          <w:p w14:paraId="1CE2A4AD">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最小截面                   (mm²)</w:t>
            </w:r>
          </w:p>
        </w:tc>
        <w:tc>
          <w:tcPr>
            <w:tcW w:w="3371" w:type="dxa"/>
            <w:vAlign w:val="center"/>
          </w:tcPr>
          <w:p w14:paraId="3DD44E40">
            <w:pPr>
              <w:rPr>
                <w:rFonts w:hint="eastAsia" w:ascii="宋体" w:hAnsi="宋体" w:eastAsia="宋体" w:cs="宋体"/>
                <w:color w:val="000000" w:themeColor="text1"/>
                <w:sz w:val="18"/>
                <w:szCs w:val="18"/>
                <w14:textFill>
                  <w14:solidFill>
                    <w14:schemeClr w14:val="tx1"/>
                  </w14:solidFill>
                </w14:textFill>
              </w:rPr>
            </w:pPr>
          </w:p>
        </w:tc>
      </w:tr>
      <w:tr w14:paraId="6EDD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402B0736">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p>
        </w:tc>
        <w:tc>
          <w:tcPr>
            <w:tcW w:w="4293" w:type="dxa"/>
            <w:vAlign w:val="center"/>
          </w:tcPr>
          <w:p w14:paraId="4DC07F61">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并网柜基本模数</w:t>
            </w:r>
          </w:p>
        </w:tc>
        <w:tc>
          <w:tcPr>
            <w:tcW w:w="3371" w:type="dxa"/>
            <w:vAlign w:val="center"/>
          </w:tcPr>
          <w:p w14:paraId="6CE38121">
            <w:pPr>
              <w:rPr>
                <w:rFonts w:hint="eastAsia" w:ascii="宋体" w:hAnsi="宋体" w:eastAsia="宋体" w:cs="宋体"/>
                <w:color w:val="000000" w:themeColor="text1"/>
                <w:sz w:val="18"/>
                <w:szCs w:val="18"/>
                <w14:textFill>
                  <w14:solidFill>
                    <w14:schemeClr w14:val="tx1"/>
                  </w14:solidFill>
                </w14:textFill>
              </w:rPr>
            </w:pPr>
          </w:p>
        </w:tc>
      </w:tr>
      <w:tr w14:paraId="3BF6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4D3A49CB">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21</w:t>
            </w:r>
          </w:p>
        </w:tc>
        <w:tc>
          <w:tcPr>
            <w:tcW w:w="4293" w:type="dxa"/>
            <w:vAlign w:val="center"/>
          </w:tcPr>
          <w:p w14:paraId="502DCCAF">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外壳防护等级</w:t>
            </w:r>
          </w:p>
        </w:tc>
        <w:tc>
          <w:tcPr>
            <w:tcW w:w="3371" w:type="dxa"/>
            <w:vAlign w:val="center"/>
          </w:tcPr>
          <w:p w14:paraId="08122A8C">
            <w:pPr>
              <w:rPr>
                <w:rFonts w:hint="eastAsia" w:ascii="宋体" w:hAnsi="宋体" w:eastAsia="宋体" w:cs="宋体"/>
                <w:color w:val="000000" w:themeColor="text1"/>
                <w:sz w:val="18"/>
                <w:szCs w:val="18"/>
                <w14:textFill>
                  <w14:solidFill>
                    <w14:schemeClr w14:val="tx1"/>
                  </w14:solidFill>
                </w14:textFill>
              </w:rPr>
            </w:pPr>
          </w:p>
        </w:tc>
      </w:tr>
      <w:tr w14:paraId="7318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0B522636">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22</w:t>
            </w:r>
          </w:p>
        </w:tc>
        <w:tc>
          <w:tcPr>
            <w:tcW w:w="4293" w:type="dxa"/>
            <w:vAlign w:val="center"/>
          </w:tcPr>
          <w:p w14:paraId="69909B7D">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并网柜外形尺寸：(mm)</w:t>
            </w:r>
          </w:p>
        </w:tc>
        <w:tc>
          <w:tcPr>
            <w:tcW w:w="3371" w:type="dxa"/>
            <w:vAlign w:val="center"/>
          </w:tcPr>
          <w:p w14:paraId="6BA9FB40">
            <w:pPr>
              <w:rPr>
                <w:rFonts w:hint="eastAsia" w:ascii="宋体" w:hAnsi="宋体" w:eastAsia="宋体" w:cs="宋体"/>
                <w:color w:val="000000" w:themeColor="text1"/>
                <w:sz w:val="18"/>
                <w:szCs w:val="18"/>
                <w14:textFill>
                  <w14:solidFill>
                    <w14:schemeClr w14:val="tx1"/>
                  </w14:solidFill>
                </w14:textFill>
              </w:rPr>
            </w:pPr>
          </w:p>
        </w:tc>
      </w:tr>
      <w:tr w14:paraId="74F8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15ECFFA3">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23</w:t>
            </w:r>
          </w:p>
        </w:tc>
        <w:tc>
          <w:tcPr>
            <w:tcW w:w="4293" w:type="dxa"/>
            <w:vAlign w:val="center"/>
          </w:tcPr>
          <w:p w14:paraId="4017BF0C">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宽</w:t>
            </w:r>
          </w:p>
        </w:tc>
        <w:tc>
          <w:tcPr>
            <w:tcW w:w="3371" w:type="dxa"/>
            <w:vAlign w:val="center"/>
          </w:tcPr>
          <w:p w14:paraId="6A08F6FD">
            <w:pPr>
              <w:rPr>
                <w:rFonts w:hint="eastAsia" w:ascii="宋体" w:hAnsi="宋体" w:eastAsia="宋体" w:cs="宋体"/>
                <w:color w:val="000000" w:themeColor="text1"/>
                <w:sz w:val="18"/>
                <w:szCs w:val="18"/>
                <w14:textFill>
                  <w14:solidFill>
                    <w14:schemeClr w14:val="tx1"/>
                  </w14:solidFill>
                </w14:textFill>
              </w:rPr>
            </w:pPr>
          </w:p>
        </w:tc>
      </w:tr>
      <w:tr w14:paraId="01A3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71EDE97C">
            <w:pPr>
              <w:rPr>
                <w:rFonts w:hint="eastAsia" w:ascii="宋体" w:hAnsi="宋体" w:eastAsia="宋体" w:cs="宋体"/>
                <w:color w:val="000000" w:themeColor="text1"/>
                <w:sz w:val="18"/>
                <w:szCs w:val="18"/>
                <w14:textFill>
                  <w14:solidFill>
                    <w14:schemeClr w14:val="tx1"/>
                  </w14:solidFill>
                </w14:textFill>
              </w:rPr>
            </w:pPr>
          </w:p>
        </w:tc>
        <w:tc>
          <w:tcPr>
            <w:tcW w:w="4293" w:type="dxa"/>
            <w:vAlign w:val="center"/>
          </w:tcPr>
          <w:p w14:paraId="4F232079">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深</w:t>
            </w:r>
          </w:p>
        </w:tc>
        <w:tc>
          <w:tcPr>
            <w:tcW w:w="3371" w:type="dxa"/>
            <w:vAlign w:val="center"/>
          </w:tcPr>
          <w:p w14:paraId="11A1A77D">
            <w:pPr>
              <w:rPr>
                <w:rFonts w:hint="eastAsia" w:ascii="宋体" w:hAnsi="宋体" w:eastAsia="宋体" w:cs="宋体"/>
                <w:color w:val="000000" w:themeColor="text1"/>
                <w:sz w:val="18"/>
                <w:szCs w:val="18"/>
                <w14:textFill>
                  <w14:solidFill>
                    <w14:schemeClr w14:val="tx1"/>
                  </w14:solidFill>
                </w14:textFill>
              </w:rPr>
            </w:pPr>
          </w:p>
        </w:tc>
      </w:tr>
      <w:tr w14:paraId="2F13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69DA02FD">
            <w:pPr>
              <w:rPr>
                <w:rFonts w:hint="eastAsia" w:ascii="宋体" w:hAnsi="宋体" w:eastAsia="宋体" w:cs="宋体"/>
                <w:color w:val="000000" w:themeColor="text1"/>
                <w:sz w:val="18"/>
                <w:szCs w:val="18"/>
                <w14:textFill>
                  <w14:solidFill>
                    <w14:schemeClr w14:val="tx1"/>
                  </w14:solidFill>
                </w14:textFill>
              </w:rPr>
            </w:pPr>
          </w:p>
        </w:tc>
        <w:tc>
          <w:tcPr>
            <w:tcW w:w="4293" w:type="dxa"/>
            <w:vAlign w:val="center"/>
          </w:tcPr>
          <w:p w14:paraId="6BB18637">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高</w:t>
            </w:r>
          </w:p>
        </w:tc>
        <w:tc>
          <w:tcPr>
            <w:tcW w:w="3371" w:type="dxa"/>
            <w:vAlign w:val="center"/>
          </w:tcPr>
          <w:p w14:paraId="1476DD46">
            <w:pPr>
              <w:rPr>
                <w:rFonts w:hint="eastAsia" w:ascii="宋体" w:hAnsi="宋体" w:eastAsia="宋体" w:cs="宋体"/>
                <w:color w:val="000000" w:themeColor="text1"/>
                <w:sz w:val="18"/>
                <w:szCs w:val="18"/>
                <w14:textFill>
                  <w14:solidFill>
                    <w14:schemeClr w14:val="tx1"/>
                  </w14:solidFill>
                </w14:textFill>
              </w:rPr>
            </w:pPr>
          </w:p>
        </w:tc>
      </w:tr>
      <w:tr w14:paraId="545B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1CE76089">
            <w:pPr>
              <w:rPr>
                <w:rFonts w:hint="eastAsia" w:ascii="宋体" w:hAnsi="宋体" w:eastAsia="宋体" w:cs="宋体"/>
                <w:color w:val="000000" w:themeColor="text1"/>
                <w:sz w:val="18"/>
                <w:szCs w:val="18"/>
                <w14:textFill>
                  <w14:solidFill>
                    <w14:schemeClr w14:val="tx1"/>
                  </w14:solidFill>
                </w14:textFill>
              </w:rPr>
            </w:pPr>
          </w:p>
        </w:tc>
        <w:tc>
          <w:tcPr>
            <w:tcW w:w="4293" w:type="dxa"/>
            <w:vAlign w:val="center"/>
          </w:tcPr>
          <w:p w14:paraId="736F382A">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并网柜重量                 (kg)</w:t>
            </w:r>
          </w:p>
        </w:tc>
        <w:tc>
          <w:tcPr>
            <w:tcW w:w="3371" w:type="dxa"/>
            <w:vAlign w:val="center"/>
          </w:tcPr>
          <w:p w14:paraId="0CCA9FA4">
            <w:pPr>
              <w:rPr>
                <w:rFonts w:hint="eastAsia" w:ascii="宋体" w:hAnsi="宋体" w:eastAsia="宋体" w:cs="宋体"/>
                <w:color w:val="000000" w:themeColor="text1"/>
                <w:sz w:val="18"/>
                <w:szCs w:val="18"/>
                <w14:textFill>
                  <w14:solidFill>
                    <w14:schemeClr w14:val="tx1"/>
                  </w14:solidFill>
                </w14:textFill>
              </w:rPr>
            </w:pPr>
          </w:p>
        </w:tc>
      </w:tr>
      <w:tr w14:paraId="28D4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469FEA19">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24</w:t>
            </w:r>
          </w:p>
        </w:tc>
        <w:tc>
          <w:tcPr>
            <w:tcW w:w="4293" w:type="dxa"/>
            <w:vAlign w:val="center"/>
          </w:tcPr>
          <w:p w14:paraId="7FE4A28F">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并网柜制造厂名称</w:t>
            </w:r>
          </w:p>
        </w:tc>
        <w:tc>
          <w:tcPr>
            <w:tcW w:w="3371" w:type="dxa"/>
            <w:vAlign w:val="center"/>
          </w:tcPr>
          <w:p w14:paraId="013D5438">
            <w:pPr>
              <w:rPr>
                <w:rFonts w:hint="eastAsia" w:ascii="宋体" w:hAnsi="宋体" w:eastAsia="宋体" w:cs="宋体"/>
                <w:color w:val="000000" w:themeColor="text1"/>
                <w:sz w:val="18"/>
                <w:szCs w:val="18"/>
                <w14:textFill>
                  <w14:solidFill>
                    <w14:schemeClr w14:val="tx1"/>
                  </w14:solidFill>
                </w14:textFill>
              </w:rPr>
            </w:pPr>
          </w:p>
        </w:tc>
      </w:tr>
      <w:tr w14:paraId="1D23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5" w:type="dxa"/>
            <w:vAlign w:val="center"/>
          </w:tcPr>
          <w:p w14:paraId="7F9896E4">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25</w:t>
            </w:r>
          </w:p>
        </w:tc>
        <w:tc>
          <w:tcPr>
            <w:tcW w:w="4293" w:type="dxa"/>
            <w:vAlign w:val="center"/>
          </w:tcPr>
          <w:p w14:paraId="1BE19883">
            <w:pPr>
              <w:rPr>
                <w:rFonts w:hint="eastAsia" w:ascii="宋体" w:hAnsi="宋体" w:eastAsia="宋体" w:cs="宋体"/>
                <w:color w:val="000000" w:themeColor="text1"/>
                <w:sz w:val="18"/>
                <w:szCs w:val="18"/>
                <w14:textFill>
                  <w14:solidFill>
                    <w14:schemeClr w14:val="tx1"/>
                  </w14:solidFill>
                </w14:textFill>
              </w:rPr>
            </w:pPr>
          </w:p>
        </w:tc>
        <w:tc>
          <w:tcPr>
            <w:tcW w:w="3371" w:type="dxa"/>
            <w:vAlign w:val="center"/>
          </w:tcPr>
          <w:p w14:paraId="38A49635">
            <w:pPr>
              <w:rPr>
                <w:rFonts w:hint="eastAsia" w:ascii="宋体" w:hAnsi="宋体" w:eastAsia="宋体" w:cs="宋体"/>
                <w:color w:val="000000" w:themeColor="text1"/>
                <w:sz w:val="18"/>
                <w:szCs w:val="18"/>
                <w14:textFill>
                  <w14:solidFill>
                    <w14:schemeClr w14:val="tx1"/>
                  </w14:solidFill>
                </w14:textFill>
              </w:rPr>
            </w:pPr>
          </w:p>
        </w:tc>
      </w:tr>
    </w:tbl>
    <w:p w14:paraId="6D6A52E1">
      <w:pPr>
        <w:pStyle w:val="4"/>
        <w:adjustRightInd w:val="0"/>
        <w:snapToGrid w:val="0"/>
        <w:spacing w:before="156" w:after="156"/>
        <w:rPr>
          <w:rFonts w:hint="eastAsia" w:ascii="宋体" w:hAnsi="宋体" w:eastAsia="宋体" w:cs="宋体"/>
          <w:color w:val="000000" w:themeColor="text1"/>
          <w14:textFill>
            <w14:solidFill>
              <w14:schemeClr w14:val="tx1"/>
            </w14:solidFill>
          </w14:textFill>
        </w:rPr>
      </w:pPr>
      <w:bookmarkStart w:id="36" w:name="_Toc219812974"/>
      <w:r>
        <w:rPr>
          <w:rFonts w:hint="eastAsia" w:ascii="宋体" w:hAnsi="宋体" w:eastAsia="宋体" w:cs="宋体"/>
          <w:color w:val="000000" w:themeColor="text1"/>
          <w14:textFill>
            <w14:solidFill>
              <w14:schemeClr w14:val="tx1"/>
            </w14:solidFill>
          </w14:textFill>
        </w:rPr>
        <w:t>供货范围</w:t>
      </w:r>
      <w:bookmarkEnd w:id="36"/>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049"/>
        <w:gridCol w:w="3088"/>
        <w:gridCol w:w="817"/>
        <w:gridCol w:w="850"/>
        <w:gridCol w:w="1043"/>
      </w:tblGrid>
      <w:tr w14:paraId="5DD8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2FA7DAC">
            <w:pPr>
              <w:pStyle w:val="5"/>
              <w:ind w:firstLine="0" w:firstLineChars="0"/>
              <w:jc w:val="center"/>
              <w:rPr>
                <w:rFonts w:hint="eastAsia" w:hAnsi="宋体" w:cs="宋体"/>
              </w:rPr>
            </w:pPr>
            <w:r>
              <w:rPr>
                <w:rFonts w:hint="eastAsia" w:hAnsi="宋体" w:cs="宋体"/>
              </w:rPr>
              <w:t>序号</w:t>
            </w:r>
          </w:p>
        </w:tc>
        <w:tc>
          <w:tcPr>
            <w:tcW w:w="2049" w:type="dxa"/>
            <w:vAlign w:val="center"/>
          </w:tcPr>
          <w:p w14:paraId="7EB3F3BE">
            <w:pPr>
              <w:pStyle w:val="5"/>
              <w:ind w:firstLine="0" w:firstLineChars="0"/>
              <w:jc w:val="center"/>
              <w:rPr>
                <w:rFonts w:hint="eastAsia" w:hAnsi="宋体" w:cs="宋体"/>
              </w:rPr>
            </w:pPr>
            <w:r>
              <w:rPr>
                <w:rFonts w:hint="eastAsia" w:hAnsi="宋体" w:cs="宋体"/>
              </w:rPr>
              <w:t>名称</w:t>
            </w:r>
          </w:p>
        </w:tc>
        <w:tc>
          <w:tcPr>
            <w:tcW w:w="3088" w:type="dxa"/>
          </w:tcPr>
          <w:p w14:paraId="589AAC12">
            <w:pPr>
              <w:pStyle w:val="5"/>
              <w:ind w:firstLine="0" w:firstLineChars="0"/>
              <w:rPr>
                <w:rFonts w:hint="eastAsia" w:hAnsi="宋体" w:cs="宋体"/>
              </w:rPr>
            </w:pPr>
            <w:r>
              <w:rPr>
                <w:rFonts w:hint="eastAsia" w:hAnsi="宋体" w:cs="宋体"/>
              </w:rPr>
              <w:t>规格</w:t>
            </w:r>
          </w:p>
        </w:tc>
        <w:tc>
          <w:tcPr>
            <w:tcW w:w="817" w:type="dxa"/>
            <w:vAlign w:val="center"/>
          </w:tcPr>
          <w:p w14:paraId="40C805AE">
            <w:pPr>
              <w:pStyle w:val="5"/>
              <w:ind w:firstLine="0" w:firstLineChars="0"/>
              <w:jc w:val="center"/>
              <w:rPr>
                <w:rFonts w:hint="eastAsia" w:hAnsi="宋体" w:cs="宋体"/>
              </w:rPr>
            </w:pPr>
            <w:r>
              <w:rPr>
                <w:rFonts w:hint="eastAsia" w:hAnsi="宋体" w:cs="宋体"/>
              </w:rPr>
              <w:t>单位</w:t>
            </w:r>
          </w:p>
        </w:tc>
        <w:tc>
          <w:tcPr>
            <w:tcW w:w="850" w:type="dxa"/>
            <w:vAlign w:val="center"/>
          </w:tcPr>
          <w:p w14:paraId="548EC791">
            <w:pPr>
              <w:pStyle w:val="5"/>
              <w:ind w:firstLine="0" w:firstLineChars="0"/>
              <w:jc w:val="center"/>
              <w:rPr>
                <w:rFonts w:hint="eastAsia" w:hAnsi="宋体" w:cs="宋体"/>
              </w:rPr>
            </w:pPr>
            <w:r>
              <w:rPr>
                <w:rFonts w:hint="eastAsia" w:hAnsi="宋体" w:cs="宋体"/>
              </w:rPr>
              <w:t>数量</w:t>
            </w:r>
          </w:p>
        </w:tc>
        <w:tc>
          <w:tcPr>
            <w:tcW w:w="1043" w:type="dxa"/>
          </w:tcPr>
          <w:p w14:paraId="048AD9F9">
            <w:pPr>
              <w:pStyle w:val="5"/>
              <w:ind w:firstLine="0" w:firstLineChars="0"/>
              <w:rPr>
                <w:rFonts w:hint="eastAsia" w:hAnsi="宋体" w:cs="宋体"/>
              </w:rPr>
            </w:pPr>
            <w:r>
              <w:rPr>
                <w:rFonts w:hint="eastAsia" w:hAnsi="宋体" w:cs="宋体"/>
              </w:rPr>
              <w:t>备注</w:t>
            </w:r>
          </w:p>
        </w:tc>
      </w:tr>
      <w:tr w14:paraId="1C02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503E39A">
            <w:pPr>
              <w:pStyle w:val="5"/>
              <w:ind w:firstLine="0" w:firstLineChars="0"/>
              <w:jc w:val="center"/>
              <w:rPr>
                <w:rFonts w:hint="eastAsia" w:hAnsi="宋体" w:cs="宋体"/>
              </w:rPr>
            </w:pPr>
            <w:r>
              <w:rPr>
                <w:rFonts w:hint="eastAsia" w:hAnsi="宋体" w:cs="宋体"/>
              </w:rPr>
              <w:t>1</w:t>
            </w:r>
          </w:p>
        </w:tc>
        <w:tc>
          <w:tcPr>
            <w:tcW w:w="2049" w:type="dxa"/>
            <w:vAlign w:val="center"/>
          </w:tcPr>
          <w:p w14:paraId="613F8A2C">
            <w:pPr>
              <w:pStyle w:val="5"/>
              <w:ind w:firstLine="0" w:firstLineChars="0"/>
              <w:jc w:val="center"/>
              <w:rPr>
                <w:rFonts w:hint="eastAsia" w:hAnsi="宋体" w:cs="宋体"/>
              </w:rPr>
            </w:pPr>
            <w:r>
              <w:rPr>
                <w:rFonts w:hint="eastAsia" w:hAnsi="宋体" w:cs="宋体"/>
              </w:rPr>
              <w:t>10kV并网出线柜</w:t>
            </w:r>
          </w:p>
        </w:tc>
        <w:tc>
          <w:tcPr>
            <w:tcW w:w="3088" w:type="dxa"/>
          </w:tcPr>
          <w:p w14:paraId="5DA4A428">
            <w:pPr>
              <w:pStyle w:val="5"/>
              <w:ind w:firstLine="0" w:firstLineChars="0"/>
              <w:rPr>
                <w:rFonts w:hint="eastAsia" w:hAnsi="宋体" w:cs="宋体"/>
              </w:rPr>
            </w:pPr>
            <w:r>
              <w:rPr>
                <w:rFonts w:hint="eastAsia" w:hAnsi="宋体" w:cs="宋体"/>
              </w:rPr>
              <w:t>KYN28A-12,真空断路器:630A-25kA</w:t>
            </w:r>
          </w:p>
        </w:tc>
        <w:tc>
          <w:tcPr>
            <w:tcW w:w="817" w:type="dxa"/>
            <w:vAlign w:val="center"/>
          </w:tcPr>
          <w:p w14:paraId="103A7B22">
            <w:pPr>
              <w:pStyle w:val="5"/>
              <w:ind w:firstLine="0" w:firstLineChars="0"/>
              <w:jc w:val="center"/>
              <w:rPr>
                <w:rFonts w:hint="eastAsia" w:hAnsi="宋体" w:cs="宋体"/>
              </w:rPr>
            </w:pPr>
            <w:r>
              <w:rPr>
                <w:rFonts w:hint="eastAsia" w:hAnsi="宋体" w:cs="宋体"/>
              </w:rPr>
              <w:t>面</w:t>
            </w:r>
          </w:p>
        </w:tc>
        <w:tc>
          <w:tcPr>
            <w:tcW w:w="850" w:type="dxa"/>
            <w:vAlign w:val="center"/>
          </w:tcPr>
          <w:p w14:paraId="2E9290B5">
            <w:pPr>
              <w:pStyle w:val="5"/>
              <w:ind w:firstLine="0" w:firstLineChars="0"/>
              <w:jc w:val="center"/>
              <w:rPr>
                <w:rFonts w:hint="eastAsia" w:hAnsi="宋体" w:cs="宋体"/>
              </w:rPr>
            </w:pPr>
            <w:r>
              <w:rPr>
                <w:rFonts w:hint="eastAsia" w:hAnsi="宋体" w:cs="宋体"/>
              </w:rPr>
              <w:t>2</w:t>
            </w:r>
          </w:p>
        </w:tc>
        <w:tc>
          <w:tcPr>
            <w:tcW w:w="1043" w:type="dxa"/>
          </w:tcPr>
          <w:p w14:paraId="47C642ED">
            <w:pPr>
              <w:pStyle w:val="5"/>
              <w:ind w:firstLine="0" w:firstLineChars="0"/>
              <w:rPr>
                <w:rFonts w:hint="eastAsia" w:hAnsi="宋体" w:cs="宋体"/>
              </w:rPr>
            </w:pPr>
          </w:p>
        </w:tc>
      </w:tr>
      <w:tr w14:paraId="53A9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EC6BCF3">
            <w:pPr>
              <w:pStyle w:val="5"/>
              <w:ind w:firstLine="0" w:firstLineChars="0"/>
              <w:jc w:val="center"/>
              <w:rPr>
                <w:rFonts w:hint="eastAsia" w:hAnsi="宋体" w:cs="宋体"/>
              </w:rPr>
            </w:pPr>
            <w:r>
              <w:rPr>
                <w:rFonts w:hint="eastAsia" w:hAnsi="宋体" w:cs="宋体"/>
              </w:rPr>
              <w:t>2</w:t>
            </w:r>
          </w:p>
        </w:tc>
        <w:tc>
          <w:tcPr>
            <w:tcW w:w="2049" w:type="dxa"/>
            <w:vAlign w:val="center"/>
          </w:tcPr>
          <w:p w14:paraId="494B8986">
            <w:pPr>
              <w:pStyle w:val="5"/>
              <w:ind w:firstLine="0" w:firstLineChars="0"/>
              <w:jc w:val="center"/>
              <w:rPr>
                <w:rFonts w:hint="eastAsia" w:hAnsi="宋体" w:cs="宋体"/>
              </w:rPr>
            </w:pPr>
            <w:r>
              <w:rPr>
                <w:rFonts w:hint="eastAsia" w:hAnsi="宋体" w:cs="宋体"/>
              </w:rPr>
              <w:t>10kV并网接入柜（接入充电桩母线）</w:t>
            </w:r>
          </w:p>
        </w:tc>
        <w:tc>
          <w:tcPr>
            <w:tcW w:w="3088" w:type="dxa"/>
          </w:tcPr>
          <w:p w14:paraId="71E7ABF3">
            <w:pPr>
              <w:pStyle w:val="5"/>
              <w:tabs>
                <w:tab w:val="left" w:pos="840"/>
              </w:tabs>
              <w:ind w:firstLine="0" w:firstLineChars="0"/>
              <w:rPr>
                <w:rFonts w:hint="eastAsia" w:hAnsi="宋体" w:cs="宋体"/>
              </w:rPr>
            </w:pPr>
            <w:r>
              <w:rPr>
                <w:rFonts w:hint="eastAsia" w:hAnsi="宋体" w:cs="宋体"/>
              </w:rPr>
              <w:t>KYN28A-12,真空断路器:630A-25kA</w:t>
            </w:r>
          </w:p>
        </w:tc>
        <w:tc>
          <w:tcPr>
            <w:tcW w:w="817" w:type="dxa"/>
            <w:vAlign w:val="center"/>
          </w:tcPr>
          <w:p w14:paraId="5FBC740C">
            <w:pPr>
              <w:pStyle w:val="5"/>
              <w:ind w:firstLine="0" w:firstLineChars="0"/>
              <w:jc w:val="center"/>
              <w:rPr>
                <w:rFonts w:hint="eastAsia" w:hAnsi="宋体" w:cs="宋体"/>
              </w:rPr>
            </w:pPr>
            <w:r>
              <w:rPr>
                <w:rFonts w:hint="eastAsia" w:hAnsi="宋体" w:cs="宋体"/>
              </w:rPr>
              <w:t>面</w:t>
            </w:r>
          </w:p>
        </w:tc>
        <w:tc>
          <w:tcPr>
            <w:tcW w:w="850" w:type="dxa"/>
            <w:vAlign w:val="center"/>
          </w:tcPr>
          <w:p w14:paraId="5BBCEA6B">
            <w:pPr>
              <w:pStyle w:val="5"/>
              <w:ind w:firstLine="0" w:firstLineChars="0"/>
              <w:jc w:val="center"/>
              <w:rPr>
                <w:rFonts w:hint="eastAsia" w:hAnsi="宋体" w:cs="宋体"/>
              </w:rPr>
            </w:pPr>
            <w:r>
              <w:rPr>
                <w:rFonts w:hint="eastAsia" w:hAnsi="宋体" w:cs="宋体"/>
              </w:rPr>
              <w:t>2</w:t>
            </w:r>
          </w:p>
        </w:tc>
        <w:tc>
          <w:tcPr>
            <w:tcW w:w="1043" w:type="dxa"/>
          </w:tcPr>
          <w:p w14:paraId="7979E096">
            <w:pPr>
              <w:pStyle w:val="5"/>
              <w:ind w:firstLine="0" w:firstLineChars="0"/>
              <w:rPr>
                <w:rFonts w:hint="eastAsia" w:hAnsi="宋体" w:cs="宋体"/>
              </w:rPr>
            </w:pPr>
          </w:p>
        </w:tc>
      </w:tr>
      <w:tr w14:paraId="7915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50CBDDD">
            <w:pPr>
              <w:pStyle w:val="5"/>
              <w:ind w:firstLine="0" w:firstLineChars="0"/>
              <w:jc w:val="center"/>
              <w:rPr>
                <w:rFonts w:hint="eastAsia" w:hAnsi="宋体" w:cs="宋体"/>
              </w:rPr>
            </w:pPr>
            <w:r>
              <w:rPr>
                <w:rFonts w:hint="eastAsia" w:hAnsi="宋体" w:cs="宋体"/>
              </w:rPr>
              <w:t>3</w:t>
            </w:r>
          </w:p>
        </w:tc>
        <w:tc>
          <w:tcPr>
            <w:tcW w:w="2049" w:type="dxa"/>
            <w:vAlign w:val="center"/>
          </w:tcPr>
          <w:p w14:paraId="44DC87E0">
            <w:pPr>
              <w:pStyle w:val="5"/>
              <w:ind w:firstLine="0" w:firstLineChars="0"/>
              <w:jc w:val="center"/>
              <w:rPr>
                <w:rFonts w:hint="eastAsia" w:hAnsi="宋体" w:cs="宋体"/>
              </w:rPr>
            </w:pPr>
            <w:r>
              <w:rPr>
                <w:rFonts w:hint="eastAsia" w:hAnsi="宋体" w:cs="宋体"/>
              </w:rPr>
              <w:t>10kV SVG柜</w:t>
            </w:r>
          </w:p>
        </w:tc>
        <w:tc>
          <w:tcPr>
            <w:tcW w:w="3088" w:type="dxa"/>
          </w:tcPr>
          <w:p w14:paraId="5B5565E1">
            <w:pPr>
              <w:pStyle w:val="5"/>
              <w:ind w:firstLine="0" w:firstLineChars="0"/>
              <w:rPr>
                <w:rFonts w:hint="eastAsia" w:hAnsi="宋体" w:cs="宋体"/>
              </w:rPr>
            </w:pPr>
            <w:r>
              <w:rPr>
                <w:rFonts w:hint="eastAsia" w:hAnsi="宋体" w:cs="宋体"/>
              </w:rPr>
              <w:t>KYN28A-12,真空断路器:630A-25kA，</w:t>
            </w:r>
          </w:p>
        </w:tc>
        <w:tc>
          <w:tcPr>
            <w:tcW w:w="817" w:type="dxa"/>
            <w:vAlign w:val="center"/>
          </w:tcPr>
          <w:p w14:paraId="763249D8">
            <w:pPr>
              <w:pStyle w:val="5"/>
              <w:ind w:firstLine="0" w:firstLineChars="0"/>
              <w:jc w:val="center"/>
              <w:rPr>
                <w:rFonts w:hint="eastAsia" w:hAnsi="宋体" w:cs="宋体"/>
              </w:rPr>
            </w:pPr>
            <w:r>
              <w:rPr>
                <w:rFonts w:hint="eastAsia" w:hAnsi="宋体" w:cs="宋体"/>
              </w:rPr>
              <w:t>面</w:t>
            </w:r>
          </w:p>
        </w:tc>
        <w:tc>
          <w:tcPr>
            <w:tcW w:w="850" w:type="dxa"/>
            <w:vAlign w:val="center"/>
          </w:tcPr>
          <w:p w14:paraId="0247CCE6">
            <w:pPr>
              <w:pStyle w:val="5"/>
              <w:ind w:firstLine="0" w:firstLineChars="0"/>
              <w:jc w:val="center"/>
              <w:rPr>
                <w:rFonts w:hint="eastAsia" w:hAnsi="宋体" w:cs="宋体"/>
              </w:rPr>
            </w:pPr>
            <w:r>
              <w:rPr>
                <w:rFonts w:hint="eastAsia" w:hAnsi="宋体" w:cs="宋体"/>
              </w:rPr>
              <w:t>2</w:t>
            </w:r>
          </w:p>
        </w:tc>
        <w:tc>
          <w:tcPr>
            <w:tcW w:w="1043" w:type="dxa"/>
          </w:tcPr>
          <w:p w14:paraId="178C368D">
            <w:pPr>
              <w:pStyle w:val="5"/>
              <w:ind w:firstLine="0" w:firstLineChars="0"/>
              <w:rPr>
                <w:rFonts w:hint="eastAsia" w:hAnsi="宋体" w:cs="宋体"/>
              </w:rPr>
            </w:pPr>
          </w:p>
        </w:tc>
      </w:tr>
      <w:tr w14:paraId="61E6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5DE5136">
            <w:pPr>
              <w:pStyle w:val="5"/>
              <w:ind w:firstLine="0" w:firstLineChars="0"/>
              <w:jc w:val="center"/>
              <w:rPr>
                <w:rFonts w:hint="eastAsia" w:hAnsi="宋体" w:cs="宋体"/>
              </w:rPr>
            </w:pPr>
            <w:r>
              <w:rPr>
                <w:rFonts w:hint="eastAsia" w:hAnsi="宋体" w:cs="宋体"/>
              </w:rPr>
              <w:t>4</w:t>
            </w:r>
          </w:p>
        </w:tc>
        <w:tc>
          <w:tcPr>
            <w:tcW w:w="2049" w:type="dxa"/>
            <w:vAlign w:val="center"/>
          </w:tcPr>
          <w:p w14:paraId="7CDE6A71">
            <w:pPr>
              <w:pStyle w:val="5"/>
              <w:ind w:firstLine="0" w:firstLineChars="0"/>
              <w:jc w:val="center"/>
              <w:rPr>
                <w:rFonts w:hint="eastAsia" w:hAnsi="宋体" w:cs="宋体"/>
              </w:rPr>
            </w:pPr>
            <w:r>
              <w:rPr>
                <w:rFonts w:hint="eastAsia" w:hAnsi="宋体" w:cs="宋体"/>
              </w:rPr>
              <w:t>10kV光伏进线柜</w:t>
            </w:r>
          </w:p>
        </w:tc>
        <w:tc>
          <w:tcPr>
            <w:tcW w:w="3088" w:type="dxa"/>
          </w:tcPr>
          <w:p w14:paraId="7BA66B7B">
            <w:pPr>
              <w:pStyle w:val="5"/>
              <w:ind w:firstLine="0" w:firstLineChars="0"/>
              <w:rPr>
                <w:rFonts w:hint="eastAsia" w:hAnsi="宋体" w:cs="宋体"/>
              </w:rPr>
            </w:pPr>
            <w:r>
              <w:rPr>
                <w:rFonts w:hint="eastAsia" w:hAnsi="宋体" w:cs="宋体"/>
              </w:rPr>
              <w:t>KYN28A-12,真空断路器:630A-25kA</w:t>
            </w:r>
          </w:p>
        </w:tc>
        <w:tc>
          <w:tcPr>
            <w:tcW w:w="817" w:type="dxa"/>
            <w:vAlign w:val="center"/>
          </w:tcPr>
          <w:p w14:paraId="3A764665">
            <w:pPr>
              <w:pStyle w:val="5"/>
              <w:ind w:firstLine="0" w:firstLineChars="0"/>
              <w:jc w:val="center"/>
              <w:rPr>
                <w:rFonts w:hint="eastAsia" w:hAnsi="宋体" w:cs="宋体"/>
              </w:rPr>
            </w:pPr>
            <w:r>
              <w:rPr>
                <w:rFonts w:hint="eastAsia" w:hAnsi="宋体" w:cs="宋体"/>
              </w:rPr>
              <w:t>面</w:t>
            </w:r>
          </w:p>
        </w:tc>
        <w:tc>
          <w:tcPr>
            <w:tcW w:w="850" w:type="dxa"/>
            <w:vAlign w:val="center"/>
          </w:tcPr>
          <w:p w14:paraId="66775C24">
            <w:pPr>
              <w:pStyle w:val="5"/>
              <w:ind w:firstLine="0" w:firstLineChars="0"/>
              <w:jc w:val="center"/>
              <w:rPr>
                <w:rFonts w:hint="eastAsia" w:hAnsi="宋体" w:cs="宋体"/>
              </w:rPr>
            </w:pPr>
            <w:r>
              <w:rPr>
                <w:rFonts w:hint="eastAsia" w:hAnsi="宋体" w:cs="宋体"/>
              </w:rPr>
              <w:t>2</w:t>
            </w:r>
          </w:p>
        </w:tc>
        <w:tc>
          <w:tcPr>
            <w:tcW w:w="1043" w:type="dxa"/>
          </w:tcPr>
          <w:p w14:paraId="0C16CDEA">
            <w:pPr>
              <w:pStyle w:val="5"/>
              <w:ind w:firstLine="0" w:firstLineChars="0"/>
              <w:rPr>
                <w:rFonts w:hint="eastAsia" w:hAnsi="宋体" w:cs="宋体"/>
              </w:rPr>
            </w:pPr>
          </w:p>
        </w:tc>
      </w:tr>
      <w:tr w14:paraId="7AAC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6986953">
            <w:pPr>
              <w:pStyle w:val="5"/>
              <w:ind w:firstLine="0" w:firstLineChars="0"/>
              <w:jc w:val="center"/>
              <w:rPr>
                <w:rFonts w:hint="eastAsia" w:hAnsi="宋体" w:cs="宋体"/>
                <w:color w:val="000000"/>
                <w:szCs w:val="21"/>
              </w:rPr>
            </w:pPr>
            <w:r>
              <w:rPr>
                <w:rFonts w:hint="eastAsia" w:hAnsi="宋体" w:cs="宋体"/>
                <w:color w:val="000000"/>
                <w:szCs w:val="21"/>
              </w:rPr>
              <w:t>5</w:t>
            </w:r>
          </w:p>
        </w:tc>
        <w:tc>
          <w:tcPr>
            <w:tcW w:w="2049" w:type="dxa"/>
            <w:vAlign w:val="center"/>
          </w:tcPr>
          <w:p w14:paraId="300D78E2">
            <w:pPr>
              <w:pStyle w:val="5"/>
              <w:ind w:firstLine="0" w:firstLineChars="0"/>
              <w:jc w:val="center"/>
              <w:rPr>
                <w:rFonts w:hint="eastAsia" w:hAnsi="宋体" w:cs="宋体"/>
              </w:rPr>
            </w:pPr>
            <w:r>
              <w:rPr>
                <w:rFonts w:hint="eastAsia" w:hAnsi="宋体" w:cs="宋体"/>
                <w:color w:val="000000"/>
                <w:szCs w:val="21"/>
              </w:rPr>
              <w:t>10kV PT柜</w:t>
            </w:r>
          </w:p>
        </w:tc>
        <w:tc>
          <w:tcPr>
            <w:tcW w:w="3088" w:type="dxa"/>
            <w:vAlign w:val="center"/>
          </w:tcPr>
          <w:p w14:paraId="0FE346E1">
            <w:pPr>
              <w:pStyle w:val="5"/>
              <w:ind w:firstLine="0" w:firstLineChars="0"/>
              <w:rPr>
                <w:rFonts w:hint="eastAsia" w:hAnsi="宋体" w:cs="宋体"/>
              </w:rPr>
            </w:pPr>
            <w:r>
              <w:rPr>
                <w:rFonts w:hint="eastAsia" w:hAnsi="宋体" w:cs="宋体"/>
                <w:color w:val="000000"/>
                <w:szCs w:val="21"/>
              </w:rPr>
              <w:t>KYN28A-12，PT柜，配一次消谐装置</w:t>
            </w:r>
          </w:p>
        </w:tc>
        <w:tc>
          <w:tcPr>
            <w:tcW w:w="817" w:type="dxa"/>
            <w:vAlign w:val="center"/>
          </w:tcPr>
          <w:p w14:paraId="1D22D1E0">
            <w:pPr>
              <w:pStyle w:val="5"/>
              <w:ind w:firstLine="0" w:firstLineChars="0"/>
              <w:jc w:val="center"/>
              <w:rPr>
                <w:rFonts w:hint="eastAsia" w:hAnsi="宋体" w:cs="宋体"/>
              </w:rPr>
            </w:pPr>
            <w:r>
              <w:rPr>
                <w:rFonts w:hint="eastAsia" w:hAnsi="宋体" w:cs="宋体"/>
                <w:color w:val="000000"/>
                <w:szCs w:val="21"/>
              </w:rPr>
              <w:t>面</w:t>
            </w:r>
          </w:p>
        </w:tc>
        <w:tc>
          <w:tcPr>
            <w:tcW w:w="850" w:type="dxa"/>
            <w:vAlign w:val="center"/>
          </w:tcPr>
          <w:p w14:paraId="5BDA3153">
            <w:pPr>
              <w:pStyle w:val="5"/>
              <w:ind w:firstLine="0" w:firstLineChars="0"/>
              <w:jc w:val="center"/>
              <w:rPr>
                <w:rFonts w:hint="eastAsia" w:hAnsi="宋体" w:cs="宋体"/>
              </w:rPr>
            </w:pPr>
            <w:r>
              <w:rPr>
                <w:rFonts w:hint="eastAsia" w:hAnsi="宋体" w:cs="宋体"/>
                <w:color w:val="000000"/>
                <w:szCs w:val="21"/>
              </w:rPr>
              <w:t>2</w:t>
            </w:r>
          </w:p>
        </w:tc>
        <w:tc>
          <w:tcPr>
            <w:tcW w:w="1043" w:type="dxa"/>
          </w:tcPr>
          <w:p w14:paraId="5CA32AC5">
            <w:pPr>
              <w:pStyle w:val="5"/>
              <w:ind w:firstLine="0" w:firstLineChars="0"/>
              <w:rPr>
                <w:rFonts w:hint="eastAsia" w:hAnsi="宋体" w:cs="宋体"/>
              </w:rPr>
            </w:pPr>
          </w:p>
        </w:tc>
      </w:tr>
      <w:tr w14:paraId="7483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FFA5370">
            <w:pPr>
              <w:pStyle w:val="5"/>
              <w:ind w:firstLine="0" w:firstLineChars="0"/>
              <w:jc w:val="center"/>
              <w:rPr>
                <w:rFonts w:hint="eastAsia" w:hAnsi="宋体" w:cs="宋体"/>
                <w:color w:val="000000"/>
                <w:szCs w:val="21"/>
              </w:rPr>
            </w:pPr>
            <w:r>
              <w:rPr>
                <w:rFonts w:hint="eastAsia" w:hAnsi="宋体" w:cs="宋体"/>
                <w:color w:val="000000"/>
                <w:szCs w:val="21"/>
              </w:rPr>
              <w:t>6</w:t>
            </w:r>
          </w:p>
        </w:tc>
        <w:tc>
          <w:tcPr>
            <w:tcW w:w="2049" w:type="dxa"/>
            <w:vAlign w:val="center"/>
          </w:tcPr>
          <w:p w14:paraId="515FD42A">
            <w:pPr>
              <w:pStyle w:val="5"/>
              <w:ind w:firstLine="0" w:firstLineChars="0"/>
              <w:jc w:val="center"/>
              <w:rPr>
                <w:rFonts w:hint="eastAsia" w:hAnsi="宋体" w:cs="宋体"/>
              </w:rPr>
            </w:pPr>
            <w:r>
              <w:rPr>
                <w:rFonts w:hint="eastAsia" w:hAnsi="宋体" w:cs="宋体"/>
                <w:color w:val="000000"/>
                <w:szCs w:val="21"/>
              </w:rPr>
              <w:t>10kV计量柜</w:t>
            </w:r>
          </w:p>
        </w:tc>
        <w:tc>
          <w:tcPr>
            <w:tcW w:w="3088" w:type="dxa"/>
            <w:vAlign w:val="center"/>
          </w:tcPr>
          <w:p w14:paraId="645B3F59">
            <w:pPr>
              <w:pStyle w:val="5"/>
              <w:ind w:firstLine="0" w:firstLineChars="0"/>
              <w:rPr>
                <w:rFonts w:hint="eastAsia" w:hAnsi="宋体" w:cs="宋体"/>
              </w:rPr>
            </w:pPr>
            <w:r>
              <w:rPr>
                <w:rFonts w:hint="eastAsia" w:hAnsi="宋体" w:cs="宋体"/>
                <w:color w:val="000000"/>
                <w:szCs w:val="21"/>
              </w:rPr>
              <w:t>KYN28A-12</w:t>
            </w:r>
          </w:p>
        </w:tc>
        <w:tc>
          <w:tcPr>
            <w:tcW w:w="817" w:type="dxa"/>
            <w:vAlign w:val="center"/>
          </w:tcPr>
          <w:p w14:paraId="1B9A2F59">
            <w:pPr>
              <w:pStyle w:val="5"/>
              <w:ind w:firstLine="0" w:firstLineChars="0"/>
              <w:jc w:val="center"/>
              <w:rPr>
                <w:rFonts w:hint="eastAsia" w:hAnsi="宋体" w:cs="宋体"/>
              </w:rPr>
            </w:pPr>
            <w:r>
              <w:rPr>
                <w:rFonts w:hint="eastAsia" w:hAnsi="宋体" w:cs="宋体"/>
                <w:color w:val="000000"/>
                <w:szCs w:val="21"/>
              </w:rPr>
              <w:t>面</w:t>
            </w:r>
          </w:p>
        </w:tc>
        <w:tc>
          <w:tcPr>
            <w:tcW w:w="850" w:type="dxa"/>
            <w:vAlign w:val="center"/>
          </w:tcPr>
          <w:p w14:paraId="05172009">
            <w:pPr>
              <w:pStyle w:val="5"/>
              <w:ind w:firstLine="0" w:firstLineChars="0"/>
              <w:jc w:val="center"/>
              <w:rPr>
                <w:rFonts w:hint="eastAsia" w:hAnsi="宋体" w:cs="宋体"/>
              </w:rPr>
            </w:pPr>
            <w:r>
              <w:rPr>
                <w:rFonts w:hint="eastAsia" w:hAnsi="宋体" w:cs="宋体"/>
                <w:color w:val="000000"/>
                <w:szCs w:val="21"/>
              </w:rPr>
              <w:t>2</w:t>
            </w:r>
          </w:p>
        </w:tc>
        <w:tc>
          <w:tcPr>
            <w:tcW w:w="1043" w:type="dxa"/>
          </w:tcPr>
          <w:p w14:paraId="63349D4F">
            <w:pPr>
              <w:pStyle w:val="5"/>
              <w:ind w:firstLine="0" w:firstLineChars="0"/>
              <w:rPr>
                <w:rFonts w:hint="eastAsia" w:hAnsi="宋体" w:cs="宋体"/>
              </w:rPr>
            </w:pPr>
          </w:p>
        </w:tc>
      </w:tr>
      <w:tr w14:paraId="279C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E90FC5C">
            <w:pPr>
              <w:pStyle w:val="5"/>
              <w:ind w:firstLine="0" w:firstLineChars="0"/>
              <w:jc w:val="center"/>
              <w:rPr>
                <w:rFonts w:hint="eastAsia" w:hAnsi="宋体" w:cs="宋体"/>
                <w:color w:val="000000"/>
                <w:szCs w:val="21"/>
              </w:rPr>
            </w:pPr>
            <w:r>
              <w:rPr>
                <w:rFonts w:hint="eastAsia" w:hAnsi="宋体" w:cs="宋体"/>
                <w:color w:val="000000"/>
                <w:szCs w:val="21"/>
              </w:rPr>
              <w:t>7</w:t>
            </w:r>
          </w:p>
        </w:tc>
        <w:tc>
          <w:tcPr>
            <w:tcW w:w="2049" w:type="dxa"/>
            <w:vAlign w:val="center"/>
          </w:tcPr>
          <w:p w14:paraId="1B2E49A3">
            <w:pPr>
              <w:pStyle w:val="5"/>
              <w:ind w:firstLine="0" w:firstLineChars="0"/>
              <w:jc w:val="center"/>
              <w:rPr>
                <w:rFonts w:hint="eastAsia" w:hAnsi="宋体" w:cs="宋体"/>
              </w:rPr>
            </w:pPr>
            <w:r>
              <w:rPr>
                <w:rFonts w:hint="eastAsia" w:hAnsi="宋体" w:cs="宋体"/>
                <w:color w:val="000000"/>
                <w:szCs w:val="21"/>
              </w:rPr>
              <w:t>10kV站用变柜</w:t>
            </w:r>
          </w:p>
        </w:tc>
        <w:tc>
          <w:tcPr>
            <w:tcW w:w="3088" w:type="dxa"/>
            <w:vAlign w:val="center"/>
          </w:tcPr>
          <w:p w14:paraId="59CBC190">
            <w:pPr>
              <w:pStyle w:val="5"/>
              <w:ind w:firstLine="0" w:firstLineChars="0"/>
              <w:rPr>
                <w:rFonts w:hint="eastAsia" w:hAnsi="宋体" w:cs="宋体"/>
              </w:rPr>
            </w:pPr>
            <w:r>
              <w:rPr>
                <w:rFonts w:hint="eastAsia" w:hAnsi="宋体" w:cs="宋体"/>
                <w:color w:val="000000"/>
                <w:szCs w:val="21"/>
              </w:rPr>
              <w:t>KYN28A-12</w:t>
            </w:r>
            <w:r>
              <w:rPr>
                <w:rFonts w:hint="eastAsia" w:hAnsi="宋体" w:cs="宋体"/>
              </w:rPr>
              <w:t>真空断路器:630A-25kA</w:t>
            </w:r>
          </w:p>
        </w:tc>
        <w:tc>
          <w:tcPr>
            <w:tcW w:w="817" w:type="dxa"/>
            <w:vAlign w:val="center"/>
          </w:tcPr>
          <w:p w14:paraId="78CD98DC">
            <w:pPr>
              <w:pStyle w:val="5"/>
              <w:ind w:firstLine="0" w:firstLineChars="0"/>
              <w:jc w:val="center"/>
              <w:rPr>
                <w:rFonts w:hint="eastAsia" w:hAnsi="宋体" w:cs="宋体"/>
              </w:rPr>
            </w:pPr>
            <w:r>
              <w:rPr>
                <w:rFonts w:hint="eastAsia" w:hAnsi="宋体" w:cs="宋体"/>
                <w:color w:val="000000"/>
                <w:szCs w:val="21"/>
              </w:rPr>
              <w:t>面</w:t>
            </w:r>
          </w:p>
        </w:tc>
        <w:tc>
          <w:tcPr>
            <w:tcW w:w="850" w:type="dxa"/>
            <w:vAlign w:val="center"/>
          </w:tcPr>
          <w:p w14:paraId="026E312D">
            <w:pPr>
              <w:pStyle w:val="5"/>
              <w:ind w:firstLine="0" w:firstLineChars="0"/>
              <w:jc w:val="center"/>
              <w:rPr>
                <w:rFonts w:hint="eastAsia" w:hAnsi="宋体" w:cs="宋体"/>
              </w:rPr>
            </w:pPr>
            <w:r>
              <w:rPr>
                <w:rFonts w:hint="eastAsia" w:hAnsi="宋体" w:cs="宋体"/>
                <w:color w:val="000000"/>
                <w:szCs w:val="21"/>
              </w:rPr>
              <w:t>1</w:t>
            </w:r>
          </w:p>
        </w:tc>
        <w:tc>
          <w:tcPr>
            <w:tcW w:w="1043" w:type="dxa"/>
          </w:tcPr>
          <w:p w14:paraId="58614B8F">
            <w:pPr>
              <w:pStyle w:val="5"/>
              <w:ind w:firstLine="0" w:firstLineChars="0"/>
              <w:rPr>
                <w:rFonts w:hint="eastAsia" w:hAnsi="宋体" w:cs="宋体"/>
              </w:rPr>
            </w:pPr>
          </w:p>
        </w:tc>
      </w:tr>
      <w:tr w14:paraId="3C23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EC00FF5">
            <w:pPr>
              <w:pStyle w:val="5"/>
              <w:ind w:firstLine="0" w:firstLineChars="0"/>
              <w:jc w:val="center"/>
              <w:rPr>
                <w:rFonts w:hint="eastAsia" w:hAnsi="宋体" w:cs="宋体"/>
                <w:color w:val="000000"/>
                <w:szCs w:val="21"/>
              </w:rPr>
            </w:pPr>
            <w:r>
              <w:rPr>
                <w:rFonts w:hint="eastAsia" w:hAnsi="宋体" w:cs="宋体"/>
                <w:color w:val="000000"/>
                <w:szCs w:val="21"/>
              </w:rPr>
              <w:t>8</w:t>
            </w:r>
          </w:p>
        </w:tc>
        <w:tc>
          <w:tcPr>
            <w:tcW w:w="2049" w:type="dxa"/>
            <w:vAlign w:val="center"/>
          </w:tcPr>
          <w:p w14:paraId="6931087C">
            <w:pPr>
              <w:pStyle w:val="5"/>
              <w:ind w:firstLine="0" w:firstLineChars="0"/>
              <w:jc w:val="center"/>
              <w:rPr>
                <w:rFonts w:hint="eastAsia" w:hAnsi="宋体" w:cs="宋体"/>
              </w:rPr>
            </w:pPr>
            <w:r>
              <w:rPr>
                <w:rFonts w:hint="eastAsia" w:hAnsi="宋体" w:cs="宋体"/>
                <w:color w:val="000000"/>
                <w:szCs w:val="21"/>
              </w:rPr>
              <w:t>10kV电源进线柜（接入中心变）</w:t>
            </w:r>
          </w:p>
        </w:tc>
        <w:tc>
          <w:tcPr>
            <w:tcW w:w="3088" w:type="dxa"/>
            <w:vAlign w:val="center"/>
          </w:tcPr>
          <w:p w14:paraId="191F7F20">
            <w:pPr>
              <w:pStyle w:val="5"/>
              <w:ind w:firstLine="0" w:firstLineChars="0"/>
              <w:rPr>
                <w:rFonts w:hint="eastAsia" w:hAnsi="宋体" w:cs="宋体"/>
              </w:rPr>
            </w:pPr>
            <w:r>
              <w:rPr>
                <w:rFonts w:hint="eastAsia" w:hAnsi="宋体" w:cs="宋体"/>
                <w:color w:val="000000"/>
                <w:szCs w:val="21"/>
              </w:rPr>
              <w:t>KYN28A-12,真空断路器:630A-25kA，含方向过流保护测控装置等</w:t>
            </w:r>
          </w:p>
        </w:tc>
        <w:tc>
          <w:tcPr>
            <w:tcW w:w="817" w:type="dxa"/>
            <w:vAlign w:val="center"/>
          </w:tcPr>
          <w:p w14:paraId="685CAEB0">
            <w:pPr>
              <w:pStyle w:val="5"/>
              <w:ind w:firstLine="0" w:firstLineChars="0"/>
              <w:jc w:val="center"/>
              <w:rPr>
                <w:rFonts w:hint="eastAsia" w:hAnsi="宋体" w:cs="宋体"/>
              </w:rPr>
            </w:pPr>
            <w:r>
              <w:rPr>
                <w:rFonts w:hint="eastAsia" w:hAnsi="宋体" w:cs="宋体"/>
                <w:color w:val="000000"/>
                <w:szCs w:val="21"/>
              </w:rPr>
              <w:t>面</w:t>
            </w:r>
          </w:p>
        </w:tc>
        <w:tc>
          <w:tcPr>
            <w:tcW w:w="850" w:type="dxa"/>
            <w:vAlign w:val="center"/>
          </w:tcPr>
          <w:p w14:paraId="46A67B64">
            <w:pPr>
              <w:pStyle w:val="5"/>
              <w:ind w:firstLine="0" w:firstLineChars="0"/>
              <w:jc w:val="center"/>
              <w:rPr>
                <w:rFonts w:hint="eastAsia" w:hAnsi="宋体" w:cs="宋体"/>
              </w:rPr>
            </w:pPr>
            <w:r>
              <w:rPr>
                <w:rFonts w:hint="eastAsia" w:hAnsi="宋体" w:cs="宋体"/>
                <w:color w:val="000000"/>
                <w:szCs w:val="21"/>
              </w:rPr>
              <w:t>2</w:t>
            </w:r>
          </w:p>
        </w:tc>
        <w:tc>
          <w:tcPr>
            <w:tcW w:w="1043" w:type="dxa"/>
            <w:vAlign w:val="center"/>
          </w:tcPr>
          <w:p w14:paraId="7BD882EA">
            <w:pPr>
              <w:pStyle w:val="5"/>
              <w:ind w:firstLine="0" w:firstLineChars="0"/>
              <w:rPr>
                <w:rFonts w:hint="eastAsia" w:hAnsi="宋体" w:cs="宋体"/>
              </w:rPr>
            </w:pPr>
          </w:p>
        </w:tc>
      </w:tr>
      <w:tr w14:paraId="27A5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2FA71EB">
            <w:pPr>
              <w:pStyle w:val="5"/>
              <w:ind w:firstLine="0" w:firstLineChars="0"/>
              <w:jc w:val="center"/>
              <w:rPr>
                <w:rFonts w:hint="eastAsia" w:hAnsi="宋体" w:cs="宋体"/>
                <w:color w:val="000000"/>
                <w:szCs w:val="21"/>
              </w:rPr>
            </w:pPr>
            <w:r>
              <w:rPr>
                <w:rFonts w:hint="eastAsia" w:hAnsi="宋体" w:cs="宋体"/>
                <w:color w:val="000000"/>
                <w:szCs w:val="21"/>
              </w:rPr>
              <w:t>9</w:t>
            </w:r>
          </w:p>
        </w:tc>
        <w:tc>
          <w:tcPr>
            <w:tcW w:w="2049" w:type="dxa"/>
            <w:vAlign w:val="center"/>
          </w:tcPr>
          <w:p w14:paraId="4CF1075B">
            <w:pPr>
              <w:pStyle w:val="5"/>
              <w:ind w:firstLine="0" w:firstLineChars="0"/>
              <w:jc w:val="center"/>
              <w:rPr>
                <w:rFonts w:hint="eastAsia" w:hAnsi="宋体" w:cs="宋体"/>
              </w:rPr>
            </w:pPr>
            <w:r>
              <w:rPr>
                <w:rFonts w:hint="eastAsia" w:hAnsi="宋体" w:cs="宋体"/>
                <w:color w:val="000000"/>
                <w:szCs w:val="21"/>
              </w:rPr>
              <w:t>10kV计量柜</w:t>
            </w:r>
          </w:p>
        </w:tc>
        <w:tc>
          <w:tcPr>
            <w:tcW w:w="3088" w:type="dxa"/>
            <w:vAlign w:val="center"/>
          </w:tcPr>
          <w:p w14:paraId="55B416BB">
            <w:pPr>
              <w:pStyle w:val="5"/>
              <w:ind w:firstLine="0" w:firstLineChars="0"/>
              <w:rPr>
                <w:rFonts w:hint="eastAsia" w:hAnsi="宋体" w:cs="宋体"/>
              </w:rPr>
            </w:pPr>
            <w:r>
              <w:rPr>
                <w:rFonts w:hint="eastAsia" w:hAnsi="宋体" w:cs="宋体"/>
                <w:color w:val="000000"/>
                <w:szCs w:val="21"/>
              </w:rPr>
              <w:t>KYN28A-12，含计量设备等</w:t>
            </w:r>
          </w:p>
        </w:tc>
        <w:tc>
          <w:tcPr>
            <w:tcW w:w="817" w:type="dxa"/>
            <w:vAlign w:val="center"/>
          </w:tcPr>
          <w:p w14:paraId="78D8FA9E">
            <w:pPr>
              <w:pStyle w:val="5"/>
              <w:ind w:firstLine="0" w:firstLineChars="0"/>
              <w:jc w:val="center"/>
              <w:rPr>
                <w:rFonts w:hint="eastAsia" w:hAnsi="宋体" w:cs="宋体"/>
              </w:rPr>
            </w:pPr>
            <w:r>
              <w:rPr>
                <w:rFonts w:hint="eastAsia" w:hAnsi="宋体" w:cs="宋体"/>
                <w:color w:val="000000"/>
                <w:szCs w:val="21"/>
              </w:rPr>
              <w:t>面</w:t>
            </w:r>
          </w:p>
        </w:tc>
        <w:tc>
          <w:tcPr>
            <w:tcW w:w="850" w:type="dxa"/>
            <w:vAlign w:val="center"/>
          </w:tcPr>
          <w:p w14:paraId="371374D0">
            <w:pPr>
              <w:pStyle w:val="5"/>
              <w:ind w:firstLine="0" w:firstLineChars="0"/>
              <w:jc w:val="center"/>
              <w:rPr>
                <w:rFonts w:hint="eastAsia" w:hAnsi="宋体" w:cs="宋体"/>
              </w:rPr>
            </w:pPr>
            <w:r>
              <w:rPr>
                <w:rFonts w:hint="eastAsia" w:hAnsi="宋体" w:cs="宋体"/>
                <w:color w:val="000000"/>
                <w:szCs w:val="21"/>
              </w:rPr>
              <w:t>2</w:t>
            </w:r>
          </w:p>
        </w:tc>
        <w:tc>
          <w:tcPr>
            <w:tcW w:w="1043" w:type="dxa"/>
            <w:vAlign w:val="center"/>
          </w:tcPr>
          <w:p w14:paraId="00751B52">
            <w:pPr>
              <w:pStyle w:val="5"/>
              <w:ind w:firstLine="0" w:firstLineChars="0"/>
              <w:rPr>
                <w:rFonts w:hint="eastAsia" w:hAnsi="宋体" w:cs="宋体"/>
              </w:rPr>
            </w:pPr>
          </w:p>
        </w:tc>
      </w:tr>
      <w:tr w14:paraId="3736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C86564E">
            <w:pPr>
              <w:pStyle w:val="5"/>
              <w:ind w:firstLine="0" w:firstLineChars="0"/>
              <w:jc w:val="center"/>
              <w:rPr>
                <w:rFonts w:hint="eastAsia" w:hAnsi="宋体" w:cs="宋体"/>
                <w:color w:val="000000"/>
                <w:szCs w:val="21"/>
              </w:rPr>
            </w:pPr>
            <w:r>
              <w:rPr>
                <w:rFonts w:hint="eastAsia" w:hAnsi="宋体" w:cs="宋体"/>
                <w:color w:val="000000"/>
                <w:szCs w:val="21"/>
              </w:rPr>
              <w:t>10</w:t>
            </w:r>
          </w:p>
        </w:tc>
        <w:tc>
          <w:tcPr>
            <w:tcW w:w="2049" w:type="dxa"/>
            <w:vAlign w:val="center"/>
          </w:tcPr>
          <w:p w14:paraId="68A9A7FE">
            <w:pPr>
              <w:pStyle w:val="5"/>
              <w:ind w:firstLine="0" w:firstLineChars="0"/>
              <w:jc w:val="center"/>
              <w:rPr>
                <w:rFonts w:hint="eastAsia" w:hAnsi="宋体" w:cs="宋体"/>
              </w:rPr>
            </w:pPr>
            <w:r>
              <w:rPr>
                <w:rFonts w:hint="eastAsia" w:hAnsi="宋体" w:cs="宋体"/>
                <w:color w:val="000000"/>
                <w:szCs w:val="21"/>
              </w:rPr>
              <w:t>10kV PT柜</w:t>
            </w:r>
          </w:p>
        </w:tc>
        <w:tc>
          <w:tcPr>
            <w:tcW w:w="3088" w:type="dxa"/>
            <w:vAlign w:val="center"/>
          </w:tcPr>
          <w:p w14:paraId="4F9E9F90">
            <w:pPr>
              <w:pStyle w:val="5"/>
              <w:ind w:firstLine="0" w:firstLineChars="0"/>
              <w:rPr>
                <w:rFonts w:hint="eastAsia" w:hAnsi="宋体" w:cs="宋体"/>
              </w:rPr>
            </w:pPr>
            <w:r>
              <w:rPr>
                <w:rFonts w:hint="eastAsia" w:hAnsi="宋体" w:cs="宋体"/>
                <w:color w:val="000000"/>
                <w:szCs w:val="21"/>
              </w:rPr>
              <w:t>KYN28A-12，PT柜，配一次消谐装置</w:t>
            </w:r>
          </w:p>
        </w:tc>
        <w:tc>
          <w:tcPr>
            <w:tcW w:w="817" w:type="dxa"/>
            <w:vAlign w:val="center"/>
          </w:tcPr>
          <w:p w14:paraId="135C4935">
            <w:pPr>
              <w:pStyle w:val="5"/>
              <w:ind w:firstLine="0" w:firstLineChars="0"/>
              <w:jc w:val="center"/>
              <w:rPr>
                <w:rFonts w:hint="eastAsia" w:hAnsi="宋体" w:cs="宋体"/>
              </w:rPr>
            </w:pPr>
            <w:r>
              <w:rPr>
                <w:rFonts w:hint="eastAsia" w:hAnsi="宋体" w:cs="宋体"/>
                <w:color w:val="000000"/>
                <w:szCs w:val="21"/>
              </w:rPr>
              <w:t>面</w:t>
            </w:r>
          </w:p>
        </w:tc>
        <w:tc>
          <w:tcPr>
            <w:tcW w:w="850" w:type="dxa"/>
            <w:vAlign w:val="center"/>
          </w:tcPr>
          <w:p w14:paraId="56712D53">
            <w:pPr>
              <w:pStyle w:val="5"/>
              <w:ind w:firstLine="0" w:firstLineChars="0"/>
              <w:jc w:val="center"/>
              <w:rPr>
                <w:rFonts w:hint="eastAsia" w:hAnsi="宋体" w:cs="宋体"/>
              </w:rPr>
            </w:pPr>
            <w:r>
              <w:rPr>
                <w:rFonts w:hint="eastAsia" w:hAnsi="宋体" w:cs="宋体"/>
                <w:color w:val="000000"/>
                <w:szCs w:val="21"/>
              </w:rPr>
              <w:t>2</w:t>
            </w:r>
          </w:p>
        </w:tc>
        <w:tc>
          <w:tcPr>
            <w:tcW w:w="1043" w:type="dxa"/>
            <w:vAlign w:val="center"/>
          </w:tcPr>
          <w:p w14:paraId="4EE4B666">
            <w:pPr>
              <w:pStyle w:val="5"/>
              <w:ind w:firstLine="0" w:firstLineChars="0"/>
              <w:rPr>
                <w:rFonts w:hint="eastAsia" w:hAnsi="宋体" w:cs="宋体"/>
              </w:rPr>
            </w:pPr>
          </w:p>
        </w:tc>
      </w:tr>
      <w:tr w14:paraId="07A6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66D2DFC">
            <w:pPr>
              <w:pStyle w:val="5"/>
              <w:ind w:firstLine="0" w:firstLineChars="0"/>
              <w:jc w:val="center"/>
              <w:rPr>
                <w:rFonts w:hint="eastAsia" w:hAnsi="宋体" w:cs="宋体"/>
                <w:color w:val="000000"/>
                <w:szCs w:val="21"/>
              </w:rPr>
            </w:pPr>
            <w:r>
              <w:rPr>
                <w:rFonts w:hint="eastAsia" w:hAnsi="宋体" w:cs="宋体"/>
                <w:color w:val="000000"/>
                <w:szCs w:val="21"/>
              </w:rPr>
              <w:t>11</w:t>
            </w:r>
          </w:p>
        </w:tc>
        <w:tc>
          <w:tcPr>
            <w:tcW w:w="2049" w:type="dxa"/>
            <w:vAlign w:val="center"/>
          </w:tcPr>
          <w:p w14:paraId="1589FF15">
            <w:pPr>
              <w:pStyle w:val="5"/>
              <w:ind w:firstLine="0" w:firstLineChars="0"/>
              <w:jc w:val="center"/>
              <w:rPr>
                <w:rFonts w:hint="eastAsia" w:hAnsi="宋体" w:cs="宋体"/>
              </w:rPr>
            </w:pPr>
            <w:r>
              <w:rPr>
                <w:rFonts w:hint="eastAsia" w:hAnsi="宋体" w:cs="宋体"/>
                <w:color w:val="000000"/>
                <w:szCs w:val="21"/>
              </w:rPr>
              <w:t>10kV充电箱变出线柜</w:t>
            </w:r>
          </w:p>
        </w:tc>
        <w:tc>
          <w:tcPr>
            <w:tcW w:w="3088" w:type="dxa"/>
            <w:vAlign w:val="center"/>
          </w:tcPr>
          <w:p w14:paraId="6A0B76A2">
            <w:pPr>
              <w:pStyle w:val="5"/>
              <w:ind w:firstLine="0" w:firstLineChars="0"/>
              <w:rPr>
                <w:rFonts w:hint="eastAsia" w:hAnsi="宋体" w:cs="宋体"/>
              </w:rPr>
            </w:pPr>
            <w:r>
              <w:rPr>
                <w:rFonts w:hint="eastAsia" w:hAnsi="宋体" w:cs="宋体"/>
                <w:color w:val="000000"/>
                <w:szCs w:val="21"/>
              </w:rPr>
              <w:t>KYN28A-12,真空断路器:630A-25kA，含过流保护测控装置等</w:t>
            </w:r>
          </w:p>
        </w:tc>
        <w:tc>
          <w:tcPr>
            <w:tcW w:w="817" w:type="dxa"/>
            <w:vAlign w:val="center"/>
          </w:tcPr>
          <w:p w14:paraId="54D312EC">
            <w:pPr>
              <w:pStyle w:val="5"/>
              <w:ind w:firstLine="0" w:firstLineChars="0"/>
              <w:jc w:val="center"/>
              <w:rPr>
                <w:rFonts w:hint="eastAsia" w:hAnsi="宋体" w:cs="宋体"/>
              </w:rPr>
            </w:pPr>
            <w:r>
              <w:rPr>
                <w:rFonts w:hint="eastAsia" w:hAnsi="宋体" w:cs="宋体"/>
                <w:color w:val="000000"/>
                <w:szCs w:val="21"/>
              </w:rPr>
              <w:t>面</w:t>
            </w:r>
          </w:p>
        </w:tc>
        <w:tc>
          <w:tcPr>
            <w:tcW w:w="850" w:type="dxa"/>
            <w:vAlign w:val="center"/>
          </w:tcPr>
          <w:p w14:paraId="4089BB0E">
            <w:pPr>
              <w:pStyle w:val="5"/>
              <w:ind w:firstLine="0" w:firstLineChars="0"/>
              <w:jc w:val="center"/>
              <w:rPr>
                <w:rFonts w:hint="eastAsia" w:hAnsi="宋体" w:cs="宋体"/>
              </w:rPr>
            </w:pPr>
            <w:r>
              <w:rPr>
                <w:rFonts w:hint="eastAsia" w:hAnsi="宋体" w:cs="宋体"/>
                <w:color w:val="000000"/>
                <w:szCs w:val="21"/>
              </w:rPr>
              <w:t>3</w:t>
            </w:r>
          </w:p>
        </w:tc>
        <w:tc>
          <w:tcPr>
            <w:tcW w:w="1043" w:type="dxa"/>
            <w:vAlign w:val="center"/>
          </w:tcPr>
          <w:p w14:paraId="7ED9E152">
            <w:pPr>
              <w:pStyle w:val="5"/>
              <w:ind w:firstLine="0" w:firstLineChars="0"/>
              <w:rPr>
                <w:rFonts w:hint="eastAsia" w:hAnsi="宋体" w:cs="宋体"/>
              </w:rPr>
            </w:pPr>
          </w:p>
        </w:tc>
      </w:tr>
      <w:tr w14:paraId="7D59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95299FC">
            <w:pPr>
              <w:pStyle w:val="5"/>
              <w:ind w:firstLine="0" w:firstLineChars="0"/>
              <w:jc w:val="center"/>
              <w:rPr>
                <w:rFonts w:hint="eastAsia" w:hAnsi="宋体" w:cs="宋体"/>
                <w:color w:val="000000"/>
                <w:szCs w:val="21"/>
              </w:rPr>
            </w:pPr>
            <w:r>
              <w:rPr>
                <w:rFonts w:hint="eastAsia" w:hAnsi="宋体" w:cs="宋体"/>
                <w:color w:val="000000"/>
                <w:szCs w:val="21"/>
              </w:rPr>
              <w:t>12</w:t>
            </w:r>
          </w:p>
        </w:tc>
        <w:tc>
          <w:tcPr>
            <w:tcW w:w="2049" w:type="dxa"/>
            <w:vAlign w:val="center"/>
          </w:tcPr>
          <w:p w14:paraId="40EA0B59">
            <w:pPr>
              <w:pStyle w:val="5"/>
              <w:ind w:firstLine="0" w:firstLineChars="0"/>
              <w:jc w:val="center"/>
              <w:rPr>
                <w:rFonts w:hint="eastAsia" w:hAnsi="宋体" w:cs="宋体"/>
              </w:rPr>
            </w:pPr>
            <w:r>
              <w:rPr>
                <w:rFonts w:hint="eastAsia" w:hAnsi="宋体" w:cs="宋体"/>
                <w:color w:val="000000"/>
                <w:szCs w:val="21"/>
              </w:rPr>
              <w:t>10kV用户箱变出线柜</w:t>
            </w:r>
          </w:p>
        </w:tc>
        <w:tc>
          <w:tcPr>
            <w:tcW w:w="3088" w:type="dxa"/>
            <w:vAlign w:val="center"/>
          </w:tcPr>
          <w:p w14:paraId="6DC23503">
            <w:pPr>
              <w:pStyle w:val="5"/>
              <w:ind w:firstLine="0" w:firstLineChars="0"/>
              <w:rPr>
                <w:rFonts w:hint="eastAsia" w:hAnsi="宋体" w:cs="宋体"/>
              </w:rPr>
            </w:pPr>
            <w:r>
              <w:rPr>
                <w:rFonts w:hint="eastAsia" w:hAnsi="宋体" w:cs="宋体"/>
                <w:color w:val="000000"/>
                <w:szCs w:val="21"/>
              </w:rPr>
              <w:t>KYN28A-12,真空断路器:630A-25kA，含过流保护测控装置等</w:t>
            </w:r>
          </w:p>
        </w:tc>
        <w:tc>
          <w:tcPr>
            <w:tcW w:w="817" w:type="dxa"/>
            <w:vAlign w:val="center"/>
          </w:tcPr>
          <w:p w14:paraId="4E78B291">
            <w:pPr>
              <w:pStyle w:val="5"/>
              <w:ind w:firstLine="0" w:firstLineChars="0"/>
              <w:jc w:val="center"/>
              <w:rPr>
                <w:rFonts w:hint="eastAsia" w:hAnsi="宋体" w:cs="宋体"/>
              </w:rPr>
            </w:pPr>
            <w:r>
              <w:rPr>
                <w:rFonts w:hint="eastAsia" w:hAnsi="宋体" w:cs="宋体"/>
                <w:color w:val="000000"/>
                <w:szCs w:val="21"/>
              </w:rPr>
              <w:t>面</w:t>
            </w:r>
          </w:p>
        </w:tc>
        <w:tc>
          <w:tcPr>
            <w:tcW w:w="850" w:type="dxa"/>
            <w:vAlign w:val="center"/>
          </w:tcPr>
          <w:p w14:paraId="076755E5">
            <w:pPr>
              <w:pStyle w:val="5"/>
              <w:ind w:firstLine="0" w:firstLineChars="0"/>
              <w:jc w:val="center"/>
              <w:rPr>
                <w:rFonts w:hint="eastAsia" w:hAnsi="宋体" w:cs="宋体"/>
              </w:rPr>
            </w:pPr>
            <w:r>
              <w:rPr>
                <w:rFonts w:hint="eastAsia" w:hAnsi="宋体" w:cs="宋体"/>
                <w:color w:val="000000"/>
                <w:szCs w:val="21"/>
              </w:rPr>
              <w:t>1</w:t>
            </w:r>
          </w:p>
        </w:tc>
        <w:tc>
          <w:tcPr>
            <w:tcW w:w="1043" w:type="dxa"/>
            <w:vAlign w:val="center"/>
          </w:tcPr>
          <w:p w14:paraId="2256F747">
            <w:pPr>
              <w:pStyle w:val="5"/>
              <w:ind w:firstLine="0" w:firstLineChars="0"/>
              <w:rPr>
                <w:rFonts w:hint="eastAsia" w:hAnsi="宋体" w:cs="宋体"/>
              </w:rPr>
            </w:pPr>
          </w:p>
        </w:tc>
      </w:tr>
      <w:tr w14:paraId="4333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FD65371">
            <w:pPr>
              <w:pStyle w:val="5"/>
              <w:ind w:firstLine="0" w:firstLineChars="0"/>
              <w:jc w:val="center"/>
              <w:rPr>
                <w:rFonts w:hint="eastAsia" w:hAnsi="宋体" w:cs="宋体"/>
                <w:color w:val="000000"/>
                <w:szCs w:val="21"/>
              </w:rPr>
            </w:pPr>
            <w:r>
              <w:rPr>
                <w:rFonts w:hint="eastAsia" w:hAnsi="宋体" w:cs="宋体"/>
                <w:color w:val="000000"/>
                <w:szCs w:val="21"/>
              </w:rPr>
              <w:t>13</w:t>
            </w:r>
          </w:p>
        </w:tc>
        <w:tc>
          <w:tcPr>
            <w:tcW w:w="2049" w:type="dxa"/>
            <w:vAlign w:val="center"/>
          </w:tcPr>
          <w:p w14:paraId="3C4BEF97">
            <w:pPr>
              <w:pStyle w:val="5"/>
              <w:ind w:firstLine="0" w:firstLineChars="0"/>
              <w:jc w:val="center"/>
              <w:rPr>
                <w:rFonts w:hint="eastAsia" w:hAnsi="宋体" w:cs="宋体"/>
                <w:color w:val="000000"/>
                <w:szCs w:val="21"/>
              </w:rPr>
            </w:pPr>
            <w:r>
              <w:rPr>
                <w:rFonts w:hint="eastAsia" w:hAnsi="宋体" w:cs="宋体"/>
                <w:color w:val="000000"/>
                <w:szCs w:val="21"/>
              </w:rPr>
              <w:t>原有配电柜改造</w:t>
            </w:r>
          </w:p>
        </w:tc>
        <w:tc>
          <w:tcPr>
            <w:tcW w:w="3088" w:type="dxa"/>
            <w:vAlign w:val="center"/>
          </w:tcPr>
          <w:p w14:paraId="48335004">
            <w:pPr>
              <w:pStyle w:val="5"/>
              <w:ind w:firstLine="0" w:firstLineChars="0"/>
              <w:jc w:val="center"/>
              <w:rPr>
                <w:rFonts w:hint="eastAsia" w:hAnsi="宋体" w:cs="宋体"/>
                <w:color w:val="000000"/>
                <w:szCs w:val="21"/>
              </w:rPr>
            </w:pPr>
          </w:p>
        </w:tc>
        <w:tc>
          <w:tcPr>
            <w:tcW w:w="817" w:type="dxa"/>
            <w:vAlign w:val="center"/>
          </w:tcPr>
          <w:p w14:paraId="73919353">
            <w:pPr>
              <w:pStyle w:val="5"/>
              <w:ind w:firstLine="0" w:firstLineChars="0"/>
              <w:jc w:val="center"/>
              <w:rPr>
                <w:rFonts w:hint="eastAsia" w:hAnsi="宋体" w:cs="宋体"/>
                <w:color w:val="000000"/>
                <w:szCs w:val="21"/>
              </w:rPr>
            </w:pPr>
            <w:r>
              <w:rPr>
                <w:rFonts w:hint="eastAsia" w:hAnsi="宋体" w:cs="宋体"/>
                <w:color w:val="000000"/>
                <w:szCs w:val="21"/>
              </w:rPr>
              <w:t>项</w:t>
            </w:r>
          </w:p>
        </w:tc>
        <w:tc>
          <w:tcPr>
            <w:tcW w:w="850" w:type="dxa"/>
            <w:vAlign w:val="center"/>
          </w:tcPr>
          <w:p w14:paraId="32CDCA3E">
            <w:pPr>
              <w:pStyle w:val="5"/>
              <w:ind w:firstLine="0" w:firstLineChars="0"/>
              <w:jc w:val="center"/>
              <w:rPr>
                <w:rFonts w:hint="eastAsia" w:hAnsi="宋体" w:cs="宋体"/>
                <w:color w:val="000000"/>
                <w:szCs w:val="21"/>
              </w:rPr>
            </w:pPr>
            <w:r>
              <w:rPr>
                <w:rFonts w:hint="eastAsia" w:hAnsi="宋体" w:cs="宋体"/>
                <w:color w:val="000000"/>
                <w:szCs w:val="21"/>
              </w:rPr>
              <w:t>1</w:t>
            </w:r>
          </w:p>
        </w:tc>
        <w:tc>
          <w:tcPr>
            <w:tcW w:w="1043" w:type="dxa"/>
            <w:vAlign w:val="center"/>
          </w:tcPr>
          <w:p w14:paraId="1BD4865D">
            <w:pPr>
              <w:pStyle w:val="5"/>
              <w:ind w:firstLine="0" w:firstLineChars="0"/>
              <w:jc w:val="center"/>
              <w:rPr>
                <w:rFonts w:hint="eastAsia" w:hAnsi="宋体" w:cs="宋体"/>
                <w:color w:val="000000"/>
                <w:szCs w:val="21"/>
              </w:rPr>
            </w:pPr>
          </w:p>
        </w:tc>
      </w:tr>
      <w:tr w14:paraId="3966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747B4E5">
            <w:pPr>
              <w:pStyle w:val="5"/>
              <w:ind w:firstLine="0" w:firstLineChars="0"/>
              <w:rPr>
                <w:rFonts w:hint="eastAsia" w:hAnsi="宋体" w:cs="宋体"/>
              </w:rPr>
            </w:pPr>
          </w:p>
        </w:tc>
        <w:tc>
          <w:tcPr>
            <w:tcW w:w="2049" w:type="dxa"/>
            <w:vAlign w:val="center"/>
          </w:tcPr>
          <w:p w14:paraId="04F3836C">
            <w:pPr>
              <w:pStyle w:val="5"/>
              <w:ind w:firstLine="0" w:firstLineChars="0"/>
              <w:rPr>
                <w:rFonts w:hint="eastAsia" w:hAnsi="宋体" w:cs="宋体"/>
              </w:rPr>
            </w:pPr>
          </w:p>
        </w:tc>
        <w:tc>
          <w:tcPr>
            <w:tcW w:w="3088" w:type="dxa"/>
            <w:vAlign w:val="center"/>
          </w:tcPr>
          <w:p w14:paraId="0D056BA1">
            <w:pPr>
              <w:pStyle w:val="5"/>
              <w:ind w:firstLine="0" w:firstLineChars="0"/>
              <w:rPr>
                <w:rFonts w:hint="eastAsia" w:hAnsi="宋体" w:cs="宋体"/>
              </w:rPr>
            </w:pPr>
          </w:p>
        </w:tc>
        <w:tc>
          <w:tcPr>
            <w:tcW w:w="817" w:type="dxa"/>
            <w:vAlign w:val="center"/>
          </w:tcPr>
          <w:p w14:paraId="23FEA51B">
            <w:pPr>
              <w:pStyle w:val="5"/>
              <w:ind w:firstLine="0" w:firstLineChars="0"/>
              <w:rPr>
                <w:rFonts w:hint="eastAsia" w:hAnsi="宋体" w:cs="宋体"/>
              </w:rPr>
            </w:pPr>
          </w:p>
        </w:tc>
        <w:tc>
          <w:tcPr>
            <w:tcW w:w="850" w:type="dxa"/>
            <w:vAlign w:val="center"/>
          </w:tcPr>
          <w:p w14:paraId="7B10B753">
            <w:pPr>
              <w:pStyle w:val="5"/>
              <w:ind w:firstLine="0" w:firstLineChars="0"/>
              <w:rPr>
                <w:rFonts w:hint="eastAsia" w:hAnsi="宋体" w:cs="宋体"/>
              </w:rPr>
            </w:pPr>
          </w:p>
        </w:tc>
        <w:tc>
          <w:tcPr>
            <w:tcW w:w="1043" w:type="dxa"/>
            <w:vAlign w:val="center"/>
          </w:tcPr>
          <w:p w14:paraId="4B55E609">
            <w:pPr>
              <w:pStyle w:val="5"/>
              <w:ind w:firstLine="0" w:firstLineChars="0"/>
              <w:rPr>
                <w:rFonts w:hint="eastAsia" w:hAnsi="宋体" w:cs="宋体"/>
              </w:rPr>
            </w:pPr>
          </w:p>
        </w:tc>
      </w:tr>
    </w:tbl>
    <w:p w14:paraId="356A2816">
      <w:pPr>
        <w:pStyle w:val="5"/>
        <w:ind w:firstLine="420"/>
        <w:rPr>
          <w:rFonts w:hint="eastAsia" w:hAnsi="宋体" w:cs="宋体"/>
        </w:rPr>
        <w:sectPr>
          <w:footerReference r:id="rId4" w:type="default"/>
          <w:pgSz w:w="11906" w:h="16838"/>
          <w:pgMar w:top="1157" w:right="1123" w:bottom="1157" w:left="1179" w:header="851" w:footer="992" w:gutter="0"/>
          <w:pgNumType w:start="1"/>
          <w:cols w:space="425" w:num="1"/>
          <w:docGrid w:type="lines" w:linePitch="312" w:charSpace="0"/>
        </w:sectPr>
      </w:pPr>
    </w:p>
    <w:p w14:paraId="4490ADFB">
      <w:pPr>
        <w:pStyle w:val="4"/>
        <w:adjustRightInd w:val="0"/>
        <w:snapToGrid w:val="0"/>
        <w:spacing w:before="156" w:after="156" w:line="360" w:lineRule="auto"/>
        <w:rPr>
          <w:rFonts w:hint="eastAsia" w:ascii="宋体" w:hAnsi="宋体" w:eastAsia="宋体" w:cs="宋体"/>
        </w:rPr>
      </w:pPr>
      <w:bookmarkStart w:id="37" w:name="_Toc219812975"/>
      <w:r>
        <w:rPr>
          <w:rFonts w:hint="eastAsia" w:ascii="宋体" w:hAnsi="宋体" w:eastAsia="宋体" w:cs="宋体"/>
          <w:color w:val="000000" w:themeColor="text1"/>
          <w14:textFill>
            <w14:solidFill>
              <w14:schemeClr w14:val="tx1"/>
            </w14:solidFill>
          </w14:textFill>
        </w:rPr>
        <w:t>招标主接线图</w:t>
      </w:r>
      <w:bookmarkEnd w:id="37"/>
    </w:p>
    <w:p w14:paraId="7D6F55CA">
      <w:pPr>
        <w:rPr>
          <w:rFonts w:hint="eastAsia" w:ascii="宋体" w:hAnsi="宋体" w:eastAsia="宋体" w:cs="宋体"/>
        </w:rPr>
      </w:pPr>
      <w:r>
        <w:rPr>
          <w:rFonts w:hint="eastAsia" w:ascii="宋体" w:hAnsi="宋体" w:eastAsia="宋体" w:cs="宋体"/>
        </w:rPr>
        <w:drawing>
          <wp:inline distT="0" distB="0" distL="114300" distR="114300">
            <wp:extent cx="8422640" cy="5157470"/>
            <wp:effectExtent l="0" t="0" r="5080" b="16510"/>
            <wp:docPr id="8" name="图片 8" descr="1778144572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78144572565"/>
                    <pic:cNvPicPr>
                      <a:picLocks noChangeAspect="1"/>
                    </pic:cNvPicPr>
                  </pic:nvPicPr>
                  <pic:blipFill>
                    <a:blip r:embed="rId9"/>
                    <a:stretch>
                      <a:fillRect/>
                    </a:stretch>
                  </pic:blipFill>
                  <pic:spPr>
                    <a:xfrm rot="16200000">
                      <a:off x="0" y="0"/>
                      <a:ext cx="8422640" cy="5157470"/>
                    </a:xfrm>
                    <a:prstGeom prst="rect">
                      <a:avLst/>
                    </a:prstGeom>
                  </pic:spPr>
                </pic:pic>
              </a:graphicData>
            </a:graphic>
          </wp:inline>
        </w:drawing>
      </w:r>
    </w:p>
    <w:p w14:paraId="333B1DE5">
      <w:pPr>
        <w:pStyle w:val="5"/>
        <w:ind w:firstLine="420"/>
        <w:rPr>
          <w:rFonts w:hint="eastAsia" w:hAnsi="宋体" w:cs="宋体"/>
        </w:rPr>
      </w:pPr>
      <w:r>
        <w:rPr>
          <w:rFonts w:hint="eastAsia" w:hAnsi="宋体" w:cs="宋体"/>
        </w:rPr>
        <w:drawing>
          <wp:inline distT="0" distB="0" distL="114300" distR="114300">
            <wp:extent cx="8822055" cy="5694045"/>
            <wp:effectExtent l="0" t="0" r="1905" b="17145"/>
            <wp:docPr id="9" name="图片 9" descr="1778144706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78144706674"/>
                    <pic:cNvPicPr>
                      <a:picLocks noChangeAspect="1"/>
                    </pic:cNvPicPr>
                  </pic:nvPicPr>
                  <pic:blipFill>
                    <a:blip r:embed="rId10"/>
                    <a:stretch>
                      <a:fillRect/>
                    </a:stretch>
                  </pic:blipFill>
                  <pic:spPr>
                    <a:xfrm rot="16200000">
                      <a:off x="0" y="0"/>
                      <a:ext cx="8822055" cy="5694045"/>
                    </a:xfrm>
                    <a:prstGeom prst="rect">
                      <a:avLst/>
                    </a:prstGeom>
                  </pic:spPr>
                </pic:pic>
              </a:graphicData>
            </a:graphic>
          </wp:inline>
        </w:drawing>
      </w:r>
    </w:p>
    <w:p w14:paraId="7DF6A93D">
      <w:pPr>
        <w:rPr>
          <w:rFonts w:hint="eastAsia"/>
          <w:sz w:val="28"/>
          <w:szCs w:val="28"/>
        </w:rPr>
      </w:pPr>
      <w:r>
        <w:rPr>
          <w:rFonts w:hint="eastAsia" w:ascii="黑体" w:hAnsi="宋体" w:eastAsia="黑体" w:cs="黑体"/>
          <w:b/>
          <w:spacing w:val="40"/>
          <w:sz w:val="28"/>
          <w:szCs w:val="28"/>
          <w:lang w:bidi="ar"/>
        </w:rPr>
        <w:t>光伏箱变</w:t>
      </w:r>
    </w:p>
    <w:p w14:paraId="7AC77B33">
      <w:pPr>
        <w:snapToGrid w:val="0"/>
        <w:spacing w:line="360" w:lineRule="auto"/>
        <w:rPr>
          <w:rFonts w:hint="eastAsia" w:ascii="宋体" w:hAnsi="宋体" w:eastAsia="宋体" w:cs="仿宋"/>
          <w:b/>
          <w:szCs w:val="21"/>
        </w:rPr>
      </w:pPr>
      <w:r>
        <w:rPr>
          <w:rFonts w:hint="eastAsia" w:ascii="宋体" w:hAnsi="宋体" w:eastAsia="宋体" w:cs="宋体"/>
          <w:b/>
          <w:szCs w:val="21"/>
          <w:lang w:bidi="ar"/>
        </w:rPr>
        <w:t>技术参数</w:t>
      </w:r>
    </w:p>
    <w:p w14:paraId="51CE3F0C">
      <w:pPr>
        <w:pStyle w:val="10"/>
        <w:widowControl/>
        <w:snapToGrid w:val="0"/>
        <w:spacing w:line="360" w:lineRule="auto"/>
        <w:ind w:firstLine="420" w:firstLineChars="200"/>
        <w:rPr>
          <w:rFonts w:hAnsi="宋体" w:cs="仿宋"/>
        </w:rPr>
      </w:pPr>
      <w:r>
        <w:rPr>
          <w:rFonts w:hAnsi="宋体" w:cs="宋体"/>
        </w:rPr>
        <w:t>为了使户外变压器安全可靠地运行和安装施工的简便，本电站选用具有运行可靠、操作方便的箱式变电站。光伏升压变压器选用环氧浇注式干式变压器。光伏升压变压器的电压等级为10.5±2×2.5%/0.8kV接线组别为Dy11。箱式变压器采用三相双绕组升压变压器，其操作部分在高压室进行。箱式变压器安装在独立基础上，高低压电缆均从箱式变电站基础的预留开孔，下进下出箱式变电站高低压室。充电桩降压变压器满足《电动汽车充电站设计标准》GB/T50966-2024。</w:t>
      </w:r>
    </w:p>
    <w:p w14:paraId="7055A25F">
      <w:pPr>
        <w:snapToGrid w:val="0"/>
        <w:spacing w:line="360" w:lineRule="auto"/>
        <w:rPr>
          <w:rFonts w:hint="eastAsia" w:ascii="宋体" w:hAnsi="宋体" w:eastAsia="宋体" w:cs="仿宋"/>
          <w:szCs w:val="21"/>
        </w:rPr>
      </w:pPr>
      <w:r>
        <w:rPr>
          <w:rFonts w:hint="eastAsia" w:ascii="宋体" w:hAnsi="宋体" w:eastAsia="宋体" w:cs="仿宋"/>
          <w:szCs w:val="21"/>
          <w:lang w:bidi="ar"/>
        </w:rPr>
        <w:t xml:space="preserve"> </w:t>
      </w:r>
    </w:p>
    <w:p w14:paraId="20430FBF">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 xml:space="preserve">①三相双绕组升压变压器，其主要参数如下； </w:t>
      </w:r>
    </w:p>
    <w:p w14:paraId="47BFE854">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型号：SCB14-***/10</w:t>
      </w:r>
    </w:p>
    <w:p w14:paraId="2840C578">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额定容量：</w:t>
      </w:r>
      <w:r>
        <w:rPr>
          <w:rFonts w:hint="eastAsia" w:ascii="宋体" w:hAnsi="宋体" w:eastAsia="宋体" w:cs="仿宋"/>
          <w:szCs w:val="21"/>
          <w:lang w:bidi="ar"/>
        </w:rPr>
        <w:t>100</w:t>
      </w:r>
      <w:r>
        <w:rPr>
          <w:rFonts w:hint="eastAsia" w:ascii="宋体" w:hAnsi="宋体" w:eastAsia="宋体" w:cs="宋体"/>
          <w:szCs w:val="21"/>
          <w:lang w:bidi="ar"/>
        </w:rPr>
        <w:t>0/</w:t>
      </w:r>
      <w:r>
        <w:rPr>
          <w:rFonts w:hint="eastAsia" w:ascii="宋体" w:hAnsi="宋体" w:eastAsia="宋体" w:cs="仿宋"/>
          <w:szCs w:val="21"/>
          <w:lang w:bidi="ar"/>
        </w:rPr>
        <w:t>20</w:t>
      </w:r>
      <w:r>
        <w:rPr>
          <w:rFonts w:hint="eastAsia" w:ascii="宋体" w:hAnsi="宋体" w:eastAsia="宋体" w:cs="宋体"/>
          <w:szCs w:val="21"/>
          <w:lang w:bidi="ar"/>
        </w:rPr>
        <w:t>00/2000kVA</w:t>
      </w:r>
    </w:p>
    <w:p w14:paraId="57E45619">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额定电压：10.5±2×2.5%/0.8kV</w:t>
      </w:r>
    </w:p>
    <w:p w14:paraId="6DC7DE30">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短路阻抗：6%</w:t>
      </w:r>
    </w:p>
    <w:p w14:paraId="27A3C0DD">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联接组标号：Dy11</w:t>
      </w:r>
    </w:p>
    <w:p w14:paraId="502AA7A4">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冷却方式：自冷式</w:t>
      </w:r>
    </w:p>
    <w:p w14:paraId="0F6E11C0">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绝缘等级：F级</w:t>
      </w:r>
    </w:p>
    <w:p w14:paraId="0CABBE0E">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②10kV断路器</w:t>
      </w:r>
    </w:p>
    <w:p w14:paraId="33A6E79E">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变压器高压开关采用负荷开关，负荷开关具备安全，可靠，具有国家权威机构出具的型式试验报告，便于运行、维护、检查、监视、检修和试验。负荷开关的位置指示装置明显，能正确指示出它的分、合闸状态。</w:t>
      </w:r>
    </w:p>
    <w:p w14:paraId="25106BA5">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额定电压</w:t>
      </w:r>
      <w:r>
        <w:rPr>
          <w:rFonts w:hint="eastAsia" w:ascii="宋体" w:hAnsi="宋体" w:eastAsia="宋体" w:cs="仿宋"/>
          <w:szCs w:val="21"/>
          <w:lang w:bidi="ar"/>
        </w:rPr>
        <w:t xml:space="preserve">                   </w:t>
      </w:r>
      <w:r>
        <w:rPr>
          <w:rFonts w:hint="eastAsia" w:ascii="宋体" w:hAnsi="宋体" w:eastAsia="宋体" w:cs="宋体"/>
          <w:szCs w:val="21"/>
          <w:lang w:bidi="ar"/>
        </w:rPr>
        <w:t>12kV</w:t>
      </w:r>
    </w:p>
    <w:p w14:paraId="01FE6B37">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额定电流</w:t>
      </w:r>
      <w:r>
        <w:rPr>
          <w:rFonts w:hint="eastAsia" w:ascii="宋体" w:hAnsi="宋体" w:eastAsia="宋体" w:cs="仿宋"/>
          <w:szCs w:val="21"/>
          <w:lang w:bidi="ar"/>
        </w:rPr>
        <w:t xml:space="preserve">                   </w:t>
      </w:r>
      <w:r>
        <w:rPr>
          <w:rFonts w:hint="eastAsia" w:ascii="宋体" w:hAnsi="宋体" w:eastAsia="宋体" w:cs="宋体"/>
          <w:szCs w:val="21"/>
          <w:lang w:bidi="ar"/>
        </w:rPr>
        <w:t>630A</w:t>
      </w:r>
    </w:p>
    <w:p w14:paraId="1863E165">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③10kV熔断器</w:t>
      </w:r>
    </w:p>
    <w:p w14:paraId="4ACA8CF3">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按变压器容量配熔断器，采用带温度限制器和撞击器系统的高压熔断器，撞击器可以直接分断负荷开关，需提供相关试验报告及相关资料，确保质量稳定可靠。熔断器应有良好的机械稳定性。应能方便快速更换熔件，当一台负荷开关换熔断器时不影响其它机组运行。</w:t>
      </w:r>
    </w:p>
    <w:p w14:paraId="578E2C07">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额定电压</w:t>
      </w:r>
      <w:r>
        <w:rPr>
          <w:rFonts w:hint="eastAsia" w:ascii="宋体" w:hAnsi="宋体" w:eastAsia="宋体" w:cs="仿宋"/>
          <w:szCs w:val="21"/>
          <w:lang w:bidi="ar"/>
        </w:rPr>
        <w:t xml:space="preserve">                    </w:t>
      </w:r>
      <w:r>
        <w:rPr>
          <w:rFonts w:hint="eastAsia" w:ascii="宋体" w:hAnsi="宋体" w:eastAsia="宋体" w:cs="宋体"/>
          <w:szCs w:val="21"/>
          <w:lang w:bidi="ar"/>
        </w:rPr>
        <w:t>12kV</w:t>
      </w:r>
    </w:p>
    <w:p w14:paraId="043BFC03">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额定电流</w:t>
      </w:r>
      <w:r>
        <w:rPr>
          <w:rFonts w:hint="eastAsia" w:ascii="宋体" w:hAnsi="宋体" w:eastAsia="宋体" w:cs="仿宋"/>
          <w:szCs w:val="21"/>
          <w:lang w:bidi="ar"/>
        </w:rPr>
        <w:t xml:space="preserve">                    </w:t>
      </w:r>
      <w:r>
        <w:rPr>
          <w:rFonts w:hint="eastAsia" w:ascii="宋体" w:hAnsi="宋体" w:eastAsia="宋体" w:cs="宋体"/>
          <w:szCs w:val="21"/>
          <w:lang w:bidi="ar"/>
        </w:rPr>
        <w:t>150A</w:t>
      </w:r>
    </w:p>
    <w:p w14:paraId="0C3FAF0C">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额定短路开断电流</w:t>
      </w:r>
      <w:r>
        <w:rPr>
          <w:rFonts w:hint="eastAsia" w:ascii="宋体" w:hAnsi="宋体" w:eastAsia="宋体" w:cs="仿宋"/>
          <w:szCs w:val="21"/>
          <w:lang w:bidi="ar"/>
        </w:rPr>
        <w:t xml:space="preserve">            </w:t>
      </w:r>
      <w:r>
        <w:rPr>
          <w:rFonts w:hint="eastAsia" w:ascii="宋体" w:hAnsi="宋体" w:eastAsia="宋体" w:cs="宋体"/>
          <w:szCs w:val="21"/>
          <w:lang w:bidi="ar"/>
        </w:rPr>
        <w:t>25kA</w:t>
      </w:r>
    </w:p>
    <w:p w14:paraId="022B1C6E">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④低压断路器</w:t>
      </w:r>
    </w:p>
    <w:p w14:paraId="4AEE5CDC">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箱式变电站低压侧装设空气断路器，空气断路器具有远方/就地操作功能；其主要参数如下：</w:t>
      </w:r>
    </w:p>
    <w:p w14:paraId="356D46E8">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额定电压：</w:t>
      </w:r>
      <w:r>
        <w:rPr>
          <w:rFonts w:hint="eastAsia" w:ascii="宋体" w:hAnsi="宋体" w:eastAsia="宋体" w:cs="仿宋"/>
          <w:szCs w:val="21"/>
          <w:lang w:bidi="ar"/>
        </w:rPr>
        <w:t xml:space="preserve">                  </w:t>
      </w:r>
      <w:r>
        <w:rPr>
          <w:rFonts w:hint="eastAsia" w:ascii="宋体" w:hAnsi="宋体" w:eastAsia="宋体" w:cs="宋体"/>
          <w:szCs w:val="21"/>
          <w:lang w:bidi="ar"/>
        </w:rPr>
        <w:t>0.8kVkV</w:t>
      </w:r>
    </w:p>
    <w:p w14:paraId="3C45FABD">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额定电流：</w:t>
      </w:r>
      <w:r>
        <w:rPr>
          <w:rFonts w:hint="eastAsia" w:ascii="宋体" w:hAnsi="宋体" w:eastAsia="宋体" w:cs="仿宋"/>
          <w:szCs w:val="21"/>
          <w:lang w:bidi="ar"/>
        </w:rPr>
        <w:t xml:space="preserve">                  </w:t>
      </w:r>
      <w:r>
        <w:rPr>
          <w:rFonts w:hint="eastAsia" w:ascii="宋体" w:hAnsi="宋体" w:eastAsia="宋体" w:cs="宋体"/>
          <w:szCs w:val="21"/>
          <w:lang w:bidi="ar"/>
        </w:rPr>
        <w:t>见供货范围</w:t>
      </w:r>
    </w:p>
    <w:p w14:paraId="63B0F0EF">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额定频率：</w:t>
      </w:r>
      <w:r>
        <w:rPr>
          <w:rFonts w:hint="eastAsia" w:ascii="宋体" w:hAnsi="宋体" w:eastAsia="宋体" w:cs="仿宋"/>
          <w:szCs w:val="21"/>
          <w:lang w:bidi="ar"/>
        </w:rPr>
        <w:t xml:space="preserve">                  </w:t>
      </w:r>
      <w:r>
        <w:rPr>
          <w:rFonts w:hint="eastAsia" w:ascii="宋体" w:hAnsi="宋体" w:eastAsia="宋体" w:cs="宋体"/>
          <w:szCs w:val="21"/>
          <w:lang w:bidi="ar"/>
        </w:rPr>
        <w:t>50Hz</w:t>
      </w:r>
    </w:p>
    <w:p w14:paraId="1617FD95">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极限分断能力：</w:t>
      </w:r>
      <w:r>
        <w:rPr>
          <w:rFonts w:hint="eastAsia" w:ascii="宋体" w:hAnsi="宋体" w:eastAsia="宋体" w:cs="仿宋"/>
          <w:szCs w:val="21"/>
          <w:lang w:bidi="ar"/>
        </w:rPr>
        <w:t xml:space="preserve">             </w:t>
      </w:r>
      <w:r>
        <w:rPr>
          <w:rFonts w:hint="eastAsia" w:ascii="宋体" w:hAnsi="宋体" w:eastAsia="宋体" w:cs="宋体"/>
          <w:szCs w:val="21"/>
          <w:lang w:bidi="ar"/>
        </w:rPr>
        <w:t>50kA</w:t>
      </w:r>
    </w:p>
    <w:p w14:paraId="3168012A">
      <w:pPr>
        <w:snapToGrid w:val="0"/>
        <w:spacing w:line="360" w:lineRule="auto"/>
        <w:rPr>
          <w:rFonts w:hint="eastAsia" w:ascii="宋体" w:hAnsi="宋体" w:eastAsia="宋体" w:cs="仿宋"/>
          <w:b/>
          <w:szCs w:val="21"/>
        </w:rPr>
      </w:pPr>
      <w:r>
        <w:rPr>
          <w:rFonts w:hint="eastAsia" w:ascii="宋体" w:hAnsi="宋体" w:eastAsia="宋体" w:cs="宋体"/>
          <w:b/>
          <w:szCs w:val="21"/>
          <w:lang w:bidi="ar"/>
        </w:rPr>
        <w:t>4、结构一般要求</w:t>
      </w:r>
    </w:p>
    <w:p w14:paraId="7E017F65">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投标人提供的箱式变电站应能方便、安全地进行运行监视和维护工作,并应具有较好的系列性和通用性。总体外观和色彩应与环境相协调。变电站应为全封闭、绝缘屏蔽结构,外部无需绝缘距离,以可靠保证人身安全。</w:t>
      </w:r>
    </w:p>
    <w:p w14:paraId="1A814F6A">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箱变高压开关隔离刀（高压电缆室）与灭弧室及熔断器分室放置。箱变内部的连接采用铜排连接，干变高低压进线采用铜排连接。</w:t>
      </w:r>
    </w:p>
    <w:p w14:paraId="6DD04396">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高压电缆接线排应能保证多根电缆方便连接。低压电缆接线排应能保证每相4根电缆的连接，且应采取措施避免由于电缆过多造成母排变形。</w:t>
      </w:r>
    </w:p>
    <w:p w14:paraId="69BDC687">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箱变绕组必须为铜质材料。</w:t>
      </w:r>
    </w:p>
    <w:p w14:paraId="30761EC2">
      <w:pPr>
        <w:snapToGrid w:val="0"/>
        <w:spacing w:line="360" w:lineRule="auto"/>
        <w:rPr>
          <w:rFonts w:hint="eastAsia" w:ascii="宋体" w:hAnsi="宋体" w:eastAsia="宋体" w:cs="仿宋"/>
          <w:szCs w:val="21"/>
        </w:rPr>
      </w:pPr>
      <w:r>
        <w:rPr>
          <w:rFonts w:hint="eastAsia" w:ascii="宋体" w:hAnsi="宋体" w:eastAsia="宋体" w:cs="宋体"/>
          <w:szCs w:val="21"/>
          <w:lang w:bidi="ar"/>
        </w:rPr>
        <w:t xml:space="preserve">4.1 箱体 </w:t>
      </w:r>
    </w:p>
    <w:p w14:paraId="3E86B9AA">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1）箱壳应采用外层冷轧钢板、内层复合板的多层结构，具有抗暴晒、不易导热、阻燃、抗风化腐蚀及抗机械冲击等特点。箱体金属框架均应有良好的接地，有接地端子，并标有接地符号。箱体金属结构应电气连通，具有电磁屏蔽能力。箱体材质及结构需保证在本工程条件下正常使用25年。</w:t>
      </w:r>
    </w:p>
    <w:p w14:paraId="518D89A5">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（2）箱体应有足够的机械强度,在起吊、运输和安装中不得变形或损伤。</w:t>
      </w:r>
    </w:p>
    <w:p w14:paraId="3DE66572">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（3）箱体不带操作走廊。</w:t>
      </w:r>
    </w:p>
    <w:p w14:paraId="4ACE8C79">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4）箱体上的所有的门应向外开,开启角度不小于105°,并设有定位装置。门应有缓冲的功能,并装有把手、暗闩和能防雨、防堵、防锈、有较好防盗功能的暗锁,铰链应采用内铰链。门的尺寸应与所装用的设备尺寸相配合。</w:t>
      </w:r>
    </w:p>
    <w:p w14:paraId="70EFD16D">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（5）箱体和箱柜的内外表面应平整、光洁;涂层脱落和磕碰损伤,涂料层应牢固均匀,无明显色差和反光，25年不褪色，不脱落，漆膜厚度应不小于15 μm。箱体的基座应高出地基300～600mm。</w:t>
      </w:r>
    </w:p>
    <w:p w14:paraId="3B4229C6">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（6）箱体内用于高压套管和低压套管的压接板及其紧固件应采用不锈钢件。</w:t>
      </w:r>
    </w:p>
    <w:p w14:paraId="74496F69">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（7）箱体应确保在正常环境温度下,所有电器设备的运行温度不超过其最高允许温度。</w:t>
      </w:r>
    </w:p>
    <w:p w14:paraId="40441138">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（8）箱体顶盖的倾斜度不应小于3°,并应装设防雨檐。</w:t>
      </w:r>
    </w:p>
    <w:p w14:paraId="0E5577C6">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（9）箱体基座和所有外露金属件均应进行防锈处理,并喷涂耐久的防护层。</w:t>
      </w:r>
    </w:p>
    <w:p w14:paraId="7FE0A604">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（10）箱体应有可靠的密封性能;门、窗和通风口应设防尘、防小动物进入和防渗漏雨水措施。箱体内壁和隔板用金属(或非金属)材料,其色彩应与内部电器设备颜色协调。</w:t>
      </w:r>
    </w:p>
    <w:p w14:paraId="684DE568">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（11）箱体顶部周圈设置避雷带，采用独立的接地导体引下与底座相连，引下线不少于两根。如壳体能够承受直击雷，并不影响设备正常运行，可不设置专用避雷带。</w:t>
      </w:r>
    </w:p>
    <w:p w14:paraId="0F66ADA9">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（12）箱体防护等级：≧IP55。</w:t>
      </w:r>
    </w:p>
    <w:p w14:paraId="7120EEEE">
      <w:pPr>
        <w:snapToGrid w:val="0"/>
        <w:spacing w:line="360" w:lineRule="auto"/>
        <w:rPr>
          <w:rFonts w:hint="eastAsia" w:ascii="宋体" w:hAnsi="宋体" w:eastAsia="宋体" w:cs="仿宋"/>
          <w:szCs w:val="21"/>
        </w:rPr>
      </w:pPr>
      <w:r>
        <w:rPr>
          <w:rFonts w:hint="eastAsia" w:ascii="宋体" w:hAnsi="宋体" w:eastAsia="宋体" w:cs="宋体"/>
          <w:szCs w:val="21"/>
          <w:lang w:bidi="ar"/>
        </w:rPr>
        <w:t>4.2 高压配电装置</w:t>
      </w:r>
    </w:p>
    <w:p w14:paraId="177B05B1">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（1）高压电器设备应设有电磁锁装置。</w:t>
      </w:r>
    </w:p>
    <w:p w14:paraId="65961A0F">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（2）高压室内所有电器元件安装位置应便于导线连接、操作和维修,其连线均有明显的相别标记。</w:t>
      </w:r>
    </w:p>
    <w:p w14:paraId="4A72AB95">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（3）高压室门的内侧应标出主回路线路图,同时应注明操作程序和注意事项。信号灯及仪表的装设位置应易于观察和安全地更换。</w:t>
      </w:r>
    </w:p>
    <w:p w14:paraId="2C2D4FD1">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（4）高压室应设置便于巡视的观察窗,并装有便于观察的高压带电显示器。</w:t>
      </w:r>
    </w:p>
    <w:p w14:paraId="615BD2D9">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（5）高、低压电器设备室均要求设置带电显示器及电磁锁。</w:t>
      </w:r>
    </w:p>
    <w:p w14:paraId="1AB4CB71">
      <w:pPr>
        <w:snapToGrid w:val="0"/>
        <w:spacing w:line="360" w:lineRule="auto"/>
        <w:rPr>
          <w:rFonts w:hint="eastAsia" w:ascii="宋体" w:hAnsi="宋体" w:eastAsia="宋体" w:cs="仿宋"/>
          <w:szCs w:val="21"/>
        </w:rPr>
      </w:pPr>
      <w:r>
        <w:rPr>
          <w:rFonts w:hint="eastAsia" w:ascii="宋体" w:hAnsi="宋体" w:eastAsia="宋体" w:cs="宋体"/>
          <w:szCs w:val="21"/>
          <w:lang w:bidi="ar"/>
        </w:rPr>
        <w:t>4.3 低压配电装置</w:t>
      </w:r>
    </w:p>
    <w:p w14:paraId="24ED6427">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（1）进线方式：电缆，设接线铜排，以便多根电缆接入。低压侧进线主电缆应位于箱变底部，电缆规格见一次接线原理图。</w:t>
      </w:r>
    </w:p>
    <w:p w14:paraId="4227E530">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（2）低压电器设备连线截面的选择和连接方式应满足载流量和短时耐受电流的要求。固定方式要满足峰值耐受电流的要求。连线均应有明显的相别标记。</w:t>
      </w:r>
    </w:p>
    <w:p w14:paraId="0F90450C">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（3）低压室门内侧应标出主回路的线路图。信号灯及仪表的装设位置应易于观察和安全地更换。低压零母线的截面应大于主母线截面的1/2,若主母线截面小于50mm²,则取相同截面。</w:t>
      </w:r>
    </w:p>
    <w:p w14:paraId="2CB59256">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（4）低压室内预留安装光伏区智能测控装置的空间。测控装置由箱变厂家采购，由箱变厂家进行安装配线，并保证能与变电站后台可靠通讯。</w:t>
      </w:r>
    </w:p>
    <w:p w14:paraId="4CBBB0D4">
      <w:pPr>
        <w:snapToGrid w:val="0"/>
        <w:spacing w:line="360" w:lineRule="auto"/>
        <w:rPr>
          <w:rFonts w:hint="eastAsia" w:ascii="宋体" w:hAnsi="宋体" w:eastAsia="宋体" w:cs="仿宋"/>
          <w:szCs w:val="21"/>
        </w:rPr>
      </w:pPr>
      <w:r>
        <w:rPr>
          <w:rFonts w:hint="eastAsia" w:ascii="宋体" w:hAnsi="宋体" w:eastAsia="宋体" w:cs="宋体"/>
          <w:szCs w:val="21"/>
          <w:lang w:bidi="ar"/>
        </w:rPr>
        <w:t>4.4 接地</w:t>
      </w:r>
    </w:p>
    <w:p w14:paraId="577B88B6">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（1） 变电站的箱体应设有专用的铜接地导体,其上设有不少于二个与接地网相连的固定端子,并应有明显的接地标志。接地端子所用螺栓应采用直径不小于M12的铜质螺栓。接地导体的电流密度,应不超过200A/mm²,其截面最小不得小于30mm²。</w:t>
      </w:r>
    </w:p>
    <w:p w14:paraId="393883D6">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2）变电站中各间隔的专用铜接地导体应相互联结,或通过专用的端子可靠地连接在一起。箱式变的金属骨架、高、低配电装置及变压器部分的金属支架均应有符合技术条件的接地端子，并与专用接地导体可靠地连接在一起。箱式变高、低压配电装置及变压器部分的专用接地导体应相互连接，否则应通过专用的端子可靠地连接在一起。变电站中所有高、低压电器设备的非带电金属裸露部分均应可靠接地,门和在正常运行条件下可抽出部分的接地应保证在打开和抽出位置时仍可靠接地。</w:t>
      </w:r>
    </w:p>
    <w:p w14:paraId="48267ACA">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（3）与接地回路相连的部分包括</w:t>
      </w:r>
    </w:p>
    <w:p w14:paraId="07416D41">
      <w:pPr>
        <w:snapToGrid w:val="0"/>
        <w:spacing w:line="360" w:lineRule="auto"/>
        <w:ind w:firstLine="420"/>
        <w:rPr>
          <w:rFonts w:hint="eastAsia" w:ascii="宋体" w:hAnsi="宋体" w:eastAsia="宋体" w:cs="仿宋"/>
          <w:szCs w:val="21"/>
        </w:rPr>
      </w:pPr>
      <w:r>
        <w:rPr>
          <w:rFonts w:hint="eastAsia" w:ascii="宋体" w:hAnsi="宋体" w:eastAsia="宋体" w:cs="仿宋"/>
          <w:szCs w:val="21"/>
          <w:lang w:bidi="ar"/>
        </w:rPr>
        <w:t xml:space="preserve">  </w:t>
      </w:r>
      <w:r>
        <w:rPr>
          <w:rFonts w:hint="eastAsia" w:ascii="宋体" w:hAnsi="宋体" w:eastAsia="宋体" w:cs="宋体"/>
          <w:szCs w:val="21"/>
          <w:lang w:bidi="ar"/>
        </w:rPr>
        <w:t>① 变电站的外壳</w:t>
      </w:r>
    </w:p>
    <w:p w14:paraId="7409103B">
      <w:pPr>
        <w:snapToGrid w:val="0"/>
        <w:spacing w:line="360" w:lineRule="auto"/>
        <w:ind w:firstLine="420"/>
        <w:rPr>
          <w:rFonts w:hint="eastAsia" w:ascii="宋体" w:hAnsi="宋体" w:eastAsia="宋体" w:cs="仿宋"/>
          <w:szCs w:val="21"/>
        </w:rPr>
      </w:pPr>
      <w:r>
        <w:rPr>
          <w:rFonts w:hint="eastAsia" w:ascii="宋体" w:hAnsi="宋体" w:eastAsia="宋体" w:cs="仿宋"/>
          <w:szCs w:val="21"/>
          <w:lang w:bidi="ar"/>
        </w:rPr>
        <w:t xml:space="preserve">  </w:t>
      </w:r>
      <w:r>
        <w:rPr>
          <w:rFonts w:hint="eastAsia" w:ascii="宋体" w:hAnsi="宋体" w:eastAsia="宋体" w:cs="宋体"/>
          <w:szCs w:val="21"/>
          <w:lang w:bidi="ar"/>
        </w:rPr>
        <w:t>② 高压电器设备的柜体或框架</w:t>
      </w:r>
    </w:p>
    <w:p w14:paraId="1AC09B6D">
      <w:pPr>
        <w:snapToGrid w:val="0"/>
        <w:spacing w:line="360" w:lineRule="auto"/>
        <w:ind w:firstLine="420"/>
        <w:rPr>
          <w:rFonts w:hint="eastAsia" w:ascii="宋体" w:hAnsi="宋体" w:eastAsia="宋体" w:cs="仿宋"/>
          <w:szCs w:val="21"/>
        </w:rPr>
      </w:pPr>
      <w:r>
        <w:rPr>
          <w:rFonts w:hint="eastAsia" w:ascii="宋体" w:hAnsi="宋体" w:eastAsia="宋体" w:cs="仿宋"/>
          <w:szCs w:val="21"/>
          <w:lang w:bidi="ar"/>
        </w:rPr>
        <w:t xml:space="preserve">  </w:t>
      </w:r>
      <w:r>
        <w:rPr>
          <w:rFonts w:hint="eastAsia" w:ascii="宋体" w:hAnsi="宋体" w:eastAsia="宋体" w:cs="宋体"/>
          <w:szCs w:val="21"/>
          <w:lang w:bidi="ar"/>
        </w:rPr>
        <w:t>③ 高压金属屏蔽和高压电缆的接地导体</w:t>
      </w:r>
    </w:p>
    <w:p w14:paraId="6A175EF7">
      <w:pPr>
        <w:snapToGrid w:val="0"/>
        <w:spacing w:line="360" w:lineRule="auto"/>
        <w:ind w:firstLine="420"/>
        <w:rPr>
          <w:rFonts w:hint="eastAsia" w:ascii="宋体" w:hAnsi="宋体" w:eastAsia="宋体" w:cs="仿宋"/>
          <w:szCs w:val="21"/>
        </w:rPr>
      </w:pPr>
      <w:r>
        <w:rPr>
          <w:rFonts w:hint="eastAsia" w:ascii="宋体" w:hAnsi="宋体" w:eastAsia="宋体" w:cs="仿宋"/>
          <w:szCs w:val="21"/>
          <w:lang w:bidi="ar"/>
        </w:rPr>
        <w:t xml:space="preserve">  </w:t>
      </w:r>
      <w:r>
        <w:rPr>
          <w:rFonts w:hint="eastAsia" w:ascii="宋体" w:hAnsi="宋体" w:eastAsia="宋体" w:cs="宋体"/>
          <w:szCs w:val="21"/>
          <w:lang w:bidi="ar"/>
        </w:rPr>
        <w:t>④ 变压器的壳体</w:t>
      </w:r>
    </w:p>
    <w:p w14:paraId="1DA316AE">
      <w:pPr>
        <w:snapToGrid w:val="0"/>
        <w:spacing w:line="360" w:lineRule="auto"/>
        <w:ind w:firstLine="420"/>
        <w:rPr>
          <w:rFonts w:hint="eastAsia" w:ascii="宋体" w:hAnsi="宋体" w:eastAsia="宋体" w:cs="仿宋"/>
          <w:szCs w:val="21"/>
        </w:rPr>
      </w:pPr>
      <w:r>
        <w:rPr>
          <w:rFonts w:hint="eastAsia" w:ascii="宋体" w:hAnsi="宋体" w:eastAsia="宋体" w:cs="仿宋"/>
          <w:szCs w:val="21"/>
          <w:lang w:bidi="ar"/>
        </w:rPr>
        <w:t xml:space="preserve">  </w:t>
      </w:r>
      <w:r>
        <w:rPr>
          <w:rFonts w:hint="eastAsia" w:ascii="宋体" w:hAnsi="宋体" w:eastAsia="宋体" w:cs="宋体"/>
          <w:szCs w:val="21"/>
          <w:lang w:bidi="ar"/>
        </w:rPr>
        <w:t>⑤ 低压电器设备的框架</w:t>
      </w:r>
    </w:p>
    <w:p w14:paraId="14A9C8BC">
      <w:pPr>
        <w:snapToGrid w:val="0"/>
        <w:spacing w:line="360" w:lineRule="auto"/>
        <w:ind w:firstLine="420"/>
        <w:rPr>
          <w:rFonts w:hint="eastAsia" w:ascii="宋体" w:hAnsi="宋体" w:eastAsia="宋体" w:cs="仿宋"/>
          <w:szCs w:val="21"/>
        </w:rPr>
      </w:pPr>
      <w:r>
        <w:rPr>
          <w:rFonts w:hint="eastAsia" w:ascii="宋体" w:hAnsi="宋体" w:eastAsia="宋体" w:cs="仿宋"/>
          <w:szCs w:val="21"/>
          <w:lang w:bidi="ar"/>
        </w:rPr>
        <w:t xml:space="preserve">  </w:t>
      </w:r>
      <w:r>
        <w:rPr>
          <w:rFonts w:hint="eastAsia" w:ascii="宋体" w:hAnsi="宋体" w:eastAsia="宋体" w:cs="宋体"/>
          <w:szCs w:val="21"/>
          <w:lang w:bidi="ar"/>
        </w:rPr>
        <w:t>⑥自动控制和遥控设备的接地连线</w:t>
      </w:r>
    </w:p>
    <w:p w14:paraId="50869EA0">
      <w:pPr>
        <w:snapToGrid w:val="0"/>
        <w:spacing w:line="360" w:lineRule="auto"/>
        <w:rPr>
          <w:rFonts w:hint="eastAsia" w:ascii="宋体" w:hAnsi="宋体" w:eastAsia="宋体" w:cs="仿宋"/>
          <w:szCs w:val="21"/>
        </w:rPr>
      </w:pPr>
      <w:r>
        <w:rPr>
          <w:rFonts w:hint="eastAsia" w:ascii="宋体" w:hAnsi="宋体" w:eastAsia="宋体" w:cs="宋体"/>
          <w:szCs w:val="21"/>
          <w:lang w:bidi="ar"/>
        </w:rPr>
        <w:t>4.5 安装要求</w:t>
      </w:r>
    </w:p>
    <w:p w14:paraId="57804128">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供方在安装和启动时应提供安装指导服务,提出技术建议。供方应明确说明服务的范围,并应提供安装时所需全部特种材料。</w:t>
      </w:r>
    </w:p>
    <w:p w14:paraId="6E507DFC">
      <w:pPr>
        <w:snapToGrid w:val="0"/>
        <w:spacing w:line="360" w:lineRule="auto"/>
        <w:rPr>
          <w:rFonts w:hint="eastAsia" w:ascii="宋体" w:hAnsi="宋体" w:eastAsia="宋体" w:cs="仿宋"/>
          <w:szCs w:val="21"/>
        </w:rPr>
      </w:pPr>
      <w:r>
        <w:rPr>
          <w:rFonts w:hint="eastAsia" w:ascii="宋体" w:hAnsi="宋体" w:eastAsia="宋体" w:cs="宋体"/>
          <w:szCs w:val="21"/>
          <w:lang w:bidi="ar"/>
        </w:rPr>
        <w:t>4.6 箱式变的自用电</w:t>
      </w:r>
    </w:p>
    <w:p w14:paraId="20FE2050">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箱变内应配置照明、加热、除湿设备，同时提供检修用电源及插座。自用电回路应配置过电压保护装置。</w:t>
      </w:r>
    </w:p>
    <w:p w14:paraId="502A68F7">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（1）箱式变电站应配套一个小三相干式隔离变压器，D,Yn11接线方式，原边输入电压为800V；副边输出为380V，布置在箱式变电站内，提供箱式变电站的自用电及逆变器备用电源。</w:t>
      </w:r>
    </w:p>
    <w:p w14:paraId="0609A5A6">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（2）箱变配干变容量16kVA供应箱变自用电。</w:t>
      </w:r>
    </w:p>
    <w:p w14:paraId="3B248395">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（3）该干式变输入从箱变引电，在箱变内部应有控制该支路配电的断路器，该断路器额定电流按干式变容量进行选定；</w:t>
      </w:r>
    </w:p>
    <w:p w14:paraId="02D8C067">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（4）该干式变铁芯采用优质薄型矽钢片叠加；初、次级线包绕组均采用电解无氧铜电磁线；采用高强度绝缘漆真空浸漆。且应满足室外防护要求。</w:t>
      </w:r>
    </w:p>
    <w:p w14:paraId="5059D7A7">
      <w:pPr>
        <w:snapToGrid w:val="0"/>
        <w:spacing w:line="360" w:lineRule="auto"/>
        <w:rPr>
          <w:rFonts w:hint="eastAsia" w:ascii="宋体" w:hAnsi="宋体" w:eastAsia="宋体" w:cs="仿宋"/>
          <w:szCs w:val="21"/>
        </w:rPr>
      </w:pPr>
      <w:r>
        <w:rPr>
          <w:rFonts w:hint="eastAsia" w:ascii="宋体" w:hAnsi="宋体" w:eastAsia="宋体" w:cs="宋体"/>
          <w:szCs w:val="21"/>
          <w:lang w:bidi="ar"/>
        </w:rPr>
        <w:t>4.7 箱式变进出线方式</w:t>
      </w:r>
    </w:p>
    <w:p w14:paraId="21B31044">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箱式变电站进出线皆为电缆，进出线均位于箱变底部。接线端子的设计应充分考虑电缆进线的安装位置，确保连接可靠、安装方便。</w:t>
      </w:r>
    </w:p>
    <w:p w14:paraId="6D83CF13">
      <w:pPr>
        <w:snapToGrid w:val="0"/>
        <w:spacing w:line="360" w:lineRule="auto"/>
        <w:ind w:firstLine="420"/>
        <w:rPr>
          <w:rFonts w:hint="eastAsia" w:ascii="宋体" w:hAnsi="宋体" w:eastAsia="宋体" w:cs="仿宋"/>
          <w:szCs w:val="21"/>
        </w:rPr>
      </w:pPr>
      <w:r>
        <w:rPr>
          <w:rFonts w:hint="eastAsia" w:ascii="宋体" w:hAnsi="宋体" w:eastAsia="宋体" w:cs="宋体"/>
          <w:szCs w:val="21"/>
          <w:lang w:bidi="ar"/>
        </w:rPr>
        <w:t>箱变低压侧每台低压断路器应能连接至少四根三芯低压电缆。</w:t>
      </w:r>
    </w:p>
    <w:p w14:paraId="74AC0BF4">
      <w:pPr>
        <w:snapToGrid w:val="0"/>
        <w:spacing w:line="360" w:lineRule="auto"/>
        <w:rPr>
          <w:rFonts w:hint="eastAsia" w:ascii="宋体" w:hAnsi="宋体" w:eastAsia="宋体" w:cs="仿宋"/>
          <w:b/>
          <w:szCs w:val="21"/>
        </w:rPr>
      </w:pPr>
      <w:bookmarkStart w:id="38" w:name="_Toc394309939"/>
      <w:r>
        <w:rPr>
          <w:rFonts w:hint="eastAsia" w:ascii="宋体" w:hAnsi="宋体" w:eastAsia="宋体" w:cs="宋体"/>
          <w:b/>
          <w:szCs w:val="21"/>
          <w:lang w:bidi="ar"/>
        </w:rPr>
        <w:t>5  箱变电气二次及保护要求</w:t>
      </w:r>
      <w:bookmarkEnd w:id="38"/>
    </w:p>
    <w:p w14:paraId="075379D1">
      <w:pPr>
        <w:snapToGrid w:val="0"/>
        <w:spacing w:line="360" w:lineRule="auto"/>
        <w:rPr>
          <w:rFonts w:hint="eastAsia" w:ascii="宋体" w:hAnsi="宋体" w:eastAsia="宋体" w:cs="仿宋"/>
          <w:szCs w:val="21"/>
        </w:rPr>
      </w:pPr>
      <w:r>
        <w:rPr>
          <w:rFonts w:hint="eastAsia" w:ascii="宋体" w:hAnsi="宋体" w:eastAsia="宋体" w:cs="宋体"/>
          <w:szCs w:val="21"/>
          <w:lang w:bidi="ar"/>
        </w:rPr>
        <w:t>5.1 箱式变压器高压侧配置10kV负荷开关和熔断器，并配置微机保护，提供变压器过流、速断、过载、接地及短路保护。高压负荷开关与熔断器有联锁装置，单相熔断器熔断后三相联动跳高压负荷开关，10kV断路器跳闸，联跳低压侧断路器。负荷开关位置信号、熔断器, 高、低压侧保护动作信号、高、低压侧开关状态信号，高压柜工作电源消失信号等均另需能提供1对常开无源接点，并配线至箱变二次端子排供箱变智能监控单元用。</w:t>
      </w:r>
    </w:p>
    <w:p w14:paraId="2875093D">
      <w:pPr>
        <w:snapToGrid w:val="0"/>
        <w:spacing w:line="360" w:lineRule="auto"/>
        <w:rPr>
          <w:rFonts w:hint="eastAsia" w:ascii="宋体" w:hAnsi="宋体" w:eastAsia="宋体" w:cs="仿宋"/>
          <w:szCs w:val="21"/>
        </w:rPr>
      </w:pPr>
      <w:r>
        <w:rPr>
          <w:rFonts w:hint="eastAsia" w:ascii="宋体" w:hAnsi="宋体" w:eastAsia="宋体" w:cs="宋体"/>
          <w:szCs w:val="21"/>
          <w:lang w:bidi="ar"/>
        </w:rPr>
        <w:t>5.2 箱变低压侧装设断路器作为逆变器交流侧出口至箱变低压侧的线路保护。低压断路器配置外置式微机保护，可实现速断、过流、接地等保护功能。低压侧断路器位置信号、保护动作信号及低压柜工作电源消失信号等均另需能提供1对常开无源接点并配线至箱变二次端子排供箱变智能监控单元用。外置式微机保护具有故障录波功能，录波次数不小于8次。</w:t>
      </w:r>
    </w:p>
    <w:p w14:paraId="2CF0397C">
      <w:pPr>
        <w:snapToGrid w:val="0"/>
        <w:spacing w:line="360" w:lineRule="auto"/>
        <w:rPr>
          <w:rFonts w:hint="eastAsia" w:ascii="宋体" w:hAnsi="宋体" w:eastAsia="宋体" w:cs="仿宋"/>
          <w:szCs w:val="21"/>
        </w:rPr>
      </w:pPr>
      <w:r>
        <w:rPr>
          <w:rFonts w:hint="eastAsia" w:ascii="宋体" w:hAnsi="宋体" w:eastAsia="宋体" w:cs="宋体"/>
          <w:szCs w:val="21"/>
          <w:lang w:bidi="ar"/>
        </w:rPr>
        <w:t>5.3 箱变需具备接入逆变器跳10kV侧负荷开关、低压侧侧断路器遥控接点，箱变厂家两侧开关应配置相应回路，并配线至端子排上，以便实现电站监控系统的对箱变高低压侧开关的遥控功能。</w:t>
      </w:r>
    </w:p>
    <w:p w14:paraId="16DA1919">
      <w:pPr>
        <w:snapToGrid w:val="0"/>
        <w:spacing w:line="360" w:lineRule="auto"/>
        <w:rPr>
          <w:rFonts w:hint="eastAsia" w:ascii="宋体" w:hAnsi="宋体" w:eastAsia="宋体" w:cs="仿宋"/>
          <w:szCs w:val="21"/>
        </w:rPr>
      </w:pPr>
      <w:r>
        <w:rPr>
          <w:rFonts w:hint="eastAsia" w:ascii="宋体" w:hAnsi="宋体" w:eastAsia="宋体" w:cs="宋体"/>
          <w:szCs w:val="21"/>
          <w:lang w:bidi="ar"/>
        </w:rPr>
        <w:t>5.4 箱变具有缺相保护功能：即高压侧发生缺相运行故障时，低压侧断路器能自动跳开，从而使变压器得到保护。</w:t>
      </w:r>
    </w:p>
    <w:p w14:paraId="48019FC2">
      <w:pPr>
        <w:snapToGrid w:val="0"/>
        <w:spacing w:line="360" w:lineRule="auto"/>
        <w:rPr>
          <w:rFonts w:hint="eastAsia" w:ascii="宋体" w:hAnsi="宋体" w:eastAsia="宋体" w:cs="仿宋"/>
          <w:szCs w:val="21"/>
        </w:rPr>
      </w:pPr>
      <w:r>
        <w:rPr>
          <w:rFonts w:hint="eastAsia" w:ascii="宋体" w:hAnsi="宋体" w:eastAsia="宋体" w:cs="宋体"/>
          <w:szCs w:val="21"/>
          <w:lang w:bidi="ar"/>
        </w:rPr>
        <w:t>5.5 箱变应装设配套的温度变送器，采集箱变内测温信号，输出4～20mA温度变送信号，并将其输出接点配线至箱变端子箱二次端子排。箱变应装设配套的箱变智能控制系统，具备采集箱变内测温信号。</w:t>
      </w:r>
    </w:p>
    <w:p w14:paraId="015AC0DA">
      <w:pPr>
        <w:snapToGrid w:val="0"/>
        <w:spacing w:line="360" w:lineRule="auto"/>
        <w:rPr>
          <w:rFonts w:hint="eastAsia" w:ascii="宋体" w:hAnsi="宋体" w:eastAsia="宋体" w:cs="仿宋"/>
          <w:szCs w:val="21"/>
        </w:rPr>
      </w:pPr>
      <w:r>
        <w:rPr>
          <w:rFonts w:hint="eastAsia" w:ascii="宋体" w:hAnsi="宋体" w:eastAsia="宋体" w:cs="宋体"/>
          <w:szCs w:val="21"/>
          <w:lang w:bidi="ar"/>
        </w:rPr>
        <w:t>5.6 端子排由箱变厂家负责提供。端子排应保证有足够的绝缘水平（额定电压不小于800V），采用阻燃性型双通型端子，应至少有20%备用端子。</w:t>
      </w:r>
    </w:p>
    <w:p w14:paraId="11A529D7">
      <w:pPr>
        <w:snapToGrid w:val="0"/>
        <w:spacing w:line="360" w:lineRule="auto"/>
        <w:jc w:val="left"/>
        <w:rPr>
          <w:rFonts w:hint="eastAsia" w:ascii="宋体" w:hAnsi="宋体" w:eastAsia="宋体" w:cs="仿宋"/>
          <w:szCs w:val="21"/>
        </w:rPr>
      </w:pPr>
      <w:r>
        <w:rPr>
          <w:rFonts w:hint="eastAsia" w:ascii="宋体" w:hAnsi="宋体" w:eastAsia="宋体" w:cs="宋体"/>
          <w:szCs w:val="21"/>
          <w:lang w:bidi="ar"/>
        </w:rPr>
        <w:t>5.7 箱变高压侧隔离开关操作机构需配置五防电磁锁。</w:t>
      </w:r>
    </w:p>
    <w:p w14:paraId="0842CAE4">
      <w:pPr>
        <w:snapToGrid w:val="0"/>
        <w:spacing w:line="360" w:lineRule="auto"/>
        <w:jc w:val="left"/>
        <w:rPr>
          <w:rFonts w:hint="eastAsia" w:ascii="宋体" w:hAnsi="宋体" w:eastAsia="宋体" w:cs="仿宋"/>
          <w:szCs w:val="21"/>
        </w:rPr>
      </w:pPr>
      <w:r>
        <w:rPr>
          <w:rFonts w:hint="eastAsia" w:ascii="宋体" w:hAnsi="宋体" w:eastAsia="宋体" w:cs="宋体"/>
          <w:szCs w:val="21"/>
          <w:lang w:bidi="ar"/>
        </w:rPr>
        <w:t>5.8 箱变保护信号输出</w:t>
      </w:r>
    </w:p>
    <w:p w14:paraId="056E4B23">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变压器温度</w:t>
      </w:r>
      <w:r>
        <w:rPr>
          <w:rFonts w:hint="eastAsia" w:ascii="宋体" w:hAnsi="宋体" w:eastAsia="宋体" w:cs="仿宋"/>
          <w:szCs w:val="21"/>
          <w:lang w:bidi="ar"/>
        </w:rPr>
        <w:t xml:space="preserve"> </w:t>
      </w:r>
      <w:r>
        <w:rPr>
          <w:rFonts w:hint="eastAsia" w:ascii="宋体" w:hAnsi="宋体" w:eastAsia="宋体" w:cs="宋体"/>
          <w:szCs w:val="21"/>
          <w:lang w:bidi="ar"/>
        </w:rPr>
        <w:t>4-20mA信号       1个</w:t>
      </w:r>
    </w:p>
    <w:p w14:paraId="73451F51">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低压断路器位置信号</w:t>
      </w:r>
      <w:r>
        <w:rPr>
          <w:rFonts w:hint="eastAsia" w:ascii="宋体" w:hAnsi="宋体" w:eastAsia="宋体" w:cs="仿宋"/>
          <w:szCs w:val="21"/>
          <w:lang w:bidi="ar"/>
        </w:rPr>
        <w:t xml:space="preserve">           </w:t>
      </w:r>
      <w:r>
        <w:rPr>
          <w:rFonts w:hint="eastAsia" w:ascii="宋体" w:hAnsi="宋体" w:eastAsia="宋体" w:cs="宋体"/>
          <w:szCs w:val="21"/>
          <w:lang w:bidi="ar"/>
        </w:rPr>
        <w:t>1个</w:t>
      </w:r>
    </w:p>
    <w:p w14:paraId="3DCF6551">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低压断路器动作信号</w:t>
      </w:r>
      <w:r>
        <w:rPr>
          <w:rFonts w:hint="eastAsia" w:ascii="宋体" w:hAnsi="宋体" w:eastAsia="宋体" w:cs="仿宋"/>
          <w:szCs w:val="21"/>
          <w:lang w:bidi="ar"/>
        </w:rPr>
        <w:t xml:space="preserve">           </w:t>
      </w:r>
      <w:r>
        <w:rPr>
          <w:rFonts w:hint="eastAsia" w:ascii="宋体" w:hAnsi="宋体" w:eastAsia="宋体" w:cs="宋体"/>
          <w:szCs w:val="21"/>
          <w:lang w:bidi="ar"/>
        </w:rPr>
        <w:t>2个</w:t>
      </w:r>
    </w:p>
    <w:p w14:paraId="586EB276">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低压侧工作电源消失</w:t>
      </w:r>
      <w:r>
        <w:rPr>
          <w:rFonts w:hint="eastAsia" w:ascii="宋体" w:hAnsi="宋体" w:eastAsia="宋体" w:cs="仿宋"/>
          <w:szCs w:val="21"/>
          <w:lang w:bidi="ar"/>
        </w:rPr>
        <w:t xml:space="preserve">           </w:t>
      </w:r>
      <w:r>
        <w:rPr>
          <w:rFonts w:hint="eastAsia" w:ascii="宋体" w:hAnsi="宋体" w:eastAsia="宋体" w:cs="宋体"/>
          <w:szCs w:val="21"/>
          <w:lang w:bidi="ar"/>
        </w:rPr>
        <w:t>2个</w:t>
      </w:r>
    </w:p>
    <w:p w14:paraId="29C13122">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高压负荷开关位置信号</w:t>
      </w:r>
      <w:r>
        <w:rPr>
          <w:rFonts w:hint="eastAsia" w:ascii="宋体" w:hAnsi="宋体" w:eastAsia="宋体" w:cs="仿宋"/>
          <w:szCs w:val="21"/>
          <w:lang w:bidi="ar"/>
        </w:rPr>
        <w:t xml:space="preserve">         </w:t>
      </w:r>
      <w:r>
        <w:rPr>
          <w:rFonts w:hint="eastAsia" w:ascii="宋体" w:hAnsi="宋体" w:eastAsia="宋体" w:cs="宋体"/>
          <w:szCs w:val="21"/>
          <w:lang w:bidi="ar"/>
        </w:rPr>
        <w:t>1个</w:t>
      </w:r>
    </w:p>
    <w:p w14:paraId="7386BE24">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高压熔断器动作信号</w:t>
      </w:r>
      <w:r>
        <w:rPr>
          <w:rFonts w:hint="eastAsia" w:ascii="宋体" w:hAnsi="宋体" w:eastAsia="宋体" w:cs="仿宋"/>
          <w:szCs w:val="21"/>
          <w:lang w:bidi="ar"/>
        </w:rPr>
        <w:t xml:space="preserve">           </w:t>
      </w:r>
      <w:r>
        <w:rPr>
          <w:rFonts w:hint="eastAsia" w:ascii="宋体" w:hAnsi="宋体" w:eastAsia="宋体" w:cs="宋体"/>
          <w:szCs w:val="21"/>
          <w:lang w:bidi="ar"/>
        </w:rPr>
        <w:t>1个</w:t>
      </w:r>
    </w:p>
    <w:p w14:paraId="13394E49">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高压侧保护动作信号</w:t>
      </w:r>
      <w:r>
        <w:rPr>
          <w:rFonts w:hint="eastAsia" w:ascii="宋体" w:hAnsi="宋体" w:eastAsia="宋体" w:cs="仿宋"/>
          <w:szCs w:val="21"/>
          <w:lang w:bidi="ar"/>
        </w:rPr>
        <w:t xml:space="preserve">           </w:t>
      </w:r>
      <w:r>
        <w:rPr>
          <w:rFonts w:hint="eastAsia" w:ascii="宋体" w:hAnsi="宋体" w:eastAsia="宋体" w:cs="宋体"/>
          <w:szCs w:val="21"/>
          <w:lang w:bidi="ar"/>
        </w:rPr>
        <w:t>2个</w:t>
      </w:r>
    </w:p>
    <w:p w14:paraId="187D0CE1">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高压隔离开关位置信号</w:t>
      </w:r>
      <w:r>
        <w:rPr>
          <w:rFonts w:hint="eastAsia" w:ascii="宋体" w:hAnsi="宋体" w:eastAsia="宋体" w:cs="仿宋"/>
          <w:szCs w:val="21"/>
          <w:lang w:bidi="ar"/>
        </w:rPr>
        <w:t xml:space="preserve">         </w:t>
      </w:r>
      <w:r>
        <w:rPr>
          <w:rFonts w:hint="eastAsia" w:ascii="宋体" w:hAnsi="宋体" w:eastAsia="宋体" w:cs="宋体"/>
          <w:szCs w:val="21"/>
          <w:lang w:bidi="ar"/>
        </w:rPr>
        <w:t>1个</w:t>
      </w:r>
    </w:p>
    <w:p w14:paraId="1063DCB9">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高压侧工作电源消失</w:t>
      </w:r>
      <w:r>
        <w:rPr>
          <w:rFonts w:hint="eastAsia" w:ascii="宋体" w:hAnsi="宋体" w:eastAsia="宋体" w:cs="仿宋"/>
          <w:szCs w:val="21"/>
          <w:lang w:bidi="ar"/>
        </w:rPr>
        <w:t xml:space="preserve">           </w:t>
      </w:r>
      <w:r>
        <w:rPr>
          <w:rFonts w:hint="eastAsia" w:ascii="宋体" w:hAnsi="宋体" w:eastAsia="宋体" w:cs="宋体"/>
          <w:szCs w:val="21"/>
          <w:lang w:bidi="ar"/>
        </w:rPr>
        <w:t>1个</w:t>
      </w:r>
    </w:p>
    <w:p w14:paraId="62175589">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箱变门开报警信号</w:t>
      </w:r>
      <w:r>
        <w:rPr>
          <w:rFonts w:hint="eastAsia" w:ascii="宋体" w:hAnsi="宋体" w:eastAsia="宋体" w:cs="仿宋"/>
          <w:szCs w:val="21"/>
          <w:lang w:bidi="ar"/>
        </w:rPr>
        <w:t xml:space="preserve">             </w:t>
      </w:r>
      <w:r>
        <w:rPr>
          <w:rFonts w:hint="eastAsia" w:ascii="宋体" w:hAnsi="宋体" w:eastAsia="宋体" w:cs="宋体"/>
          <w:szCs w:val="21"/>
          <w:lang w:bidi="ar"/>
        </w:rPr>
        <w:t>2个</w:t>
      </w:r>
    </w:p>
    <w:p w14:paraId="343948AE">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低压侧断路器遥跳控制</w:t>
      </w:r>
      <w:r>
        <w:rPr>
          <w:rFonts w:hint="eastAsia" w:ascii="宋体" w:hAnsi="宋体" w:eastAsia="宋体" w:cs="仿宋"/>
          <w:szCs w:val="21"/>
          <w:lang w:bidi="ar"/>
        </w:rPr>
        <w:t xml:space="preserve">         </w:t>
      </w:r>
      <w:r>
        <w:rPr>
          <w:rFonts w:hint="eastAsia" w:ascii="宋体" w:hAnsi="宋体" w:eastAsia="宋体" w:cs="宋体"/>
          <w:szCs w:val="21"/>
          <w:lang w:bidi="ar"/>
        </w:rPr>
        <w:t>2个</w:t>
      </w:r>
    </w:p>
    <w:p w14:paraId="14A601DF">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高压侧负荷开关遥跳控制</w:t>
      </w:r>
      <w:r>
        <w:rPr>
          <w:rFonts w:hint="eastAsia" w:ascii="宋体" w:hAnsi="宋体" w:eastAsia="宋体" w:cs="仿宋"/>
          <w:szCs w:val="21"/>
          <w:lang w:bidi="ar"/>
        </w:rPr>
        <w:t xml:space="preserve">       </w:t>
      </w:r>
      <w:r>
        <w:rPr>
          <w:rFonts w:hint="eastAsia" w:ascii="宋体" w:hAnsi="宋体" w:eastAsia="宋体" w:cs="宋体"/>
          <w:szCs w:val="21"/>
          <w:lang w:bidi="ar"/>
        </w:rPr>
        <w:t>1个</w:t>
      </w:r>
    </w:p>
    <w:p w14:paraId="3FA28681">
      <w:pPr>
        <w:snapToGrid w:val="0"/>
        <w:spacing w:line="360" w:lineRule="auto"/>
        <w:jc w:val="left"/>
        <w:rPr>
          <w:rFonts w:hint="eastAsia" w:ascii="宋体" w:hAnsi="宋体" w:eastAsia="宋体" w:cs="仿宋"/>
          <w:szCs w:val="21"/>
        </w:rPr>
      </w:pPr>
      <w:r>
        <w:rPr>
          <w:rFonts w:hint="eastAsia" w:ascii="宋体" w:hAnsi="宋体" w:eastAsia="宋体" w:cs="宋体"/>
          <w:szCs w:val="21"/>
          <w:lang w:bidi="ar"/>
        </w:rPr>
        <w:t>5.9 电气二次主要设备</w:t>
      </w:r>
    </w:p>
    <w:p w14:paraId="590EC912">
      <w:pPr>
        <w:snapToGrid w:val="0"/>
        <w:spacing w:line="360" w:lineRule="auto"/>
        <w:jc w:val="center"/>
        <w:rPr>
          <w:rFonts w:hint="eastAsia" w:ascii="宋体" w:hAnsi="宋体" w:eastAsia="宋体" w:cs="仿宋"/>
          <w:szCs w:val="21"/>
        </w:rPr>
      </w:pPr>
      <w:r>
        <w:rPr>
          <w:rFonts w:hint="eastAsia" w:ascii="宋体" w:hAnsi="宋体" w:eastAsia="宋体" w:cs="宋体"/>
          <w:szCs w:val="21"/>
          <w:lang w:bidi="ar"/>
        </w:rPr>
        <w:t>电气二次主要设备一览表</w:t>
      </w:r>
    </w:p>
    <w:tbl>
      <w:tblPr>
        <w:tblStyle w:val="19"/>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134"/>
        <w:gridCol w:w="1134"/>
        <w:gridCol w:w="709"/>
        <w:gridCol w:w="709"/>
        <w:gridCol w:w="2551"/>
        <w:gridCol w:w="1276"/>
      </w:tblGrid>
      <w:tr w14:paraId="6133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274498F3">
            <w:pPr>
              <w:snapToGrid w:val="0"/>
              <w:spacing w:line="360" w:lineRule="auto"/>
              <w:jc w:val="center"/>
              <w:rPr>
                <w:rFonts w:hint="eastAsia" w:ascii="宋体" w:hAnsi="宋体" w:eastAsia="宋体" w:cs="仿宋"/>
                <w:b/>
                <w:szCs w:val="21"/>
              </w:rPr>
            </w:pPr>
            <w:r>
              <w:rPr>
                <w:rFonts w:hint="eastAsia" w:ascii="宋体" w:hAnsi="宋体" w:eastAsia="宋体" w:cs="宋体"/>
                <w:b/>
                <w:szCs w:val="21"/>
                <w:lang w:bidi="ar"/>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0DAC5ADA">
            <w:pPr>
              <w:snapToGrid w:val="0"/>
              <w:spacing w:line="360" w:lineRule="auto"/>
              <w:jc w:val="center"/>
              <w:rPr>
                <w:rFonts w:hint="eastAsia" w:ascii="宋体" w:hAnsi="宋体" w:eastAsia="宋体" w:cs="仿宋"/>
                <w:b/>
                <w:szCs w:val="21"/>
              </w:rPr>
            </w:pPr>
            <w:r>
              <w:rPr>
                <w:rFonts w:hint="eastAsia" w:ascii="宋体" w:hAnsi="宋体" w:eastAsia="宋体" w:cs="宋体"/>
                <w:b/>
                <w:szCs w:val="21"/>
                <w:lang w:bidi="ar"/>
              </w:rPr>
              <w:t>设备名称</w:t>
            </w:r>
          </w:p>
        </w:tc>
        <w:tc>
          <w:tcPr>
            <w:tcW w:w="1134" w:type="dxa"/>
            <w:tcBorders>
              <w:top w:val="single" w:color="auto" w:sz="4" w:space="0"/>
              <w:left w:val="single" w:color="auto" w:sz="4" w:space="0"/>
              <w:bottom w:val="single" w:color="auto" w:sz="4" w:space="0"/>
              <w:right w:val="single" w:color="auto" w:sz="4" w:space="0"/>
            </w:tcBorders>
            <w:vAlign w:val="center"/>
          </w:tcPr>
          <w:p w14:paraId="282615FE">
            <w:pPr>
              <w:snapToGrid w:val="0"/>
              <w:spacing w:line="360" w:lineRule="auto"/>
              <w:jc w:val="center"/>
              <w:rPr>
                <w:rFonts w:hint="eastAsia" w:ascii="宋体" w:hAnsi="宋体" w:eastAsia="宋体" w:cs="仿宋"/>
                <w:b/>
                <w:szCs w:val="21"/>
              </w:rPr>
            </w:pPr>
            <w:r>
              <w:rPr>
                <w:rFonts w:hint="eastAsia" w:ascii="宋体" w:hAnsi="宋体" w:eastAsia="宋体" w:cs="宋体"/>
                <w:b/>
                <w:szCs w:val="21"/>
                <w:lang w:bidi="ar"/>
              </w:rPr>
              <w:t>型号规格</w:t>
            </w:r>
          </w:p>
        </w:tc>
        <w:tc>
          <w:tcPr>
            <w:tcW w:w="1134" w:type="dxa"/>
            <w:tcBorders>
              <w:top w:val="single" w:color="auto" w:sz="4" w:space="0"/>
              <w:left w:val="single" w:color="auto" w:sz="4" w:space="0"/>
              <w:bottom w:val="single" w:color="auto" w:sz="4" w:space="0"/>
              <w:right w:val="single" w:color="auto" w:sz="4" w:space="0"/>
            </w:tcBorders>
            <w:vAlign w:val="center"/>
          </w:tcPr>
          <w:p w14:paraId="58267EF9">
            <w:pPr>
              <w:snapToGrid w:val="0"/>
              <w:spacing w:line="360" w:lineRule="auto"/>
              <w:jc w:val="center"/>
              <w:rPr>
                <w:rFonts w:hint="eastAsia" w:ascii="宋体" w:hAnsi="宋体" w:eastAsia="宋体" w:cs="仿宋"/>
                <w:b/>
                <w:szCs w:val="21"/>
              </w:rPr>
            </w:pPr>
            <w:r>
              <w:rPr>
                <w:rFonts w:hint="eastAsia" w:ascii="宋体" w:hAnsi="宋体" w:eastAsia="宋体" w:cs="宋体"/>
                <w:b/>
                <w:szCs w:val="21"/>
                <w:lang w:bidi="ar"/>
              </w:rPr>
              <w:t>生产厂家</w:t>
            </w:r>
          </w:p>
        </w:tc>
        <w:tc>
          <w:tcPr>
            <w:tcW w:w="709" w:type="dxa"/>
            <w:tcBorders>
              <w:top w:val="single" w:color="auto" w:sz="4" w:space="0"/>
              <w:left w:val="single" w:color="auto" w:sz="4" w:space="0"/>
              <w:bottom w:val="single" w:color="auto" w:sz="4" w:space="0"/>
              <w:right w:val="single" w:color="auto" w:sz="4" w:space="0"/>
            </w:tcBorders>
            <w:vAlign w:val="center"/>
          </w:tcPr>
          <w:p w14:paraId="57E1FE28">
            <w:pPr>
              <w:snapToGrid w:val="0"/>
              <w:spacing w:line="360" w:lineRule="auto"/>
              <w:jc w:val="center"/>
              <w:rPr>
                <w:rFonts w:hint="eastAsia" w:ascii="宋体" w:hAnsi="宋体" w:eastAsia="宋体" w:cs="仿宋"/>
                <w:b/>
                <w:szCs w:val="21"/>
              </w:rPr>
            </w:pPr>
            <w:r>
              <w:rPr>
                <w:rFonts w:hint="eastAsia" w:ascii="宋体" w:hAnsi="宋体" w:eastAsia="宋体" w:cs="宋体"/>
                <w:b/>
                <w:szCs w:val="21"/>
                <w:lang w:bidi="ar"/>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3E02D5C">
            <w:pPr>
              <w:snapToGrid w:val="0"/>
              <w:spacing w:line="360" w:lineRule="auto"/>
              <w:jc w:val="center"/>
              <w:rPr>
                <w:rFonts w:hint="eastAsia" w:ascii="宋体" w:hAnsi="宋体" w:eastAsia="宋体" w:cs="仿宋"/>
                <w:b/>
                <w:szCs w:val="21"/>
              </w:rPr>
            </w:pPr>
            <w:r>
              <w:rPr>
                <w:rFonts w:hint="eastAsia" w:ascii="宋体" w:hAnsi="宋体" w:eastAsia="宋体" w:cs="宋体"/>
                <w:b/>
                <w:szCs w:val="21"/>
                <w:lang w:bidi="ar"/>
              </w:rPr>
              <w:t>单位</w:t>
            </w:r>
          </w:p>
        </w:tc>
        <w:tc>
          <w:tcPr>
            <w:tcW w:w="2551" w:type="dxa"/>
            <w:tcBorders>
              <w:top w:val="single" w:color="auto" w:sz="4" w:space="0"/>
              <w:left w:val="single" w:color="auto" w:sz="4" w:space="0"/>
              <w:bottom w:val="single" w:color="auto" w:sz="4" w:space="0"/>
              <w:right w:val="single" w:color="auto" w:sz="4" w:space="0"/>
            </w:tcBorders>
            <w:vAlign w:val="center"/>
          </w:tcPr>
          <w:p w14:paraId="1A38DA52">
            <w:pPr>
              <w:snapToGrid w:val="0"/>
              <w:spacing w:line="360" w:lineRule="auto"/>
              <w:jc w:val="center"/>
              <w:rPr>
                <w:rFonts w:hint="eastAsia" w:ascii="宋体" w:hAnsi="宋体" w:eastAsia="宋体" w:cs="仿宋"/>
                <w:b/>
                <w:szCs w:val="21"/>
              </w:rPr>
            </w:pPr>
            <w:r>
              <w:rPr>
                <w:rFonts w:hint="eastAsia" w:ascii="宋体" w:hAnsi="宋体" w:eastAsia="宋体" w:cs="宋体"/>
                <w:b/>
                <w:szCs w:val="21"/>
                <w:lang w:bidi="ar"/>
              </w:rPr>
              <w:t>作用</w:t>
            </w:r>
          </w:p>
        </w:tc>
        <w:tc>
          <w:tcPr>
            <w:tcW w:w="1276" w:type="dxa"/>
            <w:tcBorders>
              <w:top w:val="single" w:color="auto" w:sz="4" w:space="0"/>
              <w:left w:val="single" w:color="auto" w:sz="4" w:space="0"/>
              <w:bottom w:val="single" w:color="auto" w:sz="4" w:space="0"/>
              <w:right w:val="single" w:color="auto" w:sz="4" w:space="0"/>
            </w:tcBorders>
            <w:vAlign w:val="center"/>
          </w:tcPr>
          <w:p w14:paraId="121C4299">
            <w:pPr>
              <w:snapToGrid w:val="0"/>
              <w:spacing w:line="360" w:lineRule="auto"/>
              <w:jc w:val="center"/>
              <w:rPr>
                <w:rFonts w:hint="eastAsia" w:ascii="宋体" w:hAnsi="宋体" w:eastAsia="宋体" w:cs="仿宋"/>
                <w:b/>
                <w:szCs w:val="21"/>
              </w:rPr>
            </w:pPr>
            <w:r>
              <w:rPr>
                <w:rFonts w:hint="eastAsia" w:ascii="宋体" w:hAnsi="宋体" w:eastAsia="宋体" w:cs="宋体"/>
                <w:b/>
                <w:szCs w:val="21"/>
                <w:lang w:bidi="ar"/>
              </w:rPr>
              <w:t>备注</w:t>
            </w:r>
          </w:p>
        </w:tc>
      </w:tr>
      <w:tr w14:paraId="392F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178D950F">
            <w:pPr>
              <w:snapToGrid w:val="0"/>
              <w:spacing w:line="360" w:lineRule="auto"/>
              <w:ind w:firstLine="210" w:firstLineChars="100"/>
              <w:rPr>
                <w:rFonts w:hint="eastAsia" w:ascii="宋体" w:hAnsi="宋体" w:eastAsia="宋体" w:cs="仿宋"/>
                <w:szCs w:val="21"/>
              </w:rPr>
            </w:pPr>
            <w:r>
              <w:rPr>
                <w:rFonts w:hint="eastAsia" w:ascii="宋体" w:hAnsi="宋体" w:eastAsia="宋体" w:cs="宋体"/>
                <w:szCs w:val="21"/>
                <w:lang w:bidi="ar"/>
              </w:rPr>
              <w:t>1</w:t>
            </w:r>
          </w:p>
        </w:tc>
        <w:tc>
          <w:tcPr>
            <w:tcW w:w="1134" w:type="dxa"/>
            <w:tcBorders>
              <w:top w:val="single" w:color="auto" w:sz="4" w:space="0"/>
              <w:left w:val="single" w:color="auto" w:sz="4" w:space="0"/>
              <w:bottom w:val="single" w:color="auto" w:sz="4" w:space="0"/>
              <w:right w:val="single" w:color="auto" w:sz="4" w:space="0"/>
            </w:tcBorders>
            <w:vAlign w:val="center"/>
          </w:tcPr>
          <w:p w14:paraId="2D9C1C3E">
            <w:pPr>
              <w:snapToGrid w:val="0"/>
              <w:rPr>
                <w:rFonts w:hint="eastAsia" w:ascii="宋体" w:hAnsi="宋体" w:eastAsia="宋体" w:cs="仿宋"/>
                <w:szCs w:val="21"/>
              </w:rPr>
            </w:pPr>
            <w:r>
              <w:rPr>
                <w:rFonts w:hint="eastAsia" w:ascii="宋体" w:hAnsi="宋体" w:eastAsia="宋体" w:cs="宋体"/>
                <w:szCs w:val="21"/>
                <w:lang w:bidi="ar"/>
              </w:rPr>
              <w:t>静止交流电度表</w:t>
            </w:r>
          </w:p>
        </w:tc>
        <w:tc>
          <w:tcPr>
            <w:tcW w:w="1134" w:type="dxa"/>
            <w:tcBorders>
              <w:top w:val="single" w:color="auto" w:sz="4" w:space="0"/>
              <w:left w:val="single" w:color="auto" w:sz="4" w:space="0"/>
              <w:bottom w:val="single" w:color="auto" w:sz="4" w:space="0"/>
              <w:right w:val="single" w:color="auto" w:sz="4" w:space="0"/>
            </w:tcBorders>
            <w:vAlign w:val="center"/>
          </w:tcPr>
          <w:p w14:paraId="58F44E6A">
            <w:pPr>
              <w:snapToGrid w:val="0"/>
              <w:spacing w:line="360" w:lineRule="auto"/>
              <w:ind w:firstLine="420"/>
              <w:jc w:val="center"/>
              <w:rPr>
                <w:rFonts w:hint="eastAsia" w:ascii="宋体" w:hAnsi="宋体" w:eastAsia="宋体" w:cs="仿宋"/>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F7114D2">
            <w:pPr>
              <w:snapToGrid w:val="0"/>
              <w:spacing w:line="360" w:lineRule="auto"/>
              <w:ind w:firstLine="420"/>
              <w:jc w:val="center"/>
              <w:rPr>
                <w:rFonts w:hint="eastAsia" w:ascii="宋体" w:hAnsi="宋体" w:eastAsia="宋体"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0388DBD">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3</w:t>
            </w:r>
          </w:p>
        </w:tc>
        <w:tc>
          <w:tcPr>
            <w:tcW w:w="709" w:type="dxa"/>
            <w:tcBorders>
              <w:top w:val="single" w:color="auto" w:sz="4" w:space="0"/>
              <w:left w:val="single" w:color="auto" w:sz="4" w:space="0"/>
              <w:bottom w:val="single" w:color="auto" w:sz="4" w:space="0"/>
              <w:right w:val="single" w:color="auto" w:sz="4" w:space="0"/>
            </w:tcBorders>
            <w:vAlign w:val="center"/>
          </w:tcPr>
          <w:p w14:paraId="34A25025">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只</w:t>
            </w:r>
          </w:p>
        </w:tc>
        <w:tc>
          <w:tcPr>
            <w:tcW w:w="2551" w:type="dxa"/>
            <w:tcBorders>
              <w:top w:val="single" w:color="auto" w:sz="4" w:space="0"/>
              <w:left w:val="single" w:color="auto" w:sz="4" w:space="0"/>
              <w:bottom w:val="single" w:color="auto" w:sz="4" w:space="0"/>
              <w:right w:val="single" w:color="auto" w:sz="4" w:space="0"/>
            </w:tcBorders>
            <w:vAlign w:val="center"/>
          </w:tcPr>
          <w:p w14:paraId="51E97607">
            <w:pPr>
              <w:snapToGrid w:val="0"/>
              <w:rPr>
                <w:rFonts w:hint="eastAsia" w:ascii="宋体" w:hAnsi="宋体" w:eastAsia="宋体" w:cs="仿宋"/>
                <w:szCs w:val="21"/>
              </w:rPr>
            </w:pPr>
            <w:r>
              <w:rPr>
                <w:rFonts w:hint="eastAsia" w:ascii="宋体" w:hAnsi="宋体" w:eastAsia="宋体" w:cs="宋体"/>
                <w:szCs w:val="21"/>
                <w:lang w:bidi="ar"/>
              </w:rPr>
              <w:t>箱变低压侧两分支、SVG计量用，标准通讯方式、规约上传。</w:t>
            </w:r>
          </w:p>
        </w:tc>
        <w:tc>
          <w:tcPr>
            <w:tcW w:w="1276" w:type="dxa"/>
            <w:tcBorders>
              <w:top w:val="single" w:color="auto" w:sz="4" w:space="0"/>
              <w:left w:val="single" w:color="auto" w:sz="4" w:space="0"/>
              <w:bottom w:val="single" w:color="auto" w:sz="4" w:space="0"/>
              <w:right w:val="single" w:color="auto" w:sz="4" w:space="0"/>
            </w:tcBorders>
            <w:vAlign w:val="center"/>
          </w:tcPr>
          <w:p w14:paraId="0461DB8A">
            <w:pPr>
              <w:snapToGrid w:val="0"/>
              <w:rPr>
                <w:rFonts w:hint="eastAsia" w:ascii="宋体" w:hAnsi="宋体" w:eastAsia="宋体" w:cs="仿宋"/>
                <w:szCs w:val="21"/>
              </w:rPr>
            </w:pPr>
            <w:r>
              <w:rPr>
                <w:rFonts w:hint="eastAsia" w:ascii="宋体" w:hAnsi="宋体" w:eastAsia="宋体" w:cs="宋体"/>
                <w:szCs w:val="21"/>
                <w:lang w:bidi="ar"/>
              </w:rPr>
              <w:t>精度0.2S级，按需配置。</w:t>
            </w:r>
          </w:p>
        </w:tc>
      </w:tr>
      <w:tr w14:paraId="6DB1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7EAFE808">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2</w:t>
            </w:r>
          </w:p>
        </w:tc>
        <w:tc>
          <w:tcPr>
            <w:tcW w:w="1134" w:type="dxa"/>
            <w:tcBorders>
              <w:top w:val="single" w:color="auto" w:sz="4" w:space="0"/>
              <w:left w:val="single" w:color="auto" w:sz="4" w:space="0"/>
              <w:bottom w:val="single" w:color="auto" w:sz="4" w:space="0"/>
              <w:right w:val="single" w:color="auto" w:sz="4" w:space="0"/>
            </w:tcBorders>
            <w:vAlign w:val="center"/>
          </w:tcPr>
          <w:p w14:paraId="3D65702B">
            <w:pPr>
              <w:snapToGrid w:val="0"/>
              <w:spacing w:line="360" w:lineRule="auto"/>
              <w:rPr>
                <w:rFonts w:hint="eastAsia" w:ascii="宋体" w:hAnsi="宋体" w:eastAsia="宋体" w:cs="仿宋"/>
                <w:szCs w:val="21"/>
              </w:rPr>
            </w:pPr>
            <w:r>
              <w:rPr>
                <w:rFonts w:hint="eastAsia" w:ascii="宋体" w:hAnsi="宋体" w:eastAsia="宋体" w:cs="宋体"/>
                <w:szCs w:val="21"/>
                <w:lang w:bidi="ar"/>
              </w:rPr>
              <w:t>测控装置</w:t>
            </w:r>
          </w:p>
        </w:tc>
        <w:tc>
          <w:tcPr>
            <w:tcW w:w="1134" w:type="dxa"/>
            <w:tcBorders>
              <w:top w:val="single" w:color="auto" w:sz="4" w:space="0"/>
              <w:left w:val="single" w:color="auto" w:sz="4" w:space="0"/>
              <w:bottom w:val="single" w:color="auto" w:sz="4" w:space="0"/>
              <w:right w:val="single" w:color="auto" w:sz="4" w:space="0"/>
            </w:tcBorders>
            <w:vAlign w:val="center"/>
          </w:tcPr>
          <w:p w14:paraId="778D05CC">
            <w:pPr>
              <w:snapToGrid w:val="0"/>
              <w:spacing w:line="360" w:lineRule="auto"/>
              <w:ind w:firstLine="420"/>
              <w:jc w:val="center"/>
              <w:rPr>
                <w:rFonts w:hint="eastAsia" w:ascii="宋体" w:hAnsi="宋体" w:eastAsia="宋体" w:cs="仿宋"/>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8245DB0">
            <w:pPr>
              <w:snapToGrid w:val="0"/>
              <w:spacing w:line="360" w:lineRule="auto"/>
              <w:ind w:firstLine="420"/>
              <w:jc w:val="center"/>
              <w:rPr>
                <w:rFonts w:hint="eastAsia" w:ascii="宋体" w:hAnsi="宋体" w:eastAsia="宋体"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62B2F70">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1</w:t>
            </w:r>
          </w:p>
        </w:tc>
        <w:tc>
          <w:tcPr>
            <w:tcW w:w="709" w:type="dxa"/>
            <w:tcBorders>
              <w:top w:val="single" w:color="auto" w:sz="4" w:space="0"/>
              <w:left w:val="single" w:color="auto" w:sz="4" w:space="0"/>
              <w:bottom w:val="single" w:color="auto" w:sz="4" w:space="0"/>
              <w:right w:val="single" w:color="auto" w:sz="4" w:space="0"/>
            </w:tcBorders>
            <w:vAlign w:val="center"/>
          </w:tcPr>
          <w:p w14:paraId="61C790F6">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套</w:t>
            </w:r>
          </w:p>
        </w:tc>
        <w:tc>
          <w:tcPr>
            <w:tcW w:w="2551" w:type="dxa"/>
            <w:tcBorders>
              <w:top w:val="single" w:color="auto" w:sz="4" w:space="0"/>
              <w:left w:val="single" w:color="auto" w:sz="4" w:space="0"/>
              <w:bottom w:val="single" w:color="auto" w:sz="4" w:space="0"/>
              <w:right w:val="single" w:color="auto" w:sz="4" w:space="0"/>
            </w:tcBorders>
            <w:vAlign w:val="center"/>
          </w:tcPr>
          <w:p w14:paraId="40110CD3">
            <w:pPr>
              <w:snapToGrid w:val="0"/>
              <w:rPr>
                <w:rFonts w:hint="eastAsia" w:ascii="宋体" w:hAnsi="宋体" w:eastAsia="宋体" w:cs="仿宋"/>
                <w:szCs w:val="21"/>
              </w:rPr>
            </w:pPr>
            <w:r>
              <w:rPr>
                <w:rFonts w:hint="eastAsia" w:ascii="宋体" w:hAnsi="宋体" w:eastAsia="宋体" w:cs="宋体"/>
                <w:szCs w:val="21"/>
                <w:lang w:bidi="ar"/>
              </w:rPr>
              <w:t>测量箱变低压侧的电压、电流、有功、无功等，以RS485通讯方式，标准规约上传</w:t>
            </w:r>
          </w:p>
        </w:tc>
        <w:tc>
          <w:tcPr>
            <w:tcW w:w="1276" w:type="dxa"/>
            <w:tcBorders>
              <w:top w:val="single" w:color="auto" w:sz="4" w:space="0"/>
              <w:left w:val="single" w:color="auto" w:sz="4" w:space="0"/>
              <w:bottom w:val="single" w:color="auto" w:sz="4" w:space="0"/>
              <w:right w:val="single" w:color="auto" w:sz="4" w:space="0"/>
            </w:tcBorders>
            <w:vAlign w:val="center"/>
          </w:tcPr>
          <w:p w14:paraId="6925E439">
            <w:pPr>
              <w:snapToGrid w:val="0"/>
              <w:spacing w:line="360" w:lineRule="auto"/>
              <w:rPr>
                <w:rFonts w:hint="eastAsia" w:ascii="宋体" w:hAnsi="宋体" w:eastAsia="宋体" w:cs="仿宋"/>
                <w:szCs w:val="21"/>
              </w:rPr>
            </w:pPr>
            <w:r>
              <w:rPr>
                <w:rFonts w:hint="eastAsia" w:ascii="宋体" w:hAnsi="宋体" w:eastAsia="宋体" w:cs="宋体"/>
                <w:szCs w:val="21"/>
                <w:lang w:bidi="ar"/>
              </w:rPr>
              <w:t>按需配置</w:t>
            </w:r>
          </w:p>
        </w:tc>
      </w:tr>
      <w:tr w14:paraId="0420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482E46D8">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3</w:t>
            </w:r>
          </w:p>
        </w:tc>
        <w:tc>
          <w:tcPr>
            <w:tcW w:w="1134" w:type="dxa"/>
            <w:tcBorders>
              <w:top w:val="single" w:color="auto" w:sz="4" w:space="0"/>
              <w:left w:val="single" w:color="auto" w:sz="4" w:space="0"/>
              <w:bottom w:val="single" w:color="auto" w:sz="4" w:space="0"/>
              <w:right w:val="single" w:color="auto" w:sz="4" w:space="0"/>
            </w:tcBorders>
            <w:vAlign w:val="center"/>
          </w:tcPr>
          <w:p w14:paraId="32609CB8">
            <w:pPr>
              <w:snapToGrid w:val="0"/>
              <w:rPr>
                <w:rFonts w:hint="eastAsia" w:ascii="宋体" w:hAnsi="宋体" w:eastAsia="宋体" w:cs="仿宋"/>
                <w:szCs w:val="21"/>
              </w:rPr>
            </w:pPr>
            <w:r>
              <w:rPr>
                <w:rFonts w:hint="eastAsia" w:ascii="宋体" w:hAnsi="宋体" w:eastAsia="宋体" w:cs="宋体"/>
                <w:szCs w:val="21"/>
                <w:lang w:bidi="ar"/>
              </w:rPr>
              <w:t>变压器本体温度控制器</w:t>
            </w:r>
          </w:p>
        </w:tc>
        <w:tc>
          <w:tcPr>
            <w:tcW w:w="1134" w:type="dxa"/>
            <w:tcBorders>
              <w:top w:val="single" w:color="auto" w:sz="4" w:space="0"/>
              <w:left w:val="single" w:color="auto" w:sz="4" w:space="0"/>
              <w:bottom w:val="single" w:color="auto" w:sz="4" w:space="0"/>
              <w:right w:val="single" w:color="auto" w:sz="4" w:space="0"/>
            </w:tcBorders>
            <w:vAlign w:val="center"/>
          </w:tcPr>
          <w:p w14:paraId="3F6906ED">
            <w:pPr>
              <w:snapToGrid w:val="0"/>
              <w:spacing w:line="360" w:lineRule="auto"/>
              <w:ind w:firstLine="420"/>
              <w:jc w:val="center"/>
              <w:rPr>
                <w:rFonts w:hint="eastAsia" w:ascii="宋体" w:hAnsi="宋体" w:eastAsia="宋体" w:cs="仿宋"/>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B3B81E6">
            <w:pPr>
              <w:snapToGrid w:val="0"/>
              <w:spacing w:line="360" w:lineRule="auto"/>
              <w:ind w:firstLine="420"/>
              <w:jc w:val="center"/>
              <w:rPr>
                <w:rFonts w:hint="eastAsia" w:ascii="宋体" w:hAnsi="宋体" w:eastAsia="宋体"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4F31930">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2</w:t>
            </w:r>
          </w:p>
        </w:tc>
        <w:tc>
          <w:tcPr>
            <w:tcW w:w="709" w:type="dxa"/>
            <w:tcBorders>
              <w:top w:val="single" w:color="auto" w:sz="4" w:space="0"/>
              <w:left w:val="single" w:color="auto" w:sz="4" w:space="0"/>
              <w:bottom w:val="single" w:color="auto" w:sz="4" w:space="0"/>
              <w:right w:val="single" w:color="auto" w:sz="4" w:space="0"/>
            </w:tcBorders>
            <w:vAlign w:val="center"/>
          </w:tcPr>
          <w:p w14:paraId="2D1A2EF7">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套</w:t>
            </w:r>
          </w:p>
        </w:tc>
        <w:tc>
          <w:tcPr>
            <w:tcW w:w="2551" w:type="dxa"/>
            <w:tcBorders>
              <w:top w:val="single" w:color="auto" w:sz="4" w:space="0"/>
              <w:left w:val="single" w:color="auto" w:sz="4" w:space="0"/>
              <w:bottom w:val="single" w:color="auto" w:sz="4" w:space="0"/>
              <w:right w:val="single" w:color="auto" w:sz="4" w:space="0"/>
            </w:tcBorders>
            <w:vAlign w:val="center"/>
          </w:tcPr>
          <w:p w14:paraId="60887C31">
            <w:pPr>
              <w:snapToGrid w:val="0"/>
              <w:rPr>
                <w:rFonts w:hint="eastAsia" w:ascii="宋体" w:hAnsi="宋体" w:eastAsia="宋体" w:cs="仿宋"/>
                <w:szCs w:val="21"/>
              </w:rPr>
            </w:pPr>
            <w:r>
              <w:rPr>
                <w:rFonts w:hint="eastAsia" w:ascii="宋体" w:hAnsi="宋体" w:eastAsia="宋体" w:cs="宋体"/>
                <w:szCs w:val="21"/>
                <w:lang w:bidi="ar"/>
              </w:rPr>
              <w:t>测量变压器本体温度，控制风机、加热器等的启停，并有各种信号接点引出，按需配置风机、加热除湿器、测温装置等</w:t>
            </w:r>
          </w:p>
        </w:tc>
        <w:tc>
          <w:tcPr>
            <w:tcW w:w="1276" w:type="dxa"/>
            <w:tcBorders>
              <w:top w:val="single" w:color="auto" w:sz="4" w:space="0"/>
              <w:left w:val="single" w:color="auto" w:sz="4" w:space="0"/>
              <w:bottom w:val="single" w:color="auto" w:sz="4" w:space="0"/>
              <w:right w:val="single" w:color="auto" w:sz="4" w:space="0"/>
            </w:tcBorders>
            <w:vAlign w:val="center"/>
          </w:tcPr>
          <w:p w14:paraId="6F11420F">
            <w:pPr>
              <w:snapToGrid w:val="0"/>
              <w:rPr>
                <w:rFonts w:hint="eastAsia" w:ascii="宋体" w:hAnsi="宋体" w:eastAsia="宋体" w:cs="仿宋"/>
                <w:szCs w:val="21"/>
              </w:rPr>
            </w:pPr>
            <w:r>
              <w:rPr>
                <w:rFonts w:hint="eastAsia" w:ascii="宋体" w:hAnsi="宋体" w:eastAsia="宋体" w:cs="宋体"/>
                <w:szCs w:val="21"/>
                <w:lang w:bidi="ar"/>
              </w:rPr>
              <w:t>详见技术要求</w:t>
            </w:r>
          </w:p>
        </w:tc>
      </w:tr>
      <w:tr w14:paraId="3ECD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60766E43">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4</w:t>
            </w:r>
          </w:p>
        </w:tc>
        <w:tc>
          <w:tcPr>
            <w:tcW w:w="1134" w:type="dxa"/>
            <w:tcBorders>
              <w:top w:val="single" w:color="auto" w:sz="4" w:space="0"/>
              <w:left w:val="single" w:color="auto" w:sz="4" w:space="0"/>
              <w:bottom w:val="single" w:color="auto" w:sz="4" w:space="0"/>
              <w:right w:val="single" w:color="auto" w:sz="4" w:space="0"/>
            </w:tcBorders>
            <w:vAlign w:val="center"/>
          </w:tcPr>
          <w:p w14:paraId="3A70EBA3">
            <w:pPr>
              <w:snapToGrid w:val="0"/>
              <w:rPr>
                <w:rFonts w:hint="eastAsia" w:ascii="宋体" w:hAnsi="宋体" w:eastAsia="宋体" w:cs="仿宋"/>
                <w:szCs w:val="21"/>
              </w:rPr>
            </w:pPr>
            <w:r>
              <w:rPr>
                <w:rFonts w:hint="eastAsia" w:ascii="宋体" w:hAnsi="宋体" w:eastAsia="宋体" w:cs="宋体"/>
                <w:szCs w:val="21"/>
                <w:lang w:bidi="ar"/>
              </w:rPr>
              <w:t>箱变温湿度控制器</w:t>
            </w:r>
          </w:p>
        </w:tc>
        <w:tc>
          <w:tcPr>
            <w:tcW w:w="1134" w:type="dxa"/>
            <w:tcBorders>
              <w:top w:val="single" w:color="auto" w:sz="4" w:space="0"/>
              <w:left w:val="single" w:color="auto" w:sz="4" w:space="0"/>
              <w:bottom w:val="single" w:color="auto" w:sz="4" w:space="0"/>
              <w:right w:val="single" w:color="auto" w:sz="4" w:space="0"/>
            </w:tcBorders>
            <w:vAlign w:val="center"/>
          </w:tcPr>
          <w:p w14:paraId="190CAA41">
            <w:pPr>
              <w:snapToGrid w:val="0"/>
              <w:spacing w:line="360" w:lineRule="auto"/>
              <w:ind w:firstLine="420"/>
              <w:jc w:val="center"/>
              <w:rPr>
                <w:rFonts w:hint="eastAsia" w:ascii="宋体" w:hAnsi="宋体" w:eastAsia="宋体" w:cs="仿宋"/>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5EC3185">
            <w:pPr>
              <w:snapToGrid w:val="0"/>
              <w:spacing w:line="360" w:lineRule="auto"/>
              <w:ind w:firstLine="420"/>
              <w:jc w:val="center"/>
              <w:rPr>
                <w:rFonts w:hint="eastAsia" w:ascii="宋体" w:hAnsi="宋体" w:eastAsia="宋体"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1346DBF">
            <w:pPr>
              <w:snapToGrid w:val="0"/>
              <w:spacing w:line="360" w:lineRule="auto"/>
              <w:rPr>
                <w:rFonts w:hint="eastAsia" w:ascii="宋体" w:hAnsi="宋体" w:eastAsia="宋体" w:cs="仿宋"/>
                <w:szCs w:val="21"/>
              </w:rPr>
            </w:pPr>
            <w:r>
              <w:rPr>
                <w:rFonts w:hint="eastAsia" w:ascii="宋体" w:hAnsi="宋体" w:eastAsia="宋体" w:cs="宋体"/>
                <w:szCs w:val="21"/>
                <w:lang w:bidi="ar"/>
              </w:rPr>
              <w:t>2~3</w:t>
            </w:r>
          </w:p>
        </w:tc>
        <w:tc>
          <w:tcPr>
            <w:tcW w:w="709" w:type="dxa"/>
            <w:tcBorders>
              <w:top w:val="single" w:color="auto" w:sz="4" w:space="0"/>
              <w:left w:val="single" w:color="auto" w:sz="4" w:space="0"/>
              <w:bottom w:val="single" w:color="auto" w:sz="4" w:space="0"/>
              <w:right w:val="single" w:color="auto" w:sz="4" w:space="0"/>
            </w:tcBorders>
            <w:vAlign w:val="center"/>
          </w:tcPr>
          <w:p w14:paraId="7362F53A">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套</w:t>
            </w:r>
          </w:p>
        </w:tc>
        <w:tc>
          <w:tcPr>
            <w:tcW w:w="2551" w:type="dxa"/>
            <w:tcBorders>
              <w:top w:val="single" w:color="auto" w:sz="4" w:space="0"/>
              <w:left w:val="single" w:color="auto" w:sz="4" w:space="0"/>
              <w:bottom w:val="single" w:color="auto" w:sz="4" w:space="0"/>
              <w:right w:val="single" w:color="auto" w:sz="4" w:space="0"/>
            </w:tcBorders>
            <w:vAlign w:val="center"/>
          </w:tcPr>
          <w:p w14:paraId="36669ECB">
            <w:pPr>
              <w:snapToGrid w:val="0"/>
              <w:rPr>
                <w:rFonts w:hint="eastAsia" w:ascii="宋体" w:hAnsi="宋体" w:eastAsia="宋体" w:cs="仿宋"/>
                <w:szCs w:val="21"/>
              </w:rPr>
            </w:pPr>
            <w:r>
              <w:rPr>
                <w:rFonts w:hint="eastAsia" w:ascii="宋体" w:hAnsi="宋体" w:eastAsia="宋体" w:cs="宋体"/>
                <w:szCs w:val="21"/>
                <w:lang w:bidi="ar"/>
              </w:rPr>
              <w:t>配置加热除湿装置、风机等设备若干，根据箱变内的温度自动启停风机、加热装置等，使箱变内设备在正常工作温度范围内运行</w:t>
            </w:r>
          </w:p>
        </w:tc>
        <w:tc>
          <w:tcPr>
            <w:tcW w:w="1276" w:type="dxa"/>
            <w:tcBorders>
              <w:top w:val="single" w:color="auto" w:sz="4" w:space="0"/>
              <w:left w:val="single" w:color="auto" w:sz="4" w:space="0"/>
              <w:bottom w:val="single" w:color="auto" w:sz="4" w:space="0"/>
              <w:right w:val="single" w:color="auto" w:sz="4" w:space="0"/>
            </w:tcBorders>
            <w:vAlign w:val="center"/>
          </w:tcPr>
          <w:p w14:paraId="19E69ACE">
            <w:pPr>
              <w:snapToGrid w:val="0"/>
              <w:spacing w:line="360" w:lineRule="auto"/>
              <w:rPr>
                <w:rFonts w:hint="eastAsia" w:ascii="宋体" w:hAnsi="宋体" w:eastAsia="宋体" w:cs="仿宋"/>
                <w:szCs w:val="21"/>
              </w:rPr>
            </w:pPr>
            <w:r>
              <w:rPr>
                <w:rFonts w:hint="eastAsia" w:ascii="宋体" w:hAnsi="宋体" w:eastAsia="宋体" w:cs="宋体"/>
                <w:szCs w:val="21"/>
                <w:lang w:bidi="ar"/>
              </w:rPr>
              <w:t>按需配置</w:t>
            </w:r>
          </w:p>
        </w:tc>
      </w:tr>
      <w:tr w14:paraId="3F41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6DEC5C23">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5</w:t>
            </w:r>
          </w:p>
        </w:tc>
        <w:tc>
          <w:tcPr>
            <w:tcW w:w="1134" w:type="dxa"/>
            <w:tcBorders>
              <w:top w:val="single" w:color="auto" w:sz="4" w:space="0"/>
              <w:left w:val="single" w:color="auto" w:sz="4" w:space="0"/>
              <w:bottom w:val="single" w:color="auto" w:sz="4" w:space="0"/>
              <w:right w:val="single" w:color="auto" w:sz="4" w:space="0"/>
            </w:tcBorders>
            <w:vAlign w:val="center"/>
          </w:tcPr>
          <w:p w14:paraId="1F97981D">
            <w:pPr>
              <w:snapToGrid w:val="0"/>
              <w:rPr>
                <w:rFonts w:hint="eastAsia" w:ascii="宋体" w:hAnsi="宋体" w:eastAsia="宋体" w:cs="仿宋"/>
                <w:szCs w:val="21"/>
              </w:rPr>
            </w:pPr>
            <w:r>
              <w:rPr>
                <w:rFonts w:hint="eastAsia" w:ascii="宋体" w:hAnsi="宋体" w:eastAsia="宋体" w:cs="宋体"/>
                <w:szCs w:val="21"/>
                <w:lang w:bidi="ar"/>
              </w:rPr>
              <w:t>高压侧外置式微机保护</w:t>
            </w:r>
          </w:p>
        </w:tc>
        <w:tc>
          <w:tcPr>
            <w:tcW w:w="1134" w:type="dxa"/>
            <w:tcBorders>
              <w:top w:val="single" w:color="auto" w:sz="4" w:space="0"/>
              <w:left w:val="single" w:color="auto" w:sz="4" w:space="0"/>
              <w:bottom w:val="single" w:color="auto" w:sz="4" w:space="0"/>
              <w:right w:val="single" w:color="auto" w:sz="4" w:space="0"/>
            </w:tcBorders>
            <w:vAlign w:val="center"/>
          </w:tcPr>
          <w:p w14:paraId="15B34B82">
            <w:pPr>
              <w:snapToGrid w:val="0"/>
              <w:spacing w:line="360" w:lineRule="auto"/>
              <w:ind w:firstLine="420"/>
              <w:jc w:val="center"/>
              <w:rPr>
                <w:rFonts w:hint="eastAsia" w:ascii="宋体" w:hAnsi="宋体" w:eastAsia="宋体" w:cs="仿宋"/>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A646BD5">
            <w:pPr>
              <w:snapToGrid w:val="0"/>
              <w:spacing w:line="360" w:lineRule="auto"/>
              <w:ind w:firstLine="420"/>
              <w:jc w:val="center"/>
              <w:rPr>
                <w:rFonts w:hint="eastAsia" w:ascii="宋体" w:hAnsi="宋体" w:eastAsia="宋体"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989874C">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2</w:t>
            </w:r>
          </w:p>
        </w:tc>
        <w:tc>
          <w:tcPr>
            <w:tcW w:w="709" w:type="dxa"/>
            <w:tcBorders>
              <w:top w:val="single" w:color="auto" w:sz="4" w:space="0"/>
              <w:left w:val="single" w:color="auto" w:sz="4" w:space="0"/>
              <w:bottom w:val="single" w:color="auto" w:sz="4" w:space="0"/>
              <w:right w:val="single" w:color="auto" w:sz="4" w:space="0"/>
            </w:tcBorders>
            <w:vAlign w:val="center"/>
          </w:tcPr>
          <w:p w14:paraId="4C183BEF">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套</w:t>
            </w:r>
          </w:p>
        </w:tc>
        <w:tc>
          <w:tcPr>
            <w:tcW w:w="2551" w:type="dxa"/>
            <w:tcBorders>
              <w:top w:val="single" w:color="auto" w:sz="4" w:space="0"/>
              <w:left w:val="single" w:color="auto" w:sz="4" w:space="0"/>
              <w:bottom w:val="single" w:color="auto" w:sz="4" w:space="0"/>
              <w:right w:val="single" w:color="auto" w:sz="4" w:space="0"/>
            </w:tcBorders>
            <w:vAlign w:val="center"/>
          </w:tcPr>
          <w:p w14:paraId="58C02B0C">
            <w:pPr>
              <w:snapToGrid w:val="0"/>
              <w:rPr>
                <w:rFonts w:hint="eastAsia" w:ascii="宋体" w:hAnsi="宋体" w:eastAsia="宋体" w:cs="仿宋"/>
                <w:szCs w:val="21"/>
              </w:rPr>
            </w:pPr>
            <w:r>
              <w:rPr>
                <w:rFonts w:hint="eastAsia" w:ascii="宋体" w:hAnsi="宋体" w:eastAsia="宋体" w:cs="宋体"/>
                <w:szCs w:val="21"/>
                <w:lang w:bidi="ar"/>
              </w:rPr>
              <w:t>提供高压侧短路，接地等保护用</w:t>
            </w:r>
          </w:p>
        </w:tc>
        <w:tc>
          <w:tcPr>
            <w:tcW w:w="1276" w:type="dxa"/>
            <w:tcBorders>
              <w:top w:val="single" w:color="auto" w:sz="4" w:space="0"/>
              <w:left w:val="single" w:color="auto" w:sz="4" w:space="0"/>
              <w:bottom w:val="single" w:color="auto" w:sz="4" w:space="0"/>
              <w:right w:val="single" w:color="auto" w:sz="4" w:space="0"/>
            </w:tcBorders>
            <w:vAlign w:val="center"/>
          </w:tcPr>
          <w:p w14:paraId="5F40426D">
            <w:pPr>
              <w:snapToGrid w:val="0"/>
              <w:spacing w:line="360" w:lineRule="auto"/>
              <w:rPr>
                <w:rFonts w:hint="eastAsia" w:ascii="宋体" w:hAnsi="宋体" w:eastAsia="宋体" w:cs="仿宋"/>
                <w:szCs w:val="21"/>
              </w:rPr>
            </w:pPr>
            <w:r>
              <w:rPr>
                <w:rFonts w:hint="eastAsia" w:ascii="宋体" w:hAnsi="宋体" w:eastAsia="宋体" w:cs="宋体"/>
                <w:szCs w:val="21"/>
                <w:lang w:bidi="ar"/>
              </w:rPr>
              <w:t>按需配置</w:t>
            </w:r>
          </w:p>
        </w:tc>
      </w:tr>
      <w:tr w14:paraId="3ED4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42413AF6">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6</w:t>
            </w:r>
          </w:p>
        </w:tc>
        <w:tc>
          <w:tcPr>
            <w:tcW w:w="1134" w:type="dxa"/>
            <w:tcBorders>
              <w:top w:val="single" w:color="auto" w:sz="4" w:space="0"/>
              <w:left w:val="single" w:color="auto" w:sz="4" w:space="0"/>
              <w:bottom w:val="single" w:color="auto" w:sz="4" w:space="0"/>
              <w:right w:val="single" w:color="auto" w:sz="4" w:space="0"/>
            </w:tcBorders>
            <w:vAlign w:val="center"/>
          </w:tcPr>
          <w:p w14:paraId="5B7FD618">
            <w:pPr>
              <w:snapToGrid w:val="0"/>
              <w:rPr>
                <w:rFonts w:hint="eastAsia" w:ascii="宋体" w:hAnsi="宋体" w:eastAsia="宋体" w:cs="仿宋"/>
                <w:szCs w:val="21"/>
              </w:rPr>
            </w:pPr>
            <w:r>
              <w:rPr>
                <w:rFonts w:hint="eastAsia" w:ascii="宋体" w:hAnsi="宋体" w:eastAsia="宋体" w:cs="宋体"/>
                <w:szCs w:val="21"/>
                <w:lang w:bidi="ar"/>
              </w:rPr>
              <w:t>低压侧外置式微机保护</w:t>
            </w:r>
          </w:p>
        </w:tc>
        <w:tc>
          <w:tcPr>
            <w:tcW w:w="1134" w:type="dxa"/>
            <w:tcBorders>
              <w:top w:val="single" w:color="auto" w:sz="4" w:space="0"/>
              <w:left w:val="single" w:color="auto" w:sz="4" w:space="0"/>
              <w:bottom w:val="single" w:color="auto" w:sz="4" w:space="0"/>
              <w:right w:val="single" w:color="auto" w:sz="4" w:space="0"/>
            </w:tcBorders>
            <w:vAlign w:val="center"/>
          </w:tcPr>
          <w:p w14:paraId="524531AE">
            <w:pPr>
              <w:snapToGrid w:val="0"/>
              <w:spacing w:line="360" w:lineRule="auto"/>
              <w:ind w:firstLine="420"/>
              <w:jc w:val="center"/>
              <w:rPr>
                <w:rFonts w:hint="eastAsia" w:ascii="宋体" w:hAnsi="宋体" w:eastAsia="宋体" w:cs="仿宋"/>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38FCDAE">
            <w:pPr>
              <w:snapToGrid w:val="0"/>
              <w:spacing w:line="360" w:lineRule="auto"/>
              <w:ind w:firstLine="420"/>
              <w:jc w:val="center"/>
              <w:rPr>
                <w:rFonts w:hint="eastAsia" w:ascii="宋体" w:hAnsi="宋体" w:eastAsia="宋体"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ED27482">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2</w:t>
            </w:r>
          </w:p>
        </w:tc>
        <w:tc>
          <w:tcPr>
            <w:tcW w:w="709" w:type="dxa"/>
            <w:tcBorders>
              <w:top w:val="single" w:color="auto" w:sz="4" w:space="0"/>
              <w:left w:val="single" w:color="auto" w:sz="4" w:space="0"/>
              <w:bottom w:val="single" w:color="auto" w:sz="4" w:space="0"/>
              <w:right w:val="single" w:color="auto" w:sz="4" w:space="0"/>
            </w:tcBorders>
            <w:vAlign w:val="center"/>
          </w:tcPr>
          <w:p w14:paraId="6ACC996F">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套</w:t>
            </w:r>
          </w:p>
        </w:tc>
        <w:tc>
          <w:tcPr>
            <w:tcW w:w="2551" w:type="dxa"/>
            <w:tcBorders>
              <w:top w:val="single" w:color="auto" w:sz="4" w:space="0"/>
              <w:left w:val="single" w:color="auto" w:sz="4" w:space="0"/>
              <w:bottom w:val="single" w:color="auto" w:sz="4" w:space="0"/>
              <w:right w:val="single" w:color="auto" w:sz="4" w:space="0"/>
            </w:tcBorders>
            <w:vAlign w:val="center"/>
          </w:tcPr>
          <w:p w14:paraId="46271B0E">
            <w:pPr>
              <w:snapToGrid w:val="0"/>
              <w:rPr>
                <w:rFonts w:hint="eastAsia" w:ascii="宋体" w:hAnsi="宋体" w:eastAsia="宋体" w:cs="仿宋"/>
                <w:szCs w:val="21"/>
              </w:rPr>
            </w:pPr>
            <w:r>
              <w:rPr>
                <w:rFonts w:hint="eastAsia" w:ascii="宋体" w:hAnsi="宋体" w:eastAsia="宋体" w:cs="宋体"/>
                <w:szCs w:val="21"/>
                <w:lang w:bidi="ar"/>
              </w:rPr>
              <w:t>提供低压侧短路，接地等保护用</w:t>
            </w:r>
          </w:p>
        </w:tc>
        <w:tc>
          <w:tcPr>
            <w:tcW w:w="1276" w:type="dxa"/>
            <w:tcBorders>
              <w:top w:val="single" w:color="auto" w:sz="4" w:space="0"/>
              <w:left w:val="single" w:color="auto" w:sz="4" w:space="0"/>
              <w:bottom w:val="single" w:color="auto" w:sz="4" w:space="0"/>
              <w:right w:val="single" w:color="auto" w:sz="4" w:space="0"/>
            </w:tcBorders>
            <w:vAlign w:val="center"/>
          </w:tcPr>
          <w:p w14:paraId="6545B8EE">
            <w:pPr>
              <w:snapToGrid w:val="0"/>
              <w:spacing w:line="360" w:lineRule="auto"/>
              <w:rPr>
                <w:rFonts w:hint="eastAsia" w:ascii="宋体" w:hAnsi="宋体" w:eastAsia="宋体" w:cs="仿宋"/>
                <w:szCs w:val="21"/>
              </w:rPr>
            </w:pPr>
            <w:r>
              <w:rPr>
                <w:rFonts w:hint="eastAsia" w:ascii="宋体" w:hAnsi="宋体" w:eastAsia="宋体" w:cs="宋体"/>
                <w:szCs w:val="21"/>
                <w:lang w:bidi="ar"/>
              </w:rPr>
              <w:t>按需配置</w:t>
            </w:r>
          </w:p>
        </w:tc>
      </w:tr>
      <w:tr w14:paraId="4CFC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79972613">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7</w:t>
            </w:r>
          </w:p>
        </w:tc>
        <w:tc>
          <w:tcPr>
            <w:tcW w:w="1134" w:type="dxa"/>
            <w:tcBorders>
              <w:top w:val="single" w:color="auto" w:sz="4" w:space="0"/>
              <w:left w:val="single" w:color="auto" w:sz="4" w:space="0"/>
              <w:bottom w:val="single" w:color="auto" w:sz="4" w:space="0"/>
              <w:right w:val="single" w:color="auto" w:sz="4" w:space="0"/>
            </w:tcBorders>
            <w:vAlign w:val="center"/>
          </w:tcPr>
          <w:p w14:paraId="369C94E6">
            <w:pPr>
              <w:snapToGrid w:val="0"/>
              <w:rPr>
                <w:rFonts w:hint="eastAsia" w:ascii="宋体" w:hAnsi="宋体" w:eastAsia="宋体" w:cs="仿宋"/>
                <w:szCs w:val="21"/>
              </w:rPr>
            </w:pPr>
            <w:r>
              <w:rPr>
                <w:rFonts w:hint="eastAsia" w:ascii="宋体" w:hAnsi="宋体" w:eastAsia="宋体" w:cs="宋体"/>
                <w:szCs w:val="21"/>
                <w:lang w:bidi="ar"/>
              </w:rPr>
              <w:t>其他技术中要求的设备</w:t>
            </w:r>
          </w:p>
        </w:tc>
        <w:tc>
          <w:tcPr>
            <w:tcW w:w="1134" w:type="dxa"/>
            <w:tcBorders>
              <w:top w:val="single" w:color="auto" w:sz="4" w:space="0"/>
              <w:left w:val="single" w:color="auto" w:sz="4" w:space="0"/>
              <w:bottom w:val="single" w:color="auto" w:sz="4" w:space="0"/>
              <w:right w:val="single" w:color="auto" w:sz="4" w:space="0"/>
            </w:tcBorders>
            <w:vAlign w:val="center"/>
          </w:tcPr>
          <w:p w14:paraId="300907E8">
            <w:pPr>
              <w:snapToGrid w:val="0"/>
              <w:spacing w:line="360" w:lineRule="auto"/>
              <w:ind w:firstLine="420"/>
              <w:jc w:val="center"/>
              <w:rPr>
                <w:rFonts w:hint="eastAsia" w:ascii="宋体" w:hAnsi="宋体" w:eastAsia="宋体" w:cs="仿宋"/>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5812CA4">
            <w:pPr>
              <w:snapToGrid w:val="0"/>
              <w:spacing w:line="360" w:lineRule="auto"/>
              <w:ind w:firstLine="420"/>
              <w:jc w:val="center"/>
              <w:rPr>
                <w:rFonts w:hint="eastAsia" w:ascii="宋体" w:hAnsi="宋体" w:eastAsia="宋体"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79A75DB">
            <w:pPr>
              <w:snapToGrid w:val="0"/>
              <w:spacing w:line="360" w:lineRule="auto"/>
              <w:rPr>
                <w:rFonts w:hint="eastAsia" w:ascii="宋体" w:hAnsi="宋体" w:eastAsia="宋体" w:cs="仿宋"/>
                <w:szCs w:val="21"/>
              </w:rPr>
            </w:pPr>
            <w:r>
              <w:rPr>
                <w:rFonts w:hint="eastAsia" w:ascii="宋体" w:hAnsi="宋体" w:eastAsia="宋体" w:cs="宋体"/>
                <w:szCs w:val="21"/>
                <w:lang w:bidi="ar"/>
              </w:rPr>
              <w:t>若干</w:t>
            </w:r>
          </w:p>
        </w:tc>
        <w:tc>
          <w:tcPr>
            <w:tcW w:w="709" w:type="dxa"/>
            <w:tcBorders>
              <w:top w:val="single" w:color="auto" w:sz="4" w:space="0"/>
              <w:left w:val="single" w:color="auto" w:sz="4" w:space="0"/>
              <w:bottom w:val="single" w:color="auto" w:sz="4" w:space="0"/>
              <w:right w:val="single" w:color="auto" w:sz="4" w:space="0"/>
            </w:tcBorders>
            <w:vAlign w:val="center"/>
          </w:tcPr>
          <w:p w14:paraId="6BA82A13">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套</w:t>
            </w:r>
          </w:p>
        </w:tc>
        <w:tc>
          <w:tcPr>
            <w:tcW w:w="2551" w:type="dxa"/>
            <w:tcBorders>
              <w:top w:val="single" w:color="auto" w:sz="4" w:space="0"/>
              <w:left w:val="single" w:color="auto" w:sz="4" w:space="0"/>
              <w:bottom w:val="single" w:color="auto" w:sz="4" w:space="0"/>
              <w:right w:val="single" w:color="auto" w:sz="4" w:space="0"/>
            </w:tcBorders>
            <w:vAlign w:val="center"/>
          </w:tcPr>
          <w:p w14:paraId="2D62FABD">
            <w:pPr>
              <w:snapToGrid w:val="0"/>
              <w:spacing w:line="360" w:lineRule="auto"/>
              <w:ind w:firstLine="420"/>
              <w:jc w:val="center"/>
              <w:rPr>
                <w:rFonts w:hint="eastAsia" w:ascii="宋体" w:hAnsi="宋体" w:eastAsia="宋体" w:cs="仿宋"/>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939E46D">
            <w:pPr>
              <w:snapToGrid w:val="0"/>
              <w:spacing w:line="360" w:lineRule="auto"/>
              <w:rPr>
                <w:rFonts w:hint="eastAsia" w:ascii="宋体" w:hAnsi="宋体" w:eastAsia="宋体" w:cs="仿宋"/>
                <w:szCs w:val="21"/>
              </w:rPr>
            </w:pPr>
            <w:r>
              <w:rPr>
                <w:rFonts w:hint="eastAsia" w:ascii="宋体" w:hAnsi="宋体" w:eastAsia="宋体" w:cs="宋体"/>
                <w:szCs w:val="21"/>
                <w:lang w:bidi="ar"/>
              </w:rPr>
              <w:t>按需配置</w:t>
            </w:r>
          </w:p>
        </w:tc>
      </w:tr>
    </w:tbl>
    <w:p w14:paraId="1F09ED6D">
      <w:pPr>
        <w:snapToGrid w:val="0"/>
        <w:spacing w:line="360" w:lineRule="auto"/>
        <w:jc w:val="left"/>
        <w:rPr>
          <w:rFonts w:hint="eastAsia" w:ascii="宋体" w:hAnsi="宋体" w:eastAsia="宋体" w:cs="仿宋"/>
          <w:szCs w:val="21"/>
        </w:rPr>
      </w:pPr>
      <w:r>
        <w:rPr>
          <w:rFonts w:hint="eastAsia" w:ascii="宋体" w:hAnsi="宋体" w:eastAsia="宋体" w:cs="宋体"/>
          <w:szCs w:val="21"/>
          <w:lang w:bidi="ar"/>
        </w:rPr>
        <w:t>注：</w:t>
      </w:r>
    </w:p>
    <w:p w14:paraId="5AE62D89">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1）.以上供货范围为最低的要求配置，投标人的供货范围包括但不局限于上述内容。</w:t>
      </w:r>
    </w:p>
    <w:p w14:paraId="4B6DD0C9">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2）.投标人应根据设备的具体情况将设备分配于箱变各开关柜等设备内，并满足设计要求。</w:t>
      </w:r>
    </w:p>
    <w:p w14:paraId="4EEF9E10">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3）各设备的详细技术要求已在本技术要求中明确。</w:t>
      </w:r>
    </w:p>
    <w:p w14:paraId="598FACFE">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4）.其他未尽事宜，在施工图设计中及施工调试中由双方协商确定。</w:t>
      </w:r>
    </w:p>
    <w:p w14:paraId="77EC7CAA">
      <w:pPr>
        <w:snapToGrid w:val="0"/>
        <w:spacing w:line="360" w:lineRule="auto"/>
        <w:rPr>
          <w:rFonts w:hint="eastAsia" w:ascii="宋体" w:hAnsi="宋体" w:eastAsia="宋体" w:cs="仿宋"/>
          <w:b/>
          <w:szCs w:val="21"/>
        </w:rPr>
      </w:pPr>
      <w:r>
        <w:rPr>
          <w:rFonts w:hint="eastAsia" w:ascii="宋体" w:hAnsi="宋体" w:eastAsia="宋体" w:cs="宋体"/>
          <w:b/>
          <w:szCs w:val="21"/>
          <w:lang w:bidi="ar"/>
        </w:rPr>
        <w:t>6  供货范围</w:t>
      </w:r>
    </w:p>
    <w:p w14:paraId="46777148">
      <w:pPr>
        <w:pStyle w:val="17"/>
        <w:spacing w:before="160" w:beforeAutospacing="0" w:after="60" w:afterAutospacing="0" w:line="312" w:lineRule="exact"/>
        <w:jc w:val="center"/>
        <w:rPr>
          <w:rFonts w:hint="eastAsia" w:ascii="EU-F1" w:hAnsi="宋体" w:eastAsia="黑体" w:cs="黑体"/>
          <w:kern w:val="21"/>
          <w:sz w:val="21"/>
          <w:szCs w:val="21"/>
        </w:rPr>
      </w:pPr>
      <w:r>
        <w:rPr>
          <w:rFonts w:hint="eastAsia" w:ascii="黑体" w:hAnsi="宋体" w:eastAsia="黑体" w:cs="黑体"/>
          <w:kern w:val="21"/>
          <w:sz w:val="21"/>
          <w:szCs w:val="21"/>
          <w:lang w:bidi="ar"/>
        </w:rPr>
        <w:t>货物需求及供货范围一览表</w:t>
      </w:r>
    </w:p>
    <w:p w14:paraId="6F41A3CE">
      <w:pPr>
        <w:pStyle w:val="17"/>
        <w:spacing w:before="160" w:beforeAutospacing="0" w:after="60" w:afterAutospacing="0" w:line="312" w:lineRule="exact"/>
        <w:jc w:val="both"/>
        <w:rPr>
          <w:rFonts w:hint="eastAsia" w:ascii="EU-F1" w:hAnsi="EU-F1" w:eastAsia="黑体" w:cs="EU-F1"/>
          <w:kern w:val="21"/>
          <w:sz w:val="21"/>
          <w:szCs w:val="21"/>
        </w:rPr>
      </w:pPr>
      <w:r>
        <w:rPr>
          <w:rFonts w:hint="eastAsia" w:ascii="黑体" w:hAnsi="宋体" w:eastAsia="黑体" w:cs="黑体"/>
          <w:kern w:val="21"/>
          <w:sz w:val="21"/>
          <w:szCs w:val="21"/>
          <w:lang w:bidi="ar"/>
        </w:rPr>
        <w:t>两回集电线路，需配合完成</w:t>
      </w:r>
    </w:p>
    <w:tbl>
      <w:tblPr>
        <w:tblStyle w:val="19"/>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3528"/>
        <w:gridCol w:w="1635"/>
        <w:gridCol w:w="2198"/>
        <w:gridCol w:w="476"/>
        <w:gridCol w:w="1361"/>
        <w:gridCol w:w="476"/>
      </w:tblGrid>
      <w:tr w14:paraId="008514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8" w:type="pct"/>
            <w:vMerge w:val="restart"/>
            <w:tcBorders>
              <w:top w:val="single" w:color="auto" w:sz="8" w:space="0"/>
              <w:left w:val="single" w:color="auto" w:sz="8" w:space="0"/>
              <w:bottom w:val="single" w:color="auto" w:sz="4" w:space="0"/>
              <w:right w:val="single" w:color="auto" w:sz="4" w:space="0"/>
            </w:tcBorders>
            <w:vAlign w:val="center"/>
          </w:tcPr>
          <w:p w14:paraId="44360F12">
            <w:pPr>
              <w:topLinePunct/>
              <w:snapToGrid w:val="0"/>
              <w:spacing w:before="40" w:after="40"/>
              <w:jc w:val="center"/>
              <w:rPr>
                <w:rFonts w:hint="eastAsia" w:ascii="宋体" w:hAnsi="宋体" w:eastAsia="宋体" w:cs="宋体"/>
                <w:sz w:val="18"/>
                <w:szCs w:val="18"/>
              </w:rPr>
            </w:pPr>
            <w:r>
              <w:rPr>
                <w:rFonts w:hint="eastAsia" w:ascii="宋体" w:hAnsi="宋体" w:eastAsia="宋体" w:cs="宋体"/>
                <w:sz w:val="18"/>
                <w:szCs w:val="18"/>
                <w:lang w:bidi="ar"/>
              </w:rPr>
              <w:t>序号</w:t>
            </w:r>
          </w:p>
        </w:tc>
        <w:tc>
          <w:tcPr>
            <w:tcW w:w="1729" w:type="pct"/>
            <w:vMerge w:val="restart"/>
            <w:tcBorders>
              <w:top w:val="single" w:color="auto" w:sz="8" w:space="0"/>
              <w:left w:val="single" w:color="auto" w:sz="4" w:space="0"/>
              <w:bottom w:val="single" w:color="auto" w:sz="4" w:space="0"/>
              <w:right w:val="single" w:color="auto" w:sz="4" w:space="0"/>
            </w:tcBorders>
            <w:vAlign w:val="center"/>
          </w:tcPr>
          <w:p w14:paraId="68ECFB7B">
            <w:pPr>
              <w:topLinePunct/>
              <w:snapToGrid w:val="0"/>
              <w:spacing w:before="40" w:after="40"/>
              <w:jc w:val="center"/>
              <w:rPr>
                <w:rFonts w:hint="eastAsia" w:ascii="宋体" w:hAnsi="宋体" w:eastAsia="宋体" w:cs="宋体"/>
                <w:sz w:val="18"/>
                <w:szCs w:val="18"/>
              </w:rPr>
            </w:pPr>
            <w:r>
              <w:rPr>
                <w:rFonts w:hint="eastAsia" w:ascii="宋体" w:hAnsi="宋体" w:eastAsia="宋体" w:cs="宋体"/>
                <w:sz w:val="18"/>
                <w:szCs w:val="18"/>
                <w:lang w:bidi="ar"/>
              </w:rPr>
              <w:t>设　备　名　称</w:t>
            </w:r>
          </w:p>
        </w:tc>
        <w:tc>
          <w:tcPr>
            <w:tcW w:w="801" w:type="pct"/>
            <w:vMerge w:val="restart"/>
            <w:tcBorders>
              <w:top w:val="single" w:color="auto" w:sz="8" w:space="0"/>
              <w:left w:val="single" w:color="auto" w:sz="4" w:space="0"/>
              <w:bottom w:val="single" w:color="auto" w:sz="4" w:space="0"/>
              <w:right w:val="single" w:color="auto" w:sz="4" w:space="0"/>
            </w:tcBorders>
            <w:vAlign w:val="center"/>
          </w:tcPr>
          <w:p w14:paraId="667884A2">
            <w:pPr>
              <w:topLinePunct/>
              <w:snapToGrid w:val="0"/>
              <w:spacing w:before="40" w:after="40"/>
              <w:jc w:val="center"/>
              <w:rPr>
                <w:rFonts w:hint="eastAsia" w:ascii="宋体" w:hAnsi="宋体" w:eastAsia="宋体" w:cs="宋体"/>
                <w:sz w:val="18"/>
                <w:szCs w:val="18"/>
              </w:rPr>
            </w:pPr>
            <w:r>
              <w:rPr>
                <w:rFonts w:hint="eastAsia" w:ascii="宋体" w:hAnsi="宋体" w:eastAsia="宋体" w:cs="宋体"/>
                <w:sz w:val="18"/>
                <w:szCs w:val="18"/>
                <w:lang w:bidi="ar"/>
              </w:rPr>
              <w:t>单位</w:t>
            </w:r>
          </w:p>
        </w:tc>
        <w:tc>
          <w:tcPr>
            <w:tcW w:w="1310" w:type="pct"/>
            <w:gridSpan w:val="2"/>
            <w:tcBorders>
              <w:top w:val="single" w:color="auto" w:sz="8" w:space="0"/>
              <w:left w:val="single" w:color="auto" w:sz="4" w:space="0"/>
              <w:bottom w:val="single" w:color="auto" w:sz="4" w:space="0"/>
              <w:right w:val="single" w:color="auto" w:sz="4" w:space="0"/>
            </w:tcBorders>
            <w:vAlign w:val="center"/>
          </w:tcPr>
          <w:p w14:paraId="38852AB8">
            <w:pPr>
              <w:topLinePunct/>
              <w:snapToGrid w:val="0"/>
              <w:spacing w:before="40" w:after="40"/>
              <w:jc w:val="center"/>
              <w:rPr>
                <w:rFonts w:hint="eastAsia" w:ascii="宋体" w:hAnsi="宋体" w:eastAsia="宋体" w:cs="宋体"/>
                <w:sz w:val="18"/>
                <w:szCs w:val="18"/>
              </w:rPr>
            </w:pPr>
            <w:r>
              <w:rPr>
                <w:rFonts w:hint="eastAsia" w:ascii="宋体" w:hAnsi="宋体" w:eastAsia="宋体" w:cs="宋体"/>
                <w:sz w:val="18"/>
                <w:szCs w:val="18"/>
                <w:lang w:bidi="ar"/>
              </w:rPr>
              <w:t>项目单位要求</w:t>
            </w:r>
          </w:p>
        </w:tc>
        <w:tc>
          <w:tcPr>
            <w:tcW w:w="900" w:type="pct"/>
            <w:gridSpan w:val="2"/>
            <w:tcBorders>
              <w:top w:val="single" w:color="auto" w:sz="8" w:space="0"/>
              <w:left w:val="single" w:color="auto" w:sz="4" w:space="0"/>
              <w:bottom w:val="single" w:color="auto" w:sz="4" w:space="0"/>
              <w:right w:val="single" w:color="auto" w:sz="8" w:space="0"/>
            </w:tcBorders>
            <w:vAlign w:val="center"/>
          </w:tcPr>
          <w:p w14:paraId="67C4B5F3">
            <w:pPr>
              <w:topLinePunct/>
              <w:snapToGrid w:val="0"/>
              <w:spacing w:before="40" w:after="40"/>
              <w:jc w:val="center"/>
              <w:rPr>
                <w:rFonts w:hint="eastAsia" w:ascii="宋体" w:hAnsi="宋体" w:eastAsia="宋体" w:cs="宋体"/>
                <w:sz w:val="18"/>
                <w:szCs w:val="18"/>
              </w:rPr>
            </w:pPr>
            <w:r>
              <w:rPr>
                <w:rFonts w:hint="eastAsia" w:ascii="宋体" w:hAnsi="宋体" w:eastAsia="宋体" w:cs="宋体"/>
                <w:sz w:val="18"/>
                <w:szCs w:val="18"/>
                <w:lang w:bidi="ar"/>
              </w:rPr>
              <w:t>投标人响应</w:t>
            </w:r>
          </w:p>
        </w:tc>
      </w:tr>
      <w:tr w14:paraId="7C1B5F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8" w:type="pct"/>
            <w:vMerge w:val="continue"/>
            <w:tcBorders>
              <w:top w:val="single" w:color="auto" w:sz="8" w:space="0"/>
              <w:left w:val="single" w:color="auto" w:sz="8" w:space="0"/>
              <w:bottom w:val="single" w:color="auto" w:sz="4" w:space="0"/>
              <w:right w:val="single" w:color="auto" w:sz="4" w:space="0"/>
            </w:tcBorders>
            <w:vAlign w:val="center"/>
          </w:tcPr>
          <w:p w14:paraId="0C7806AD">
            <w:pPr>
              <w:rPr>
                <w:rFonts w:ascii="Times New Roman" w:hAnsi="Times New Roman" w:cs="Times New Roman"/>
                <w:sz w:val="20"/>
                <w:szCs w:val="20"/>
              </w:rPr>
            </w:pPr>
          </w:p>
        </w:tc>
        <w:tc>
          <w:tcPr>
            <w:tcW w:w="1729" w:type="pct"/>
            <w:vMerge w:val="continue"/>
            <w:tcBorders>
              <w:top w:val="single" w:color="auto" w:sz="8" w:space="0"/>
              <w:left w:val="single" w:color="auto" w:sz="4" w:space="0"/>
              <w:bottom w:val="single" w:color="auto" w:sz="4" w:space="0"/>
              <w:right w:val="single" w:color="auto" w:sz="4" w:space="0"/>
            </w:tcBorders>
            <w:vAlign w:val="center"/>
          </w:tcPr>
          <w:p w14:paraId="73A4C0AF">
            <w:pPr>
              <w:rPr>
                <w:rFonts w:ascii="Times New Roman" w:hAnsi="Times New Roman" w:cs="Times New Roman"/>
                <w:sz w:val="20"/>
                <w:szCs w:val="20"/>
              </w:rPr>
            </w:pPr>
          </w:p>
        </w:tc>
        <w:tc>
          <w:tcPr>
            <w:tcW w:w="801" w:type="pct"/>
            <w:vMerge w:val="continue"/>
            <w:tcBorders>
              <w:top w:val="single" w:color="auto" w:sz="8" w:space="0"/>
              <w:left w:val="single" w:color="auto" w:sz="4" w:space="0"/>
              <w:bottom w:val="single" w:color="auto" w:sz="4" w:space="0"/>
              <w:right w:val="single" w:color="auto" w:sz="4" w:space="0"/>
            </w:tcBorders>
            <w:vAlign w:val="center"/>
          </w:tcPr>
          <w:p w14:paraId="1280FADE">
            <w:pPr>
              <w:rPr>
                <w:rFonts w:ascii="Times New Roman" w:hAnsi="Times New Roman" w:cs="Times New Roman"/>
                <w:sz w:val="20"/>
                <w:szCs w:val="20"/>
              </w:rPr>
            </w:pPr>
          </w:p>
        </w:tc>
        <w:tc>
          <w:tcPr>
            <w:tcW w:w="1077" w:type="pct"/>
            <w:tcBorders>
              <w:top w:val="single" w:color="auto" w:sz="4" w:space="0"/>
              <w:left w:val="single" w:color="auto" w:sz="4" w:space="0"/>
              <w:bottom w:val="single" w:color="auto" w:sz="4" w:space="0"/>
              <w:right w:val="single" w:color="auto" w:sz="4" w:space="0"/>
            </w:tcBorders>
            <w:vAlign w:val="center"/>
          </w:tcPr>
          <w:p w14:paraId="7924C720">
            <w:pPr>
              <w:topLinePunct/>
              <w:snapToGrid w:val="0"/>
              <w:spacing w:before="40" w:after="40"/>
              <w:jc w:val="center"/>
              <w:rPr>
                <w:rFonts w:ascii="Times New Roman" w:hAnsi="Times New Roman" w:cs="Times New Roman"/>
                <w:sz w:val="18"/>
                <w:szCs w:val="18"/>
              </w:rPr>
            </w:pPr>
            <w:r>
              <w:rPr>
                <w:rFonts w:hint="eastAsia" w:ascii="宋体" w:hAnsi="宋体" w:eastAsia="宋体" w:cs="宋体"/>
                <w:sz w:val="18"/>
                <w:szCs w:val="18"/>
                <w:lang w:bidi="ar"/>
              </w:rPr>
              <w:t>规格</w:t>
            </w:r>
          </w:p>
        </w:tc>
        <w:tc>
          <w:tcPr>
            <w:tcW w:w="231" w:type="pct"/>
            <w:tcBorders>
              <w:top w:val="single" w:color="auto" w:sz="4" w:space="0"/>
              <w:left w:val="single" w:color="auto" w:sz="4" w:space="0"/>
              <w:bottom w:val="single" w:color="auto" w:sz="4" w:space="0"/>
              <w:right w:val="single" w:color="auto" w:sz="4" w:space="0"/>
            </w:tcBorders>
            <w:vAlign w:val="center"/>
          </w:tcPr>
          <w:p w14:paraId="12F80479">
            <w:pPr>
              <w:topLinePunct/>
              <w:snapToGrid w:val="0"/>
              <w:spacing w:before="40" w:after="40"/>
              <w:jc w:val="center"/>
              <w:rPr>
                <w:rFonts w:ascii="Times New Roman" w:hAnsi="Times New Roman" w:cs="Times New Roman"/>
                <w:sz w:val="18"/>
                <w:szCs w:val="18"/>
              </w:rPr>
            </w:pPr>
            <w:r>
              <w:rPr>
                <w:rFonts w:hint="eastAsia" w:ascii="宋体" w:hAnsi="宋体" w:eastAsia="宋体" w:cs="宋体"/>
                <w:sz w:val="18"/>
                <w:szCs w:val="18"/>
                <w:lang w:bidi="ar"/>
              </w:rPr>
              <w:t>数量</w:t>
            </w:r>
          </w:p>
        </w:tc>
        <w:tc>
          <w:tcPr>
            <w:tcW w:w="667" w:type="pct"/>
            <w:tcBorders>
              <w:top w:val="single" w:color="auto" w:sz="4" w:space="0"/>
              <w:left w:val="single" w:color="auto" w:sz="4" w:space="0"/>
              <w:bottom w:val="single" w:color="auto" w:sz="4" w:space="0"/>
              <w:right w:val="single" w:color="auto" w:sz="4" w:space="0"/>
            </w:tcBorders>
            <w:vAlign w:val="center"/>
          </w:tcPr>
          <w:p w14:paraId="4FD05486">
            <w:pPr>
              <w:topLinePunct/>
              <w:snapToGrid w:val="0"/>
              <w:spacing w:before="40" w:after="40"/>
              <w:jc w:val="center"/>
              <w:rPr>
                <w:rFonts w:ascii="Times New Roman" w:hAnsi="Times New Roman" w:cs="Times New Roman"/>
                <w:sz w:val="18"/>
                <w:szCs w:val="18"/>
              </w:rPr>
            </w:pPr>
            <w:r>
              <w:rPr>
                <w:rFonts w:hint="eastAsia" w:ascii="宋体" w:hAnsi="宋体" w:eastAsia="宋体" w:cs="宋体"/>
                <w:sz w:val="18"/>
                <w:szCs w:val="18"/>
                <w:lang w:bidi="ar"/>
              </w:rPr>
              <w:t>型号和规格</w:t>
            </w:r>
          </w:p>
        </w:tc>
        <w:tc>
          <w:tcPr>
            <w:tcW w:w="233" w:type="pct"/>
            <w:tcBorders>
              <w:top w:val="single" w:color="auto" w:sz="4" w:space="0"/>
              <w:left w:val="single" w:color="auto" w:sz="4" w:space="0"/>
              <w:bottom w:val="single" w:color="auto" w:sz="4" w:space="0"/>
              <w:right w:val="single" w:color="auto" w:sz="8" w:space="0"/>
            </w:tcBorders>
            <w:vAlign w:val="center"/>
          </w:tcPr>
          <w:p w14:paraId="064765DC">
            <w:pPr>
              <w:topLinePunct/>
              <w:snapToGrid w:val="0"/>
              <w:spacing w:before="40" w:after="40"/>
              <w:jc w:val="center"/>
              <w:rPr>
                <w:rFonts w:ascii="Times New Roman" w:hAnsi="Times New Roman" w:cs="Times New Roman"/>
                <w:sz w:val="18"/>
                <w:szCs w:val="18"/>
              </w:rPr>
            </w:pPr>
            <w:r>
              <w:rPr>
                <w:rFonts w:hint="eastAsia" w:ascii="宋体" w:hAnsi="宋体" w:eastAsia="宋体" w:cs="宋体"/>
                <w:sz w:val="18"/>
                <w:szCs w:val="18"/>
                <w:lang w:bidi="ar"/>
              </w:rPr>
              <w:t>数量</w:t>
            </w:r>
          </w:p>
        </w:tc>
      </w:tr>
      <w:tr w14:paraId="6B5D3B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tcBorders>
              <w:top w:val="single" w:color="auto" w:sz="4" w:space="0"/>
              <w:left w:val="single" w:color="auto" w:sz="8" w:space="0"/>
              <w:bottom w:val="single" w:color="auto" w:sz="4" w:space="0"/>
              <w:right w:val="single" w:color="auto" w:sz="4" w:space="0"/>
            </w:tcBorders>
            <w:noWrap/>
            <w:vAlign w:val="center"/>
          </w:tcPr>
          <w:p w14:paraId="4138C0C7">
            <w:pPr>
              <w:topLinePunct/>
              <w:snapToGrid w:val="0"/>
              <w:spacing w:before="40" w:after="40"/>
              <w:jc w:val="center"/>
              <w:rPr>
                <w:rFonts w:hint="eastAsia" w:ascii="宋体" w:hAnsi="宋体" w:eastAsia="宋体" w:cs="宋体"/>
                <w:sz w:val="18"/>
                <w:szCs w:val="18"/>
              </w:rPr>
            </w:pPr>
            <w:r>
              <w:rPr>
                <w:rFonts w:ascii="Times New Roman" w:hAnsi="Times New Roman" w:eastAsia="宋体" w:cs="Times New Roman"/>
                <w:sz w:val="18"/>
                <w:szCs w:val="18"/>
                <w:lang w:bidi="ar"/>
              </w:rPr>
              <w:t>1</w:t>
            </w:r>
          </w:p>
        </w:tc>
        <w:tc>
          <w:tcPr>
            <w:tcW w:w="1729" w:type="pct"/>
            <w:tcBorders>
              <w:top w:val="single" w:color="auto" w:sz="4" w:space="0"/>
              <w:left w:val="single" w:color="auto" w:sz="4" w:space="0"/>
              <w:bottom w:val="single" w:color="auto" w:sz="4" w:space="0"/>
              <w:right w:val="single" w:color="auto" w:sz="4" w:space="0"/>
            </w:tcBorders>
            <w:noWrap/>
            <w:vAlign w:val="center"/>
          </w:tcPr>
          <w:p w14:paraId="39486DEE">
            <w:pPr>
              <w:topLinePunct/>
              <w:snapToGrid w:val="0"/>
              <w:spacing w:before="40" w:after="40"/>
              <w:jc w:val="center"/>
              <w:rPr>
                <w:rFonts w:hint="eastAsia" w:ascii="宋体" w:hAnsi="宋体" w:eastAsia="宋体" w:cs="宋体"/>
                <w:sz w:val="18"/>
                <w:szCs w:val="18"/>
              </w:rPr>
            </w:pPr>
            <w:r>
              <w:rPr>
                <w:rFonts w:hint="eastAsia" w:ascii="宋体" w:hAnsi="宋体" w:eastAsia="宋体" w:cs="宋体"/>
                <w:sz w:val="18"/>
                <w:szCs w:val="18"/>
                <w:lang w:bidi="ar"/>
              </w:rPr>
              <w:t>箱式变电站（欧式）</w:t>
            </w:r>
          </w:p>
        </w:tc>
        <w:tc>
          <w:tcPr>
            <w:tcW w:w="801" w:type="pct"/>
            <w:tcBorders>
              <w:top w:val="single" w:color="auto" w:sz="4" w:space="0"/>
              <w:left w:val="single" w:color="auto" w:sz="4" w:space="0"/>
              <w:bottom w:val="single" w:color="auto" w:sz="4" w:space="0"/>
              <w:right w:val="single" w:color="auto" w:sz="4" w:space="0"/>
            </w:tcBorders>
            <w:noWrap/>
            <w:vAlign w:val="center"/>
          </w:tcPr>
          <w:p w14:paraId="2AAE22EC">
            <w:pPr>
              <w:topLinePunct/>
              <w:snapToGrid w:val="0"/>
              <w:spacing w:before="40" w:after="40"/>
              <w:jc w:val="center"/>
              <w:rPr>
                <w:rFonts w:hint="eastAsia" w:ascii="宋体" w:hAnsi="宋体" w:eastAsia="宋体" w:cs="Arial"/>
                <w:sz w:val="18"/>
                <w:szCs w:val="18"/>
              </w:rPr>
            </w:pPr>
          </w:p>
        </w:tc>
        <w:tc>
          <w:tcPr>
            <w:tcW w:w="1077" w:type="pct"/>
            <w:tcBorders>
              <w:top w:val="single" w:color="auto" w:sz="4" w:space="0"/>
              <w:left w:val="single" w:color="auto" w:sz="4" w:space="0"/>
              <w:bottom w:val="single" w:color="auto" w:sz="4" w:space="0"/>
              <w:right w:val="single" w:color="auto" w:sz="4" w:space="0"/>
            </w:tcBorders>
            <w:vAlign w:val="center"/>
          </w:tcPr>
          <w:p w14:paraId="757E7AF1">
            <w:pPr>
              <w:topLinePunct/>
              <w:snapToGrid w:val="0"/>
              <w:spacing w:before="40" w:after="40"/>
              <w:jc w:val="center"/>
              <w:rPr>
                <w:rFonts w:hint="eastAsia" w:ascii="宋体" w:hAnsi="宋体" w:eastAsia="宋体" w:cs="宋体"/>
                <w:sz w:val="18"/>
                <w:szCs w:val="18"/>
              </w:rPr>
            </w:pPr>
          </w:p>
        </w:tc>
        <w:tc>
          <w:tcPr>
            <w:tcW w:w="231" w:type="pct"/>
            <w:tcBorders>
              <w:top w:val="single" w:color="auto" w:sz="4" w:space="0"/>
              <w:left w:val="single" w:color="auto" w:sz="4" w:space="0"/>
              <w:bottom w:val="single" w:color="auto" w:sz="4" w:space="0"/>
              <w:right w:val="single" w:color="auto" w:sz="4" w:space="0"/>
            </w:tcBorders>
            <w:noWrap/>
            <w:vAlign w:val="center"/>
          </w:tcPr>
          <w:p w14:paraId="103F6D22">
            <w:pPr>
              <w:topLinePunct/>
              <w:snapToGrid w:val="0"/>
              <w:spacing w:before="40" w:after="40"/>
              <w:jc w:val="center"/>
              <w:rPr>
                <w:rFonts w:hint="eastAsia" w:ascii="宋体" w:hAnsi="宋体" w:eastAsia="宋体" w:cs="Arial"/>
                <w:sz w:val="18"/>
                <w:szCs w:val="18"/>
              </w:rPr>
            </w:pPr>
          </w:p>
        </w:tc>
        <w:tc>
          <w:tcPr>
            <w:tcW w:w="667" w:type="pct"/>
            <w:tcBorders>
              <w:top w:val="single" w:color="auto" w:sz="4" w:space="0"/>
              <w:left w:val="single" w:color="auto" w:sz="4" w:space="0"/>
              <w:bottom w:val="single" w:color="auto" w:sz="4" w:space="0"/>
              <w:right w:val="single" w:color="auto" w:sz="4" w:space="0"/>
            </w:tcBorders>
            <w:vAlign w:val="center"/>
          </w:tcPr>
          <w:p w14:paraId="6C4A754F">
            <w:pPr>
              <w:topLinePunct/>
              <w:snapToGrid w:val="0"/>
              <w:spacing w:before="40" w:after="40"/>
              <w:jc w:val="center"/>
              <w:rPr>
                <w:rFonts w:ascii="Times New Roman" w:hAnsi="Times New Roman" w:cs="Times New Roman"/>
                <w:sz w:val="18"/>
                <w:szCs w:val="18"/>
              </w:rPr>
            </w:pPr>
          </w:p>
        </w:tc>
        <w:tc>
          <w:tcPr>
            <w:tcW w:w="233" w:type="pct"/>
            <w:tcBorders>
              <w:top w:val="single" w:color="auto" w:sz="4" w:space="0"/>
              <w:left w:val="single" w:color="auto" w:sz="4" w:space="0"/>
              <w:bottom w:val="single" w:color="auto" w:sz="4" w:space="0"/>
              <w:right w:val="single" w:color="auto" w:sz="8" w:space="0"/>
            </w:tcBorders>
            <w:vAlign w:val="center"/>
          </w:tcPr>
          <w:p w14:paraId="7F834E3B">
            <w:pPr>
              <w:topLinePunct/>
              <w:snapToGrid w:val="0"/>
              <w:spacing w:before="40" w:after="40"/>
              <w:jc w:val="center"/>
              <w:rPr>
                <w:rFonts w:ascii="Times New Roman" w:hAnsi="Times New Roman" w:cs="Times New Roman"/>
                <w:sz w:val="18"/>
                <w:szCs w:val="18"/>
              </w:rPr>
            </w:pPr>
          </w:p>
        </w:tc>
      </w:tr>
      <w:tr w14:paraId="2539D4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tcBorders>
              <w:top w:val="single" w:color="auto" w:sz="4" w:space="0"/>
              <w:left w:val="single" w:color="auto" w:sz="8" w:space="0"/>
              <w:bottom w:val="single" w:color="auto" w:sz="4" w:space="0"/>
              <w:right w:val="single" w:color="auto" w:sz="4" w:space="0"/>
            </w:tcBorders>
            <w:noWrap/>
            <w:vAlign w:val="center"/>
          </w:tcPr>
          <w:p w14:paraId="72BD802A">
            <w:pPr>
              <w:topLinePunct/>
              <w:snapToGrid w:val="0"/>
              <w:spacing w:before="40" w:after="40"/>
              <w:jc w:val="center"/>
              <w:rPr>
                <w:rFonts w:ascii="Times New Roman" w:hAnsi="Times New Roman" w:cs="Times New Roman"/>
                <w:sz w:val="18"/>
                <w:szCs w:val="18"/>
              </w:rPr>
            </w:pPr>
            <w:r>
              <w:rPr>
                <w:rFonts w:ascii="Times New Roman" w:hAnsi="Times New Roman" w:eastAsia="宋体" w:cs="Times New Roman"/>
                <w:sz w:val="18"/>
                <w:szCs w:val="18"/>
                <w:lang w:bidi="ar"/>
              </w:rPr>
              <w:t>1.1</w:t>
            </w:r>
          </w:p>
        </w:tc>
        <w:tc>
          <w:tcPr>
            <w:tcW w:w="1729" w:type="pct"/>
            <w:tcBorders>
              <w:top w:val="single" w:color="auto" w:sz="4" w:space="0"/>
              <w:left w:val="single" w:color="auto" w:sz="4" w:space="0"/>
              <w:bottom w:val="single" w:color="auto" w:sz="4" w:space="0"/>
              <w:right w:val="single" w:color="auto" w:sz="4" w:space="0"/>
            </w:tcBorders>
            <w:noWrap/>
            <w:vAlign w:val="center"/>
          </w:tcPr>
          <w:p w14:paraId="6AEAB4AE">
            <w:pPr>
              <w:topLinePunct/>
              <w:snapToGrid w:val="0"/>
              <w:spacing w:before="40" w:after="40"/>
              <w:jc w:val="center"/>
              <w:rPr>
                <w:rFonts w:hint="eastAsia" w:ascii="宋体" w:hAnsi="宋体" w:eastAsia="宋体" w:cs="宋体"/>
                <w:sz w:val="18"/>
                <w:szCs w:val="18"/>
              </w:rPr>
            </w:pPr>
            <w:r>
              <w:rPr>
                <w:rFonts w:hint="eastAsia" w:ascii="宋体" w:hAnsi="宋体" w:eastAsia="宋体" w:cs="宋体"/>
                <w:sz w:val="18"/>
                <w:szCs w:val="18"/>
                <w:lang w:bidi="ar"/>
              </w:rPr>
              <w:t>变压器</w:t>
            </w:r>
          </w:p>
        </w:tc>
        <w:tc>
          <w:tcPr>
            <w:tcW w:w="801" w:type="pct"/>
            <w:tcBorders>
              <w:top w:val="single" w:color="auto" w:sz="4" w:space="0"/>
              <w:left w:val="single" w:color="auto" w:sz="4" w:space="0"/>
              <w:bottom w:val="single" w:color="auto" w:sz="4" w:space="0"/>
              <w:right w:val="single" w:color="auto" w:sz="4" w:space="0"/>
            </w:tcBorders>
            <w:noWrap/>
            <w:vAlign w:val="center"/>
          </w:tcPr>
          <w:p w14:paraId="492266EE">
            <w:pPr>
              <w:topLinePunct/>
              <w:snapToGrid w:val="0"/>
              <w:spacing w:before="40" w:after="40"/>
              <w:jc w:val="center"/>
              <w:rPr>
                <w:rFonts w:hint="eastAsia" w:ascii="宋体" w:hAnsi="宋体" w:eastAsia="宋体" w:cs="Arial"/>
                <w:sz w:val="18"/>
                <w:szCs w:val="18"/>
              </w:rPr>
            </w:pPr>
            <w:r>
              <w:rPr>
                <w:rFonts w:hint="eastAsia" w:ascii="宋体" w:hAnsi="宋体" w:eastAsia="宋体" w:cs="宋体"/>
                <w:sz w:val="18"/>
                <w:szCs w:val="18"/>
                <w:lang w:bidi="ar"/>
              </w:rPr>
              <w:t>套</w:t>
            </w:r>
          </w:p>
        </w:tc>
        <w:tc>
          <w:tcPr>
            <w:tcW w:w="1077" w:type="pct"/>
            <w:tcBorders>
              <w:top w:val="single" w:color="auto" w:sz="4" w:space="0"/>
              <w:left w:val="single" w:color="auto" w:sz="4" w:space="0"/>
              <w:bottom w:val="single" w:color="auto" w:sz="4" w:space="0"/>
              <w:right w:val="single" w:color="auto" w:sz="4" w:space="0"/>
            </w:tcBorders>
            <w:vAlign w:val="center"/>
          </w:tcPr>
          <w:p w14:paraId="47D38BB5">
            <w:pPr>
              <w:topLinePunct/>
              <w:snapToGrid w:val="0"/>
              <w:spacing w:before="40" w:after="40"/>
              <w:jc w:val="center"/>
              <w:rPr>
                <w:rFonts w:hint="eastAsia" w:ascii="宋体" w:hAnsi="宋体" w:eastAsia="宋体" w:cs="宋体"/>
                <w:sz w:val="18"/>
                <w:szCs w:val="18"/>
              </w:rPr>
            </w:pPr>
            <w:r>
              <w:rPr>
                <w:rFonts w:hint="eastAsia" w:ascii="宋体" w:hAnsi="宋体" w:eastAsia="宋体" w:cs="宋体"/>
                <w:sz w:val="18"/>
                <w:szCs w:val="18"/>
                <w:lang w:bidi="ar"/>
              </w:rPr>
              <w:t xml:space="preserve">SCB14-1000/10 </w:t>
            </w:r>
          </w:p>
          <w:p w14:paraId="19A37107">
            <w:pPr>
              <w:topLinePunct/>
              <w:snapToGrid w:val="0"/>
              <w:spacing w:before="40" w:after="40"/>
              <w:jc w:val="center"/>
              <w:rPr>
                <w:rFonts w:hint="eastAsia" w:ascii="宋体" w:hAnsi="宋体" w:eastAsia="宋体" w:cs="宋体"/>
                <w:sz w:val="18"/>
                <w:szCs w:val="18"/>
              </w:rPr>
            </w:pPr>
            <w:r>
              <w:rPr>
                <w:rFonts w:hint="eastAsia" w:ascii="宋体" w:hAnsi="宋体" w:eastAsia="宋体" w:cs="宋体"/>
                <w:sz w:val="18"/>
                <w:szCs w:val="18"/>
                <w:lang w:bidi="ar"/>
              </w:rPr>
              <w:t>10±2</w:t>
            </w:r>
            <w:r>
              <w:rPr>
                <w:rFonts w:hint="eastAsia" w:ascii="宋体" w:hAnsi="宋体" w:eastAsia="宋体" w:cs="宋体"/>
                <w:bCs/>
                <w:sz w:val="18"/>
                <w:szCs w:val="18"/>
                <w:lang w:bidi="ar"/>
              </w:rPr>
              <w:t>×</w:t>
            </w:r>
            <w:r>
              <w:rPr>
                <w:rFonts w:hint="eastAsia" w:ascii="宋体" w:hAnsi="宋体" w:eastAsia="宋体" w:cs="宋体"/>
                <w:sz w:val="18"/>
                <w:szCs w:val="18"/>
                <w:lang w:bidi="ar"/>
              </w:rPr>
              <w:t>2.5%/0.8kV, D/y11  Ud%=6%</w:t>
            </w:r>
          </w:p>
          <w:p w14:paraId="2E33DDF4">
            <w:pPr>
              <w:topLinePunct/>
              <w:snapToGrid w:val="0"/>
              <w:spacing w:before="40" w:after="40"/>
              <w:jc w:val="center"/>
              <w:rPr>
                <w:rFonts w:ascii="Times New Roman" w:hAnsi="Times New Roman" w:cs="Arial"/>
                <w:sz w:val="18"/>
                <w:szCs w:val="18"/>
              </w:rPr>
            </w:pPr>
            <w:r>
              <w:rPr>
                <w:rFonts w:hint="eastAsia" w:ascii="宋体" w:hAnsi="宋体" w:eastAsia="宋体" w:cs="宋体"/>
                <w:sz w:val="18"/>
                <w:szCs w:val="18"/>
                <w:lang w:bidi="ar"/>
              </w:rPr>
              <w:t>二级能效</w:t>
            </w:r>
          </w:p>
        </w:tc>
        <w:tc>
          <w:tcPr>
            <w:tcW w:w="231" w:type="pct"/>
            <w:tcBorders>
              <w:top w:val="single" w:color="auto" w:sz="4" w:space="0"/>
              <w:left w:val="single" w:color="auto" w:sz="4" w:space="0"/>
              <w:bottom w:val="single" w:color="auto" w:sz="4" w:space="0"/>
              <w:right w:val="single" w:color="auto" w:sz="4" w:space="0"/>
            </w:tcBorders>
            <w:noWrap/>
            <w:vAlign w:val="center"/>
          </w:tcPr>
          <w:p w14:paraId="16D6AD43">
            <w:pPr>
              <w:topLinePunct/>
              <w:snapToGrid w:val="0"/>
              <w:spacing w:before="40" w:after="40"/>
              <w:jc w:val="center"/>
              <w:rPr>
                <w:rFonts w:hint="eastAsia" w:ascii="宋体" w:hAnsi="宋体" w:eastAsia="宋体" w:cs="Arial"/>
                <w:sz w:val="18"/>
                <w:szCs w:val="18"/>
              </w:rPr>
            </w:pPr>
            <w:r>
              <w:rPr>
                <w:rFonts w:ascii="Times New Roman" w:hAnsi="Times New Roman" w:eastAsia="宋体" w:cs="Times New Roman"/>
                <w:sz w:val="18"/>
                <w:szCs w:val="18"/>
                <w:lang w:bidi="ar"/>
              </w:rPr>
              <w:t>1</w:t>
            </w:r>
          </w:p>
        </w:tc>
        <w:tc>
          <w:tcPr>
            <w:tcW w:w="667" w:type="pct"/>
            <w:tcBorders>
              <w:top w:val="single" w:color="auto" w:sz="4" w:space="0"/>
              <w:left w:val="single" w:color="auto" w:sz="4" w:space="0"/>
              <w:bottom w:val="single" w:color="auto" w:sz="4" w:space="0"/>
              <w:right w:val="single" w:color="auto" w:sz="4" w:space="0"/>
            </w:tcBorders>
            <w:vAlign w:val="center"/>
          </w:tcPr>
          <w:p w14:paraId="44C1B217">
            <w:pPr>
              <w:topLinePunct/>
              <w:snapToGrid w:val="0"/>
              <w:spacing w:before="40" w:after="40"/>
              <w:jc w:val="center"/>
              <w:rPr>
                <w:rFonts w:ascii="Times New Roman" w:hAnsi="Times New Roman" w:cs="Times New Roman"/>
                <w:sz w:val="18"/>
                <w:szCs w:val="18"/>
              </w:rPr>
            </w:pPr>
          </w:p>
        </w:tc>
        <w:tc>
          <w:tcPr>
            <w:tcW w:w="233" w:type="pct"/>
            <w:tcBorders>
              <w:top w:val="single" w:color="auto" w:sz="4" w:space="0"/>
              <w:left w:val="single" w:color="auto" w:sz="4" w:space="0"/>
              <w:bottom w:val="single" w:color="auto" w:sz="4" w:space="0"/>
              <w:right w:val="single" w:color="auto" w:sz="8" w:space="0"/>
            </w:tcBorders>
            <w:vAlign w:val="center"/>
          </w:tcPr>
          <w:p w14:paraId="55D9F286">
            <w:pPr>
              <w:topLinePunct/>
              <w:snapToGrid w:val="0"/>
              <w:spacing w:before="40" w:after="40"/>
              <w:jc w:val="center"/>
              <w:rPr>
                <w:rFonts w:ascii="Times New Roman" w:hAnsi="Times New Roman" w:cs="Times New Roman"/>
                <w:sz w:val="18"/>
                <w:szCs w:val="18"/>
              </w:rPr>
            </w:pPr>
          </w:p>
        </w:tc>
      </w:tr>
      <w:tr w14:paraId="4062A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tcBorders>
              <w:top w:val="single" w:color="auto" w:sz="4" w:space="0"/>
              <w:left w:val="single" w:color="auto" w:sz="8" w:space="0"/>
              <w:bottom w:val="single" w:color="auto" w:sz="4" w:space="0"/>
              <w:right w:val="single" w:color="auto" w:sz="4" w:space="0"/>
            </w:tcBorders>
            <w:noWrap/>
            <w:vAlign w:val="center"/>
          </w:tcPr>
          <w:p w14:paraId="368D7F7D">
            <w:pPr>
              <w:topLinePunct/>
              <w:snapToGrid w:val="0"/>
              <w:spacing w:before="40" w:after="40"/>
              <w:jc w:val="center"/>
              <w:rPr>
                <w:rFonts w:hint="eastAsia" w:ascii="宋体" w:hAnsi="宋体" w:eastAsia="宋体" w:cs="宋体"/>
                <w:sz w:val="18"/>
                <w:szCs w:val="18"/>
              </w:rPr>
            </w:pPr>
            <w:r>
              <w:rPr>
                <w:rFonts w:ascii="Times New Roman" w:hAnsi="Times New Roman" w:eastAsia="宋体" w:cs="Times New Roman"/>
                <w:sz w:val="18"/>
                <w:szCs w:val="18"/>
                <w:lang w:bidi="ar"/>
              </w:rPr>
              <w:t>1.2</w:t>
            </w:r>
          </w:p>
        </w:tc>
        <w:tc>
          <w:tcPr>
            <w:tcW w:w="1729" w:type="pct"/>
            <w:tcBorders>
              <w:top w:val="single" w:color="auto" w:sz="4" w:space="0"/>
              <w:left w:val="single" w:color="auto" w:sz="4" w:space="0"/>
              <w:bottom w:val="single" w:color="auto" w:sz="4" w:space="0"/>
              <w:right w:val="single" w:color="auto" w:sz="4" w:space="0"/>
            </w:tcBorders>
            <w:noWrap/>
            <w:vAlign w:val="center"/>
          </w:tcPr>
          <w:p w14:paraId="6D60C0A4">
            <w:pPr>
              <w:topLinePunct/>
              <w:snapToGrid w:val="0"/>
              <w:spacing w:before="40" w:after="40"/>
              <w:jc w:val="center"/>
              <w:rPr>
                <w:rFonts w:hint="eastAsia" w:ascii="宋体" w:hAnsi="宋体" w:eastAsia="宋体" w:cs="宋体"/>
                <w:sz w:val="18"/>
                <w:szCs w:val="18"/>
              </w:rPr>
            </w:pPr>
            <w:r>
              <w:rPr>
                <w:rFonts w:hint="eastAsia" w:ascii="宋体" w:hAnsi="宋体" w:eastAsia="宋体" w:cs="宋体"/>
                <w:sz w:val="18"/>
                <w:szCs w:val="18"/>
                <w:lang w:bidi="ar"/>
              </w:rPr>
              <w:t>变压器</w:t>
            </w:r>
          </w:p>
        </w:tc>
        <w:tc>
          <w:tcPr>
            <w:tcW w:w="801" w:type="pct"/>
            <w:tcBorders>
              <w:top w:val="single" w:color="auto" w:sz="4" w:space="0"/>
              <w:left w:val="single" w:color="auto" w:sz="4" w:space="0"/>
              <w:bottom w:val="single" w:color="auto" w:sz="4" w:space="0"/>
              <w:right w:val="single" w:color="auto" w:sz="4" w:space="0"/>
            </w:tcBorders>
            <w:noWrap/>
            <w:vAlign w:val="center"/>
          </w:tcPr>
          <w:p w14:paraId="33CB3270">
            <w:pPr>
              <w:topLinePunct/>
              <w:snapToGrid w:val="0"/>
              <w:spacing w:before="40" w:after="40"/>
              <w:jc w:val="center"/>
              <w:rPr>
                <w:rFonts w:hint="eastAsia" w:ascii="宋体" w:hAnsi="宋体" w:eastAsia="宋体" w:cs="Arial"/>
                <w:sz w:val="18"/>
                <w:szCs w:val="18"/>
              </w:rPr>
            </w:pPr>
            <w:r>
              <w:rPr>
                <w:rFonts w:hint="eastAsia" w:ascii="宋体" w:hAnsi="宋体" w:eastAsia="宋体" w:cs="宋体"/>
                <w:sz w:val="18"/>
                <w:szCs w:val="18"/>
                <w:lang w:bidi="ar"/>
              </w:rPr>
              <w:t>套</w:t>
            </w:r>
          </w:p>
        </w:tc>
        <w:tc>
          <w:tcPr>
            <w:tcW w:w="1077" w:type="pct"/>
            <w:tcBorders>
              <w:top w:val="single" w:color="auto" w:sz="4" w:space="0"/>
              <w:left w:val="single" w:color="auto" w:sz="4" w:space="0"/>
              <w:bottom w:val="single" w:color="auto" w:sz="4" w:space="0"/>
              <w:right w:val="single" w:color="auto" w:sz="4" w:space="0"/>
            </w:tcBorders>
            <w:vAlign w:val="center"/>
          </w:tcPr>
          <w:p w14:paraId="155ACB08">
            <w:pPr>
              <w:topLinePunct/>
              <w:snapToGrid w:val="0"/>
              <w:spacing w:before="40" w:after="40"/>
              <w:jc w:val="center"/>
              <w:rPr>
                <w:rFonts w:hint="eastAsia" w:ascii="宋体" w:hAnsi="宋体" w:eastAsia="宋体" w:cs="宋体"/>
                <w:sz w:val="18"/>
                <w:szCs w:val="18"/>
              </w:rPr>
            </w:pPr>
            <w:r>
              <w:rPr>
                <w:rFonts w:hint="eastAsia" w:ascii="宋体" w:hAnsi="宋体" w:eastAsia="宋体" w:cs="宋体"/>
                <w:sz w:val="18"/>
                <w:szCs w:val="18"/>
                <w:lang w:bidi="ar"/>
              </w:rPr>
              <w:t xml:space="preserve">SCB14-2000/10 </w:t>
            </w:r>
          </w:p>
          <w:p w14:paraId="572BAB4D">
            <w:pPr>
              <w:topLinePunct/>
              <w:snapToGrid w:val="0"/>
              <w:spacing w:before="40" w:after="40"/>
              <w:jc w:val="center"/>
              <w:rPr>
                <w:rFonts w:hint="eastAsia" w:ascii="宋体" w:hAnsi="宋体" w:eastAsia="宋体" w:cs="宋体"/>
                <w:sz w:val="18"/>
                <w:szCs w:val="18"/>
              </w:rPr>
            </w:pPr>
            <w:r>
              <w:rPr>
                <w:rFonts w:hint="eastAsia" w:ascii="宋体" w:hAnsi="宋体" w:eastAsia="宋体" w:cs="宋体"/>
                <w:sz w:val="18"/>
                <w:szCs w:val="18"/>
                <w:lang w:bidi="ar"/>
              </w:rPr>
              <w:t>10±2</w:t>
            </w:r>
            <w:r>
              <w:rPr>
                <w:rFonts w:hint="eastAsia" w:ascii="宋体" w:hAnsi="宋体" w:eastAsia="宋体" w:cs="宋体"/>
                <w:bCs/>
                <w:sz w:val="18"/>
                <w:szCs w:val="18"/>
                <w:lang w:bidi="ar"/>
              </w:rPr>
              <w:t>×</w:t>
            </w:r>
            <w:r>
              <w:rPr>
                <w:rFonts w:hint="eastAsia" w:ascii="宋体" w:hAnsi="宋体" w:eastAsia="宋体" w:cs="宋体"/>
                <w:sz w:val="18"/>
                <w:szCs w:val="18"/>
                <w:lang w:bidi="ar"/>
              </w:rPr>
              <w:t>2.5%/0.4kV, D/y11  Ud%=6%</w:t>
            </w:r>
          </w:p>
          <w:p w14:paraId="4157880F">
            <w:pPr>
              <w:topLinePunct/>
              <w:snapToGrid w:val="0"/>
              <w:spacing w:before="40" w:after="40"/>
              <w:jc w:val="center"/>
              <w:rPr>
                <w:rFonts w:ascii="Times New Roman" w:hAnsi="Times New Roman" w:cs="Arial"/>
                <w:sz w:val="18"/>
                <w:szCs w:val="18"/>
              </w:rPr>
            </w:pPr>
            <w:r>
              <w:rPr>
                <w:rFonts w:hint="eastAsia" w:ascii="宋体" w:hAnsi="宋体" w:eastAsia="宋体" w:cs="宋体"/>
                <w:sz w:val="18"/>
                <w:szCs w:val="18"/>
                <w:lang w:bidi="ar"/>
              </w:rPr>
              <w:t>二级能效</w:t>
            </w:r>
          </w:p>
        </w:tc>
        <w:tc>
          <w:tcPr>
            <w:tcW w:w="231" w:type="pct"/>
            <w:tcBorders>
              <w:top w:val="single" w:color="auto" w:sz="4" w:space="0"/>
              <w:left w:val="single" w:color="auto" w:sz="4" w:space="0"/>
              <w:bottom w:val="single" w:color="auto" w:sz="4" w:space="0"/>
              <w:right w:val="single" w:color="auto" w:sz="4" w:space="0"/>
            </w:tcBorders>
            <w:noWrap/>
            <w:vAlign w:val="center"/>
          </w:tcPr>
          <w:p w14:paraId="560B6E2E">
            <w:pPr>
              <w:topLinePunct/>
              <w:snapToGrid w:val="0"/>
              <w:spacing w:before="40" w:after="40"/>
              <w:jc w:val="center"/>
              <w:rPr>
                <w:rFonts w:ascii="Times New Roman" w:hAnsi="Times New Roman" w:cs="Times New Roman"/>
                <w:sz w:val="18"/>
                <w:szCs w:val="18"/>
              </w:rPr>
            </w:pPr>
            <w:r>
              <w:rPr>
                <w:rFonts w:ascii="Times New Roman" w:hAnsi="Times New Roman" w:eastAsia="宋体" w:cs="Times New Roman"/>
                <w:sz w:val="18"/>
                <w:szCs w:val="18"/>
                <w:lang w:bidi="ar"/>
              </w:rPr>
              <w:t>1</w:t>
            </w:r>
          </w:p>
        </w:tc>
        <w:tc>
          <w:tcPr>
            <w:tcW w:w="667" w:type="pct"/>
            <w:tcBorders>
              <w:top w:val="single" w:color="auto" w:sz="4" w:space="0"/>
              <w:left w:val="single" w:color="auto" w:sz="4" w:space="0"/>
              <w:bottom w:val="single" w:color="auto" w:sz="4" w:space="0"/>
              <w:right w:val="single" w:color="auto" w:sz="4" w:space="0"/>
            </w:tcBorders>
            <w:vAlign w:val="center"/>
          </w:tcPr>
          <w:p w14:paraId="0F8EC689">
            <w:pPr>
              <w:topLinePunct/>
              <w:snapToGrid w:val="0"/>
              <w:spacing w:before="40" w:after="40"/>
              <w:jc w:val="center"/>
              <w:rPr>
                <w:rFonts w:ascii="Times New Roman" w:hAnsi="Times New Roman" w:cs="Times New Roman"/>
                <w:sz w:val="18"/>
                <w:szCs w:val="18"/>
              </w:rPr>
            </w:pPr>
          </w:p>
        </w:tc>
        <w:tc>
          <w:tcPr>
            <w:tcW w:w="233" w:type="pct"/>
            <w:tcBorders>
              <w:top w:val="single" w:color="auto" w:sz="4" w:space="0"/>
              <w:left w:val="single" w:color="auto" w:sz="4" w:space="0"/>
              <w:bottom w:val="single" w:color="auto" w:sz="4" w:space="0"/>
              <w:right w:val="single" w:color="auto" w:sz="8" w:space="0"/>
            </w:tcBorders>
            <w:vAlign w:val="center"/>
          </w:tcPr>
          <w:p w14:paraId="736337DA">
            <w:pPr>
              <w:topLinePunct/>
              <w:snapToGrid w:val="0"/>
              <w:spacing w:before="40" w:after="40"/>
              <w:jc w:val="center"/>
              <w:rPr>
                <w:rFonts w:ascii="Times New Roman" w:hAnsi="Times New Roman" w:cs="Times New Roman"/>
                <w:sz w:val="18"/>
                <w:szCs w:val="18"/>
              </w:rPr>
            </w:pPr>
          </w:p>
        </w:tc>
      </w:tr>
      <w:tr w14:paraId="7EBB0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tcBorders>
              <w:top w:val="single" w:color="auto" w:sz="4" w:space="0"/>
              <w:left w:val="single" w:color="auto" w:sz="8" w:space="0"/>
              <w:bottom w:val="single" w:color="auto" w:sz="4" w:space="0"/>
              <w:right w:val="single" w:color="auto" w:sz="4" w:space="0"/>
            </w:tcBorders>
            <w:noWrap/>
            <w:vAlign w:val="center"/>
          </w:tcPr>
          <w:p w14:paraId="24C71B18">
            <w:pPr>
              <w:topLinePunct/>
              <w:snapToGrid w:val="0"/>
              <w:spacing w:before="40" w:after="40"/>
              <w:jc w:val="center"/>
              <w:rPr>
                <w:rFonts w:hint="eastAsia" w:ascii="宋体" w:hAnsi="宋体" w:eastAsia="宋体" w:cs="宋体"/>
                <w:sz w:val="18"/>
                <w:szCs w:val="18"/>
              </w:rPr>
            </w:pPr>
            <w:r>
              <w:rPr>
                <w:rFonts w:ascii="Times New Roman" w:hAnsi="Times New Roman" w:eastAsia="宋体" w:cs="Times New Roman"/>
                <w:sz w:val="18"/>
                <w:szCs w:val="18"/>
                <w:lang w:bidi="ar"/>
              </w:rPr>
              <w:t>1.3</w:t>
            </w:r>
          </w:p>
        </w:tc>
        <w:tc>
          <w:tcPr>
            <w:tcW w:w="1729" w:type="pct"/>
            <w:tcBorders>
              <w:top w:val="single" w:color="auto" w:sz="4" w:space="0"/>
              <w:left w:val="single" w:color="auto" w:sz="4" w:space="0"/>
              <w:bottom w:val="single" w:color="auto" w:sz="4" w:space="0"/>
              <w:right w:val="single" w:color="auto" w:sz="4" w:space="0"/>
            </w:tcBorders>
            <w:noWrap/>
            <w:vAlign w:val="center"/>
          </w:tcPr>
          <w:p w14:paraId="0567393F">
            <w:pPr>
              <w:topLinePunct/>
              <w:snapToGrid w:val="0"/>
              <w:spacing w:before="40" w:after="40"/>
              <w:jc w:val="center"/>
              <w:rPr>
                <w:rFonts w:hint="eastAsia" w:ascii="宋体" w:hAnsi="宋体" w:eastAsia="宋体" w:cs="宋体"/>
                <w:sz w:val="18"/>
                <w:szCs w:val="18"/>
              </w:rPr>
            </w:pPr>
            <w:r>
              <w:rPr>
                <w:rFonts w:hint="eastAsia" w:ascii="宋体" w:hAnsi="宋体" w:eastAsia="宋体" w:cs="宋体"/>
                <w:sz w:val="18"/>
                <w:szCs w:val="18"/>
                <w:lang w:bidi="ar"/>
              </w:rPr>
              <w:t>变压器</w:t>
            </w:r>
          </w:p>
        </w:tc>
        <w:tc>
          <w:tcPr>
            <w:tcW w:w="801" w:type="pct"/>
            <w:tcBorders>
              <w:top w:val="single" w:color="auto" w:sz="4" w:space="0"/>
              <w:left w:val="single" w:color="auto" w:sz="4" w:space="0"/>
              <w:bottom w:val="single" w:color="auto" w:sz="4" w:space="0"/>
              <w:right w:val="single" w:color="auto" w:sz="4" w:space="0"/>
            </w:tcBorders>
            <w:noWrap/>
            <w:vAlign w:val="center"/>
          </w:tcPr>
          <w:p w14:paraId="640BCAF9">
            <w:pPr>
              <w:topLinePunct/>
              <w:snapToGrid w:val="0"/>
              <w:spacing w:before="40" w:after="40"/>
              <w:jc w:val="center"/>
              <w:rPr>
                <w:rFonts w:hint="eastAsia" w:ascii="宋体" w:hAnsi="宋体" w:eastAsia="宋体" w:cs="Arial"/>
                <w:sz w:val="18"/>
                <w:szCs w:val="18"/>
              </w:rPr>
            </w:pPr>
            <w:r>
              <w:rPr>
                <w:rFonts w:hint="eastAsia" w:ascii="宋体" w:hAnsi="宋体" w:eastAsia="宋体" w:cs="宋体"/>
                <w:sz w:val="18"/>
                <w:szCs w:val="18"/>
                <w:lang w:bidi="ar"/>
              </w:rPr>
              <w:t>套</w:t>
            </w:r>
          </w:p>
        </w:tc>
        <w:tc>
          <w:tcPr>
            <w:tcW w:w="1077" w:type="pct"/>
            <w:tcBorders>
              <w:top w:val="single" w:color="auto" w:sz="4" w:space="0"/>
              <w:left w:val="single" w:color="auto" w:sz="4" w:space="0"/>
              <w:bottom w:val="single" w:color="auto" w:sz="4" w:space="0"/>
              <w:right w:val="single" w:color="auto" w:sz="4" w:space="0"/>
            </w:tcBorders>
            <w:vAlign w:val="center"/>
          </w:tcPr>
          <w:p w14:paraId="3376AF4A">
            <w:pPr>
              <w:topLinePunct/>
              <w:snapToGrid w:val="0"/>
              <w:spacing w:before="40" w:after="40"/>
              <w:jc w:val="center"/>
              <w:rPr>
                <w:rFonts w:hint="eastAsia" w:ascii="宋体" w:hAnsi="宋体" w:eastAsia="宋体" w:cs="宋体"/>
                <w:sz w:val="18"/>
                <w:szCs w:val="18"/>
              </w:rPr>
            </w:pPr>
            <w:r>
              <w:rPr>
                <w:rFonts w:hint="eastAsia" w:ascii="宋体" w:hAnsi="宋体" w:eastAsia="宋体" w:cs="宋体"/>
                <w:sz w:val="18"/>
                <w:szCs w:val="18"/>
                <w:lang w:bidi="ar"/>
              </w:rPr>
              <w:t xml:space="preserve">SCB14-2000/10 </w:t>
            </w:r>
          </w:p>
          <w:p w14:paraId="6B2F74E2">
            <w:pPr>
              <w:topLinePunct/>
              <w:snapToGrid w:val="0"/>
              <w:spacing w:before="40" w:after="40"/>
              <w:jc w:val="center"/>
              <w:rPr>
                <w:rFonts w:hint="eastAsia" w:ascii="宋体" w:hAnsi="宋体" w:eastAsia="宋体" w:cs="宋体"/>
                <w:sz w:val="18"/>
                <w:szCs w:val="18"/>
              </w:rPr>
            </w:pPr>
            <w:r>
              <w:rPr>
                <w:rFonts w:hint="eastAsia" w:ascii="宋体" w:hAnsi="宋体" w:eastAsia="宋体" w:cs="宋体"/>
                <w:sz w:val="18"/>
                <w:szCs w:val="18"/>
                <w:lang w:bidi="ar"/>
              </w:rPr>
              <w:t>10±2</w:t>
            </w:r>
            <w:r>
              <w:rPr>
                <w:rFonts w:hint="eastAsia" w:ascii="宋体" w:hAnsi="宋体" w:eastAsia="宋体" w:cs="宋体"/>
                <w:bCs/>
                <w:sz w:val="18"/>
                <w:szCs w:val="18"/>
                <w:lang w:bidi="ar"/>
              </w:rPr>
              <w:t>×</w:t>
            </w:r>
            <w:r>
              <w:rPr>
                <w:rFonts w:hint="eastAsia" w:ascii="宋体" w:hAnsi="宋体" w:eastAsia="宋体" w:cs="宋体"/>
                <w:sz w:val="18"/>
                <w:szCs w:val="18"/>
                <w:lang w:bidi="ar"/>
              </w:rPr>
              <w:t>2.5%/0.8kV, D/y11  Ud%=6%</w:t>
            </w:r>
          </w:p>
          <w:p w14:paraId="16A3FB7D">
            <w:pPr>
              <w:topLinePunct/>
              <w:snapToGrid w:val="0"/>
              <w:spacing w:before="40" w:after="40"/>
              <w:jc w:val="center"/>
              <w:rPr>
                <w:rFonts w:ascii="Times New Roman" w:hAnsi="Times New Roman" w:cs="Arial"/>
                <w:sz w:val="18"/>
                <w:szCs w:val="18"/>
              </w:rPr>
            </w:pPr>
            <w:r>
              <w:rPr>
                <w:rFonts w:hint="eastAsia" w:ascii="宋体" w:hAnsi="宋体" w:eastAsia="宋体" w:cs="宋体"/>
                <w:sz w:val="18"/>
                <w:szCs w:val="18"/>
                <w:lang w:bidi="ar"/>
              </w:rPr>
              <w:t>二级能效</w:t>
            </w:r>
          </w:p>
        </w:tc>
        <w:tc>
          <w:tcPr>
            <w:tcW w:w="231" w:type="pct"/>
            <w:tcBorders>
              <w:top w:val="single" w:color="auto" w:sz="4" w:space="0"/>
              <w:left w:val="single" w:color="auto" w:sz="4" w:space="0"/>
              <w:bottom w:val="single" w:color="auto" w:sz="4" w:space="0"/>
              <w:right w:val="single" w:color="auto" w:sz="4" w:space="0"/>
            </w:tcBorders>
            <w:noWrap/>
            <w:vAlign w:val="center"/>
          </w:tcPr>
          <w:p w14:paraId="2BF3A7C7">
            <w:pPr>
              <w:topLinePunct/>
              <w:snapToGrid w:val="0"/>
              <w:spacing w:before="40" w:after="40"/>
              <w:jc w:val="center"/>
              <w:rPr>
                <w:rFonts w:ascii="Times New Roman" w:hAnsi="Times New Roman" w:cs="Times New Roman"/>
                <w:sz w:val="18"/>
                <w:szCs w:val="18"/>
              </w:rPr>
            </w:pPr>
            <w:r>
              <w:rPr>
                <w:rFonts w:ascii="Times New Roman" w:hAnsi="Times New Roman" w:eastAsia="宋体" w:cs="Times New Roman"/>
                <w:sz w:val="18"/>
                <w:szCs w:val="18"/>
                <w:lang w:bidi="ar"/>
              </w:rPr>
              <w:t>1</w:t>
            </w:r>
          </w:p>
        </w:tc>
        <w:tc>
          <w:tcPr>
            <w:tcW w:w="667" w:type="pct"/>
            <w:tcBorders>
              <w:top w:val="single" w:color="auto" w:sz="4" w:space="0"/>
              <w:left w:val="single" w:color="auto" w:sz="4" w:space="0"/>
              <w:bottom w:val="single" w:color="auto" w:sz="4" w:space="0"/>
              <w:right w:val="single" w:color="auto" w:sz="4" w:space="0"/>
            </w:tcBorders>
            <w:vAlign w:val="center"/>
          </w:tcPr>
          <w:p w14:paraId="3D784E11">
            <w:pPr>
              <w:topLinePunct/>
              <w:snapToGrid w:val="0"/>
              <w:spacing w:before="40" w:after="40"/>
              <w:jc w:val="center"/>
              <w:rPr>
                <w:rFonts w:ascii="Times New Roman" w:hAnsi="Times New Roman" w:cs="Times New Roman"/>
                <w:sz w:val="18"/>
                <w:szCs w:val="18"/>
              </w:rPr>
            </w:pPr>
          </w:p>
        </w:tc>
        <w:tc>
          <w:tcPr>
            <w:tcW w:w="233" w:type="pct"/>
            <w:tcBorders>
              <w:top w:val="single" w:color="auto" w:sz="4" w:space="0"/>
              <w:left w:val="single" w:color="auto" w:sz="4" w:space="0"/>
              <w:bottom w:val="single" w:color="auto" w:sz="4" w:space="0"/>
              <w:right w:val="single" w:color="auto" w:sz="8" w:space="0"/>
            </w:tcBorders>
            <w:vAlign w:val="center"/>
          </w:tcPr>
          <w:p w14:paraId="4B57B4AC">
            <w:pPr>
              <w:topLinePunct/>
              <w:snapToGrid w:val="0"/>
              <w:spacing w:before="40" w:after="40"/>
              <w:jc w:val="center"/>
              <w:rPr>
                <w:rFonts w:ascii="Times New Roman" w:hAnsi="Times New Roman" w:cs="Times New Roman"/>
                <w:sz w:val="18"/>
                <w:szCs w:val="18"/>
              </w:rPr>
            </w:pPr>
          </w:p>
        </w:tc>
      </w:tr>
      <w:tr w14:paraId="4BB3F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tcBorders>
              <w:top w:val="single" w:color="auto" w:sz="4" w:space="0"/>
              <w:left w:val="single" w:color="auto" w:sz="8" w:space="0"/>
              <w:bottom w:val="single" w:color="auto" w:sz="4" w:space="0"/>
              <w:right w:val="single" w:color="auto" w:sz="4" w:space="0"/>
            </w:tcBorders>
            <w:noWrap/>
            <w:vAlign w:val="center"/>
          </w:tcPr>
          <w:p w14:paraId="678D96BA">
            <w:pPr>
              <w:topLinePunct/>
              <w:snapToGrid w:val="0"/>
              <w:spacing w:before="40" w:after="40"/>
              <w:jc w:val="center"/>
              <w:rPr>
                <w:rFonts w:ascii="Times New Roman" w:hAnsi="Times New Roman" w:cs="Times New Roman"/>
                <w:sz w:val="18"/>
                <w:szCs w:val="18"/>
              </w:rPr>
            </w:pPr>
            <w:r>
              <w:rPr>
                <w:rFonts w:ascii="Times New Roman" w:hAnsi="Times New Roman" w:eastAsia="宋体" w:cs="Times New Roman"/>
                <w:sz w:val="18"/>
                <w:szCs w:val="18"/>
                <w:lang w:bidi="ar"/>
              </w:rPr>
              <w:t>1.4</w:t>
            </w:r>
          </w:p>
        </w:tc>
        <w:tc>
          <w:tcPr>
            <w:tcW w:w="1729" w:type="pct"/>
            <w:tcBorders>
              <w:top w:val="single" w:color="auto" w:sz="4" w:space="0"/>
              <w:left w:val="single" w:color="auto" w:sz="4" w:space="0"/>
              <w:bottom w:val="single" w:color="auto" w:sz="4" w:space="0"/>
              <w:right w:val="single" w:color="auto" w:sz="4" w:space="0"/>
            </w:tcBorders>
            <w:noWrap/>
            <w:vAlign w:val="center"/>
          </w:tcPr>
          <w:p w14:paraId="3DDC53E2">
            <w:pPr>
              <w:jc w:val="center"/>
              <w:rPr>
                <w:rFonts w:hint="eastAsia" w:ascii="宋体" w:hAnsi="宋体" w:eastAsia="宋体" w:cs="宋体"/>
                <w:color w:val="000000"/>
                <w:szCs w:val="21"/>
              </w:rPr>
            </w:pPr>
            <w:r>
              <w:rPr>
                <w:rFonts w:hint="eastAsia" w:ascii="宋体" w:hAnsi="宋体" w:eastAsia="宋体" w:cs="宋体"/>
                <w:szCs w:val="21"/>
                <w:lang w:bidi="ar"/>
              </w:rPr>
              <w:t>百兆增强型纵向加密认证装置</w:t>
            </w:r>
          </w:p>
        </w:tc>
        <w:tc>
          <w:tcPr>
            <w:tcW w:w="801" w:type="pct"/>
            <w:tcBorders>
              <w:top w:val="single" w:color="auto" w:sz="4" w:space="0"/>
              <w:left w:val="single" w:color="auto" w:sz="4" w:space="0"/>
              <w:bottom w:val="single" w:color="auto" w:sz="4" w:space="0"/>
              <w:right w:val="single" w:color="auto" w:sz="4" w:space="0"/>
            </w:tcBorders>
            <w:noWrap/>
            <w:vAlign w:val="center"/>
          </w:tcPr>
          <w:p w14:paraId="488AD7AC">
            <w:pPr>
              <w:jc w:val="center"/>
              <w:rPr>
                <w:rFonts w:hint="eastAsia" w:ascii="宋体" w:hAnsi="宋体" w:eastAsia="宋体" w:cs="宋体"/>
                <w:color w:val="000000"/>
                <w:szCs w:val="21"/>
              </w:rPr>
            </w:pPr>
            <w:r>
              <w:rPr>
                <w:rFonts w:hint="eastAsia" w:ascii="宋体" w:hAnsi="宋体" w:eastAsia="宋体" w:cs="宋体"/>
                <w:spacing w:val="10"/>
                <w:szCs w:val="21"/>
                <w:lang w:bidi="ar"/>
              </w:rPr>
              <w:t>禄口机场变</w:t>
            </w:r>
          </w:p>
        </w:tc>
        <w:tc>
          <w:tcPr>
            <w:tcW w:w="1077" w:type="pct"/>
            <w:tcBorders>
              <w:top w:val="single" w:color="auto" w:sz="4" w:space="0"/>
              <w:left w:val="single" w:color="auto" w:sz="4" w:space="0"/>
              <w:bottom w:val="single" w:color="auto" w:sz="4" w:space="0"/>
              <w:right w:val="single" w:color="auto" w:sz="4" w:space="0"/>
            </w:tcBorders>
            <w:vAlign w:val="center"/>
          </w:tcPr>
          <w:p w14:paraId="1180C1C5">
            <w:pPr>
              <w:jc w:val="center"/>
              <w:rPr>
                <w:rFonts w:hint="eastAsia" w:ascii="宋体" w:hAnsi="宋体" w:eastAsia="宋体" w:cs="宋体"/>
                <w:color w:val="000000"/>
                <w:szCs w:val="21"/>
              </w:rPr>
            </w:pPr>
            <w:r>
              <w:rPr>
                <w:rFonts w:hint="eastAsia" w:ascii="宋体" w:hAnsi="宋体" w:eastAsia="宋体" w:cs="宋体"/>
                <w:color w:val="000000"/>
                <w:szCs w:val="21"/>
                <w:lang w:bidi="ar"/>
              </w:rPr>
              <w:t>套</w:t>
            </w:r>
          </w:p>
        </w:tc>
        <w:tc>
          <w:tcPr>
            <w:tcW w:w="231" w:type="pct"/>
            <w:tcBorders>
              <w:top w:val="single" w:color="auto" w:sz="4" w:space="0"/>
              <w:left w:val="single" w:color="auto" w:sz="4" w:space="0"/>
              <w:bottom w:val="single" w:color="auto" w:sz="4" w:space="0"/>
              <w:right w:val="single" w:color="auto" w:sz="4" w:space="0"/>
            </w:tcBorders>
            <w:noWrap/>
            <w:vAlign w:val="center"/>
          </w:tcPr>
          <w:p w14:paraId="139665B5">
            <w:pPr>
              <w:jc w:val="center"/>
              <w:rPr>
                <w:rFonts w:hint="eastAsia" w:ascii="宋体" w:hAnsi="宋体" w:eastAsia="宋体" w:cs="宋体"/>
                <w:color w:val="000000"/>
                <w:szCs w:val="21"/>
              </w:rPr>
            </w:pPr>
            <w:r>
              <w:rPr>
                <w:rFonts w:hint="eastAsia" w:ascii="宋体" w:hAnsi="宋体" w:eastAsia="宋体" w:cs="宋体"/>
                <w:color w:val="000000"/>
                <w:szCs w:val="21"/>
                <w:lang w:bidi="ar"/>
              </w:rPr>
              <w:t>1</w:t>
            </w:r>
          </w:p>
        </w:tc>
        <w:tc>
          <w:tcPr>
            <w:tcW w:w="667" w:type="pct"/>
            <w:tcBorders>
              <w:top w:val="single" w:color="auto" w:sz="4" w:space="0"/>
              <w:left w:val="single" w:color="auto" w:sz="4" w:space="0"/>
              <w:bottom w:val="single" w:color="auto" w:sz="4" w:space="0"/>
              <w:right w:val="single" w:color="auto" w:sz="4" w:space="0"/>
            </w:tcBorders>
            <w:vAlign w:val="center"/>
          </w:tcPr>
          <w:p w14:paraId="0BC87AA4">
            <w:pPr>
              <w:topLinePunct/>
              <w:snapToGrid w:val="0"/>
              <w:spacing w:before="40" w:after="40"/>
              <w:jc w:val="center"/>
              <w:rPr>
                <w:rFonts w:ascii="Times New Roman" w:hAnsi="Times New Roman" w:cs="Times New Roman"/>
                <w:sz w:val="18"/>
                <w:szCs w:val="18"/>
              </w:rPr>
            </w:pPr>
          </w:p>
        </w:tc>
        <w:tc>
          <w:tcPr>
            <w:tcW w:w="233" w:type="pct"/>
            <w:tcBorders>
              <w:top w:val="single" w:color="auto" w:sz="4" w:space="0"/>
              <w:left w:val="single" w:color="auto" w:sz="4" w:space="0"/>
              <w:bottom w:val="single" w:color="auto" w:sz="4" w:space="0"/>
              <w:right w:val="single" w:color="auto" w:sz="8" w:space="0"/>
            </w:tcBorders>
            <w:vAlign w:val="center"/>
          </w:tcPr>
          <w:p w14:paraId="2515ADA9">
            <w:pPr>
              <w:topLinePunct/>
              <w:snapToGrid w:val="0"/>
              <w:spacing w:before="40" w:after="40"/>
              <w:jc w:val="center"/>
              <w:rPr>
                <w:rFonts w:ascii="Times New Roman" w:hAnsi="Times New Roman" w:cs="Times New Roman"/>
                <w:sz w:val="18"/>
                <w:szCs w:val="18"/>
              </w:rPr>
            </w:pPr>
          </w:p>
        </w:tc>
      </w:tr>
      <w:tr w14:paraId="1DC10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tcBorders>
              <w:top w:val="single" w:color="auto" w:sz="4" w:space="0"/>
              <w:left w:val="single" w:color="auto" w:sz="8" w:space="0"/>
              <w:bottom w:val="single" w:color="auto" w:sz="8" w:space="0"/>
              <w:right w:val="single" w:color="auto" w:sz="4" w:space="0"/>
            </w:tcBorders>
            <w:noWrap/>
            <w:vAlign w:val="center"/>
          </w:tcPr>
          <w:p w14:paraId="52DECECC">
            <w:pPr>
              <w:topLinePunct/>
              <w:snapToGrid w:val="0"/>
              <w:spacing w:before="40" w:after="40"/>
              <w:jc w:val="center"/>
              <w:rPr>
                <w:rFonts w:ascii="Times New Roman" w:hAnsi="Times New Roman" w:cs="Times New Roman"/>
                <w:sz w:val="18"/>
                <w:szCs w:val="18"/>
              </w:rPr>
            </w:pPr>
            <w:r>
              <w:rPr>
                <w:rFonts w:ascii="Times New Roman" w:hAnsi="Times New Roman" w:eastAsia="宋体" w:cs="Times New Roman"/>
                <w:sz w:val="18"/>
                <w:szCs w:val="18"/>
                <w:lang w:bidi="ar"/>
              </w:rPr>
              <w:t>1.5</w:t>
            </w:r>
          </w:p>
        </w:tc>
        <w:tc>
          <w:tcPr>
            <w:tcW w:w="1729" w:type="pct"/>
            <w:tcBorders>
              <w:top w:val="single" w:color="auto" w:sz="4" w:space="0"/>
              <w:left w:val="single" w:color="auto" w:sz="4" w:space="0"/>
              <w:bottom w:val="single" w:color="auto" w:sz="8" w:space="0"/>
              <w:right w:val="single" w:color="auto" w:sz="4" w:space="0"/>
            </w:tcBorders>
            <w:noWrap/>
            <w:vAlign w:val="center"/>
          </w:tcPr>
          <w:p w14:paraId="48B050A2">
            <w:pPr>
              <w:jc w:val="center"/>
              <w:rPr>
                <w:rFonts w:hint="eastAsia" w:ascii="宋体" w:hAnsi="宋体" w:eastAsia="宋体" w:cs="宋体"/>
                <w:color w:val="000000"/>
                <w:szCs w:val="21"/>
              </w:rPr>
            </w:pPr>
            <w:r>
              <w:rPr>
                <w:rFonts w:hint="eastAsia" w:ascii="宋体" w:hAnsi="宋体" w:eastAsia="宋体" w:cs="宋体"/>
                <w:szCs w:val="21"/>
                <w:lang w:bidi="ar"/>
              </w:rPr>
              <w:t>百兆增强型纵向加密认证装置</w:t>
            </w:r>
          </w:p>
        </w:tc>
        <w:tc>
          <w:tcPr>
            <w:tcW w:w="801" w:type="pct"/>
            <w:tcBorders>
              <w:top w:val="single" w:color="auto" w:sz="4" w:space="0"/>
              <w:left w:val="single" w:color="auto" w:sz="4" w:space="0"/>
              <w:bottom w:val="single" w:color="auto" w:sz="8" w:space="0"/>
              <w:right w:val="single" w:color="auto" w:sz="4" w:space="0"/>
            </w:tcBorders>
            <w:noWrap/>
            <w:vAlign w:val="center"/>
          </w:tcPr>
          <w:p w14:paraId="2F123F9A">
            <w:pPr>
              <w:jc w:val="center"/>
              <w:rPr>
                <w:rFonts w:hint="eastAsia" w:ascii="宋体" w:hAnsi="宋体" w:eastAsia="宋体" w:cs="宋体"/>
                <w:color w:val="000000"/>
                <w:szCs w:val="21"/>
              </w:rPr>
            </w:pPr>
            <w:r>
              <w:rPr>
                <w:rFonts w:hint="eastAsia" w:ascii="宋体" w:hAnsi="宋体" w:eastAsia="宋体" w:cs="宋体"/>
                <w:spacing w:val="10"/>
                <w:szCs w:val="21"/>
                <w:lang w:bidi="ar"/>
              </w:rPr>
              <w:t>光伏站控层</w:t>
            </w:r>
          </w:p>
        </w:tc>
        <w:tc>
          <w:tcPr>
            <w:tcW w:w="1077" w:type="pct"/>
            <w:tcBorders>
              <w:top w:val="single" w:color="auto" w:sz="4" w:space="0"/>
              <w:left w:val="single" w:color="auto" w:sz="4" w:space="0"/>
              <w:bottom w:val="single" w:color="auto" w:sz="8" w:space="0"/>
              <w:right w:val="single" w:color="auto" w:sz="4" w:space="0"/>
            </w:tcBorders>
            <w:vAlign w:val="center"/>
          </w:tcPr>
          <w:p w14:paraId="6A1ECE3C">
            <w:pPr>
              <w:jc w:val="center"/>
              <w:rPr>
                <w:rFonts w:hint="eastAsia" w:ascii="宋体" w:hAnsi="宋体" w:eastAsia="宋体" w:cs="宋体"/>
                <w:color w:val="000000"/>
                <w:szCs w:val="21"/>
              </w:rPr>
            </w:pPr>
            <w:r>
              <w:rPr>
                <w:rFonts w:hint="eastAsia" w:ascii="宋体" w:hAnsi="宋体" w:eastAsia="宋体" w:cs="宋体"/>
                <w:color w:val="000000"/>
                <w:szCs w:val="21"/>
                <w:lang w:bidi="ar"/>
              </w:rPr>
              <w:t>套</w:t>
            </w:r>
          </w:p>
        </w:tc>
        <w:tc>
          <w:tcPr>
            <w:tcW w:w="231" w:type="pct"/>
            <w:tcBorders>
              <w:top w:val="single" w:color="auto" w:sz="4" w:space="0"/>
              <w:left w:val="single" w:color="auto" w:sz="4" w:space="0"/>
              <w:bottom w:val="single" w:color="auto" w:sz="8" w:space="0"/>
              <w:right w:val="single" w:color="auto" w:sz="4" w:space="0"/>
            </w:tcBorders>
            <w:noWrap/>
            <w:vAlign w:val="center"/>
          </w:tcPr>
          <w:p w14:paraId="3ADAC517">
            <w:pPr>
              <w:jc w:val="center"/>
              <w:rPr>
                <w:rFonts w:hint="eastAsia" w:ascii="宋体" w:hAnsi="宋体" w:eastAsia="宋体" w:cs="宋体"/>
                <w:color w:val="000000"/>
                <w:szCs w:val="21"/>
              </w:rPr>
            </w:pPr>
            <w:r>
              <w:rPr>
                <w:rFonts w:hint="eastAsia" w:ascii="宋体" w:hAnsi="宋体" w:eastAsia="宋体" w:cs="宋体"/>
                <w:color w:val="000000"/>
                <w:szCs w:val="21"/>
                <w:lang w:bidi="ar"/>
              </w:rPr>
              <w:t>1</w:t>
            </w:r>
          </w:p>
        </w:tc>
        <w:tc>
          <w:tcPr>
            <w:tcW w:w="667" w:type="pct"/>
            <w:tcBorders>
              <w:top w:val="single" w:color="auto" w:sz="4" w:space="0"/>
              <w:left w:val="single" w:color="auto" w:sz="4" w:space="0"/>
              <w:bottom w:val="single" w:color="auto" w:sz="8" w:space="0"/>
              <w:right w:val="single" w:color="auto" w:sz="4" w:space="0"/>
            </w:tcBorders>
            <w:vAlign w:val="center"/>
          </w:tcPr>
          <w:p w14:paraId="75C7CF68">
            <w:pPr>
              <w:topLinePunct/>
              <w:snapToGrid w:val="0"/>
              <w:spacing w:before="40" w:after="40"/>
              <w:jc w:val="center"/>
              <w:rPr>
                <w:rFonts w:ascii="Times New Roman" w:hAnsi="Times New Roman" w:cs="Times New Roman"/>
                <w:sz w:val="18"/>
                <w:szCs w:val="18"/>
              </w:rPr>
            </w:pPr>
          </w:p>
        </w:tc>
        <w:tc>
          <w:tcPr>
            <w:tcW w:w="233" w:type="pct"/>
            <w:tcBorders>
              <w:top w:val="single" w:color="auto" w:sz="4" w:space="0"/>
              <w:left w:val="single" w:color="auto" w:sz="4" w:space="0"/>
              <w:bottom w:val="single" w:color="auto" w:sz="8" w:space="0"/>
              <w:right w:val="single" w:color="auto" w:sz="8" w:space="0"/>
            </w:tcBorders>
            <w:vAlign w:val="center"/>
          </w:tcPr>
          <w:p w14:paraId="0D6CB0A3">
            <w:pPr>
              <w:topLinePunct/>
              <w:snapToGrid w:val="0"/>
              <w:spacing w:before="40" w:after="40"/>
              <w:jc w:val="center"/>
              <w:rPr>
                <w:rFonts w:ascii="Times New Roman" w:hAnsi="Times New Roman" w:cs="Times New Roman"/>
                <w:sz w:val="18"/>
                <w:szCs w:val="18"/>
              </w:rPr>
            </w:pPr>
          </w:p>
        </w:tc>
      </w:tr>
    </w:tbl>
    <w:p w14:paraId="1145B803">
      <w:pPr>
        <w:snapToGrid w:val="0"/>
        <w:spacing w:line="360" w:lineRule="auto"/>
        <w:jc w:val="center"/>
        <w:rPr>
          <w:rFonts w:hint="eastAsia" w:ascii="宋体" w:hAnsi="宋体" w:eastAsia="宋体" w:cs="仿宋"/>
          <w:szCs w:val="21"/>
        </w:rPr>
      </w:pPr>
      <w:r>
        <w:rPr>
          <w:rFonts w:hint="eastAsia" w:ascii="宋体" w:hAnsi="宋体" w:eastAsia="宋体" w:cs="仿宋"/>
          <w:szCs w:val="21"/>
          <w:lang w:bidi="ar"/>
        </w:rPr>
        <w:t xml:space="preserve"> </w:t>
      </w:r>
    </w:p>
    <w:p w14:paraId="3AB10A68">
      <w:pPr>
        <w:snapToGrid w:val="0"/>
        <w:spacing w:line="360" w:lineRule="auto"/>
        <w:jc w:val="center"/>
        <w:rPr>
          <w:rFonts w:hint="eastAsia" w:ascii="宋体" w:hAnsi="宋体" w:eastAsia="宋体" w:cs="仿宋"/>
          <w:szCs w:val="21"/>
        </w:rPr>
      </w:pPr>
      <w:r>
        <w:rPr>
          <w:rFonts w:hint="eastAsia" w:ascii="宋体" w:hAnsi="宋体" w:eastAsia="宋体" w:cs="宋体"/>
          <w:szCs w:val="21"/>
          <w:lang w:bidi="ar"/>
        </w:rPr>
        <w:t>卖方提供的设备及纵向加密部署方案，需满足电力公司验收，确保纵向加密隧道业务通畅。</w:t>
      </w:r>
    </w:p>
    <w:p w14:paraId="34E8FDEA">
      <w:pPr>
        <w:snapToGrid w:val="0"/>
        <w:spacing w:line="360" w:lineRule="auto"/>
        <w:jc w:val="center"/>
        <w:rPr>
          <w:rFonts w:hint="eastAsia" w:ascii="宋体" w:hAnsi="宋体" w:eastAsia="宋体" w:cs="仿宋"/>
          <w:szCs w:val="21"/>
        </w:rPr>
      </w:pPr>
      <w:r>
        <w:rPr>
          <w:rFonts w:ascii="Times New Roman" w:hAnsi="Times New Roman" w:cs="Times New Roman"/>
          <w:snapToGrid w:val="0"/>
          <w:szCs w:val="21"/>
          <w:lang w:bidi="ar"/>
        </w:rPr>
        <w:drawing>
          <wp:inline distT="0" distB="0" distL="114300" distR="114300">
            <wp:extent cx="5276850" cy="2809875"/>
            <wp:effectExtent l="0" t="0" r="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1"/>
                    <a:stretch>
                      <a:fillRect/>
                    </a:stretch>
                  </pic:blipFill>
                  <pic:spPr>
                    <a:xfrm>
                      <a:off x="0" y="0"/>
                      <a:ext cx="5276850" cy="2809875"/>
                    </a:xfrm>
                    <a:prstGeom prst="rect">
                      <a:avLst/>
                    </a:prstGeom>
                    <a:noFill/>
                    <a:ln w="9525">
                      <a:noFill/>
                    </a:ln>
                  </pic:spPr>
                </pic:pic>
              </a:graphicData>
            </a:graphic>
          </wp:inline>
        </w:drawing>
      </w:r>
      <w:r>
        <w:rPr>
          <w:rFonts w:hint="eastAsia" w:ascii="宋体" w:hAnsi="宋体" w:eastAsia="宋体" w:cs="仿宋"/>
          <w:szCs w:val="21"/>
          <w:lang w:bidi="ar"/>
        </w:rPr>
        <w:t xml:space="preserve"> </w:t>
      </w:r>
    </w:p>
    <w:p w14:paraId="6961D472">
      <w:pPr>
        <w:snapToGrid w:val="0"/>
        <w:spacing w:line="360" w:lineRule="auto"/>
        <w:jc w:val="center"/>
        <w:rPr>
          <w:rFonts w:hint="eastAsia" w:ascii="宋体" w:hAnsi="宋体" w:eastAsia="宋体" w:cs="仿宋"/>
          <w:szCs w:val="21"/>
        </w:rPr>
      </w:pPr>
      <w:r>
        <w:rPr>
          <w:rFonts w:hint="eastAsia" w:ascii="宋体" w:hAnsi="宋体" w:eastAsia="宋体" w:cs="仿宋"/>
          <w:szCs w:val="21"/>
          <w:lang w:bidi="ar"/>
        </w:rPr>
        <w:t xml:space="preserve"> </w:t>
      </w:r>
    </w:p>
    <w:p w14:paraId="691FFC78">
      <w:pPr>
        <w:snapToGrid w:val="0"/>
        <w:spacing w:line="360" w:lineRule="auto"/>
        <w:jc w:val="center"/>
        <w:rPr>
          <w:rFonts w:hint="eastAsia" w:ascii="宋体" w:hAnsi="宋体" w:eastAsia="宋体" w:cs="仿宋"/>
          <w:szCs w:val="21"/>
        </w:rPr>
      </w:pPr>
      <w:r>
        <w:rPr>
          <w:rFonts w:hint="eastAsia" w:ascii="宋体" w:hAnsi="宋体" w:eastAsia="宋体" w:cs="宋体"/>
          <w:szCs w:val="21"/>
          <w:lang w:bidi="ar"/>
        </w:rPr>
        <w:t>箱变侧测控和微纵供货范围</w:t>
      </w:r>
    </w:p>
    <w:p w14:paraId="0B256662">
      <w:pPr>
        <w:snapToGrid w:val="0"/>
        <w:spacing w:line="360" w:lineRule="auto"/>
        <w:jc w:val="center"/>
        <w:rPr>
          <w:rFonts w:hint="eastAsia" w:ascii="宋体" w:hAnsi="宋体" w:eastAsia="宋体" w:cs="仿宋"/>
          <w:szCs w:val="21"/>
        </w:rPr>
      </w:pPr>
      <w:r>
        <w:rPr>
          <w:rFonts w:hint="eastAsia" w:ascii="宋体" w:hAnsi="宋体" w:eastAsia="宋体" w:cs="仿宋"/>
          <w:szCs w:val="21"/>
          <w:lang w:bidi="ar"/>
        </w:rPr>
        <w:t xml:space="preserve"> </w:t>
      </w:r>
    </w:p>
    <w:p w14:paraId="34D56876">
      <w:pPr>
        <w:snapToGrid w:val="0"/>
        <w:spacing w:line="360" w:lineRule="auto"/>
        <w:jc w:val="center"/>
        <w:rPr>
          <w:rFonts w:hint="eastAsia" w:ascii="宋体" w:hAnsi="宋体" w:eastAsia="宋体" w:cs="宋体"/>
          <w:szCs w:val="21"/>
        </w:rPr>
      </w:pPr>
      <w:r>
        <w:rPr>
          <w:rFonts w:hint="eastAsia" w:ascii="宋体" w:hAnsi="宋体" w:eastAsia="宋体" w:cs="宋体"/>
          <w:szCs w:val="21"/>
          <w:lang w:bidi="ar"/>
        </w:rPr>
        <w:t>箱变内电气二次主要设备一览表（每台箱变）</w:t>
      </w:r>
    </w:p>
    <w:tbl>
      <w:tblPr>
        <w:tblStyle w:val="19"/>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134"/>
        <w:gridCol w:w="1134"/>
        <w:gridCol w:w="709"/>
        <w:gridCol w:w="709"/>
        <w:gridCol w:w="2551"/>
        <w:gridCol w:w="1276"/>
      </w:tblGrid>
      <w:tr w14:paraId="2EC3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7A154CCF">
            <w:pPr>
              <w:snapToGrid w:val="0"/>
              <w:spacing w:line="360" w:lineRule="auto"/>
              <w:jc w:val="center"/>
              <w:rPr>
                <w:rFonts w:hint="eastAsia" w:ascii="宋体" w:hAnsi="宋体" w:eastAsia="宋体" w:cs="仿宋"/>
                <w:b/>
                <w:szCs w:val="21"/>
              </w:rPr>
            </w:pPr>
            <w:r>
              <w:rPr>
                <w:rFonts w:hint="eastAsia" w:ascii="宋体" w:hAnsi="宋体" w:eastAsia="宋体" w:cs="宋体"/>
                <w:b/>
                <w:szCs w:val="21"/>
                <w:lang w:bidi="ar"/>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1E308827">
            <w:pPr>
              <w:snapToGrid w:val="0"/>
              <w:spacing w:line="360" w:lineRule="auto"/>
              <w:jc w:val="center"/>
              <w:rPr>
                <w:rFonts w:hint="eastAsia" w:ascii="宋体" w:hAnsi="宋体" w:eastAsia="宋体" w:cs="仿宋"/>
                <w:b/>
                <w:szCs w:val="21"/>
              </w:rPr>
            </w:pPr>
            <w:r>
              <w:rPr>
                <w:rFonts w:hint="eastAsia" w:ascii="宋体" w:hAnsi="宋体" w:eastAsia="宋体" w:cs="宋体"/>
                <w:b/>
                <w:szCs w:val="21"/>
                <w:lang w:bidi="ar"/>
              </w:rPr>
              <w:t>设备名称</w:t>
            </w:r>
          </w:p>
        </w:tc>
        <w:tc>
          <w:tcPr>
            <w:tcW w:w="1134" w:type="dxa"/>
            <w:tcBorders>
              <w:top w:val="single" w:color="auto" w:sz="4" w:space="0"/>
              <w:left w:val="single" w:color="auto" w:sz="4" w:space="0"/>
              <w:bottom w:val="single" w:color="auto" w:sz="4" w:space="0"/>
              <w:right w:val="single" w:color="auto" w:sz="4" w:space="0"/>
            </w:tcBorders>
            <w:vAlign w:val="center"/>
          </w:tcPr>
          <w:p w14:paraId="46E409D3">
            <w:pPr>
              <w:snapToGrid w:val="0"/>
              <w:spacing w:line="360" w:lineRule="auto"/>
              <w:jc w:val="center"/>
              <w:rPr>
                <w:rFonts w:hint="eastAsia" w:ascii="宋体" w:hAnsi="宋体" w:eastAsia="宋体" w:cs="仿宋"/>
                <w:b/>
                <w:szCs w:val="21"/>
              </w:rPr>
            </w:pPr>
            <w:r>
              <w:rPr>
                <w:rFonts w:hint="eastAsia" w:ascii="宋体" w:hAnsi="宋体" w:eastAsia="宋体" w:cs="宋体"/>
                <w:b/>
                <w:szCs w:val="21"/>
                <w:lang w:bidi="ar"/>
              </w:rPr>
              <w:t>型号规格</w:t>
            </w:r>
          </w:p>
        </w:tc>
        <w:tc>
          <w:tcPr>
            <w:tcW w:w="1134" w:type="dxa"/>
            <w:tcBorders>
              <w:top w:val="single" w:color="auto" w:sz="4" w:space="0"/>
              <w:left w:val="single" w:color="auto" w:sz="4" w:space="0"/>
              <w:bottom w:val="single" w:color="auto" w:sz="4" w:space="0"/>
              <w:right w:val="single" w:color="auto" w:sz="4" w:space="0"/>
            </w:tcBorders>
            <w:vAlign w:val="center"/>
          </w:tcPr>
          <w:p w14:paraId="3559AC55">
            <w:pPr>
              <w:snapToGrid w:val="0"/>
              <w:spacing w:line="360" w:lineRule="auto"/>
              <w:jc w:val="center"/>
              <w:rPr>
                <w:rFonts w:hint="eastAsia" w:ascii="宋体" w:hAnsi="宋体" w:eastAsia="宋体" w:cs="仿宋"/>
                <w:b/>
                <w:szCs w:val="21"/>
              </w:rPr>
            </w:pPr>
            <w:r>
              <w:rPr>
                <w:rFonts w:hint="eastAsia" w:ascii="宋体" w:hAnsi="宋体" w:eastAsia="宋体" w:cs="宋体"/>
                <w:b/>
                <w:szCs w:val="21"/>
                <w:lang w:bidi="ar"/>
              </w:rPr>
              <w:t>生产厂家</w:t>
            </w:r>
          </w:p>
        </w:tc>
        <w:tc>
          <w:tcPr>
            <w:tcW w:w="709" w:type="dxa"/>
            <w:tcBorders>
              <w:top w:val="single" w:color="auto" w:sz="4" w:space="0"/>
              <w:left w:val="single" w:color="auto" w:sz="4" w:space="0"/>
              <w:bottom w:val="single" w:color="auto" w:sz="4" w:space="0"/>
              <w:right w:val="single" w:color="auto" w:sz="4" w:space="0"/>
            </w:tcBorders>
            <w:vAlign w:val="center"/>
          </w:tcPr>
          <w:p w14:paraId="4C351A0F">
            <w:pPr>
              <w:snapToGrid w:val="0"/>
              <w:spacing w:line="360" w:lineRule="auto"/>
              <w:jc w:val="center"/>
              <w:rPr>
                <w:rFonts w:hint="eastAsia" w:ascii="宋体" w:hAnsi="宋体" w:eastAsia="宋体" w:cs="仿宋"/>
                <w:b/>
                <w:szCs w:val="21"/>
              </w:rPr>
            </w:pPr>
            <w:r>
              <w:rPr>
                <w:rFonts w:hint="eastAsia" w:ascii="宋体" w:hAnsi="宋体" w:eastAsia="宋体" w:cs="宋体"/>
                <w:b/>
                <w:szCs w:val="21"/>
                <w:lang w:bidi="ar"/>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2C35A1D8">
            <w:pPr>
              <w:snapToGrid w:val="0"/>
              <w:spacing w:line="360" w:lineRule="auto"/>
              <w:jc w:val="center"/>
              <w:rPr>
                <w:rFonts w:hint="eastAsia" w:ascii="宋体" w:hAnsi="宋体" w:eastAsia="宋体" w:cs="仿宋"/>
                <w:b/>
                <w:szCs w:val="21"/>
              </w:rPr>
            </w:pPr>
            <w:r>
              <w:rPr>
                <w:rFonts w:hint="eastAsia" w:ascii="宋体" w:hAnsi="宋体" w:eastAsia="宋体" w:cs="宋体"/>
                <w:b/>
                <w:szCs w:val="21"/>
                <w:lang w:bidi="ar"/>
              </w:rPr>
              <w:t>单位</w:t>
            </w:r>
          </w:p>
        </w:tc>
        <w:tc>
          <w:tcPr>
            <w:tcW w:w="2551" w:type="dxa"/>
            <w:tcBorders>
              <w:top w:val="single" w:color="auto" w:sz="4" w:space="0"/>
              <w:left w:val="single" w:color="auto" w:sz="4" w:space="0"/>
              <w:bottom w:val="single" w:color="auto" w:sz="4" w:space="0"/>
              <w:right w:val="single" w:color="auto" w:sz="4" w:space="0"/>
            </w:tcBorders>
            <w:vAlign w:val="center"/>
          </w:tcPr>
          <w:p w14:paraId="208EA0A1">
            <w:pPr>
              <w:snapToGrid w:val="0"/>
              <w:spacing w:line="360" w:lineRule="auto"/>
              <w:jc w:val="center"/>
              <w:rPr>
                <w:rFonts w:hint="eastAsia" w:ascii="宋体" w:hAnsi="宋体" w:eastAsia="宋体" w:cs="仿宋"/>
                <w:b/>
                <w:szCs w:val="21"/>
              </w:rPr>
            </w:pPr>
            <w:r>
              <w:rPr>
                <w:rFonts w:hint="eastAsia" w:ascii="宋体" w:hAnsi="宋体" w:eastAsia="宋体" w:cs="宋体"/>
                <w:b/>
                <w:szCs w:val="21"/>
                <w:lang w:bidi="ar"/>
              </w:rPr>
              <w:t>作用</w:t>
            </w:r>
          </w:p>
        </w:tc>
        <w:tc>
          <w:tcPr>
            <w:tcW w:w="1276" w:type="dxa"/>
            <w:tcBorders>
              <w:top w:val="single" w:color="auto" w:sz="4" w:space="0"/>
              <w:left w:val="single" w:color="auto" w:sz="4" w:space="0"/>
              <w:bottom w:val="single" w:color="auto" w:sz="4" w:space="0"/>
              <w:right w:val="single" w:color="auto" w:sz="4" w:space="0"/>
            </w:tcBorders>
            <w:vAlign w:val="center"/>
          </w:tcPr>
          <w:p w14:paraId="1AB50D11">
            <w:pPr>
              <w:snapToGrid w:val="0"/>
              <w:spacing w:line="360" w:lineRule="auto"/>
              <w:jc w:val="center"/>
              <w:rPr>
                <w:rFonts w:hint="eastAsia" w:ascii="宋体" w:hAnsi="宋体" w:eastAsia="宋体" w:cs="仿宋"/>
                <w:b/>
                <w:szCs w:val="21"/>
              </w:rPr>
            </w:pPr>
            <w:r>
              <w:rPr>
                <w:rFonts w:hint="eastAsia" w:ascii="宋体" w:hAnsi="宋体" w:eastAsia="宋体" w:cs="宋体"/>
                <w:b/>
                <w:szCs w:val="21"/>
                <w:lang w:bidi="ar"/>
              </w:rPr>
              <w:t>备注</w:t>
            </w:r>
          </w:p>
        </w:tc>
      </w:tr>
      <w:tr w14:paraId="3A8E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0C73062F">
            <w:pPr>
              <w:snapToGrid w:val="0"/>
              <w:spacing w:line="360" w:lineRule="auto"/>
              <w:ind w:firstLine="210" w:firstLineChars="100"/>
              <w:rPr>
                <w:rFonts w:hint="eastAsia" w:ascii="宋体" w:hAnsi="宋体" w:eastAsia="宋体" w:cs="仿宋"/>
                <w:szCs w:val="21"/>
              </w:rPr>
            </w:pPr>
            <w:r>
              <w:rPr>
                <w:rFonts w:hint="eastAsia" w:ascii="宋体" w:hAnsi="宋体" w:eastAsia="宋体" w:cs="宋体"/>
                <w:szCs w:val="21"/>
                <w:lang w:bidi="ar"/>
              </w:rPr>
              <w:t>1</w:t>
            </w:r>
          </w:p>
        </w:tc>
        <w:tc>
          <w:tcPr>
            <w:tcW w:w="1134" w:type="dxa"/>
            <w:tcBorders>
              <w:top w:val="single" w:color="auto" w:sz="4" w:space="0"/>
              <w:left w:val="single" w:color="auto" w:sz="4" w:space="0"/>
              <w:bottom w:val="single" w:color="auto" w:sz="4" w:space="0"/>
              <w:right w:val="single" w:color="auto" w:sz="4" w:space="0"/>
            </w:tcBorders>
            <w:vAlign w:val="center"/>
          </w:tcPr>
          <w:p w14:paraId="33C0EB5A">
            <w:pPr>
              <w:snapToGrid w:val="0"/>
              <w:rPr>
                <w:rFonts w:hint="eastAsia" w:ascii="宋体" w:hAnsi="宋体" w:eastAsia="宋体" w:cs="仿宋"/>
                <w:szCs w:val="21"/>
              </w:rPr>
            </w:pPr>
            <w:r>
              <w:rPr>
                <w:rFonts w:hint="eastAsia" w:ascii="宋体" w:hAnsi="宋体" w:eastAsia="宋体" w:cs="宋体"/>
                <w:szCs w:val="21"/>
                <w:lang w:bidi="ar"/>
              </w:rPr>
              <w:t>静止交流电度表</w:t>
            </w:r>
          </w:p>
        </w:tc>
        <w:tc>
          <w:tcPr>
            <w:tcW w:w="1134" w:type="dxa"/>
            <w:tcBorders>
              <w:top w:val="single" w:color="auto" w:sz="4" w:space="0"/>
              <w:left w:val="single" w:color="auto" w:sz="4" w:space="0"/>
              <w:bottom w:val="single" w:color="auto" w:sz="4" w:space="0"/>
              <w:right w:val="single" w:color="auto" w:sz="4" w:space="0"/>
            </w:tcBorders>
            <w:vAlign w:val="center"/>
          </w:tcPr>
          <w:p w14:paraId="0B11B0F8">
            <w:pPr>
              <w:snapToGrid w:val="0"/>
              <w:spacing w:line="360" w:lineRule="auto"/>
              <w:ind w:firstLine="420"/>
              <w:jc w:val="center"/>
              <w:rPr>
                <w:rFonts w:hint="eastAsia" w:ascii="宋体" w:hAnsi="宋体" w:eastAsia="宋体" w:cs="仿宋"/>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0BEC255">
            <w:pPr>
              <w:snapToGrid w:val="0"/>
              <w:spacing w:line="360" w:lineRule="auto"/>
              <w:ind w:firstLine="420"/>
              <w:jc w:val="center"/>
              <w:rPr>
                <w:rFonts w:hint="eastAsia" w:ascii="宋体" w:hAnsi="宋体" w:eastAsia="宋体"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131FF1B">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3</w:t>
            </w:r>
          </w:p>
        </w:tc>
        <w:tc>
          <w:tcPr>
            <w:tcW w:w="709" w:type="dxa"/>
            <w:tcBorders>
              <w:top w:val="single" w:color="auto" w:sz="4" w:space="0"/>
              <w:left w:val="single" w:color="auto" w:sz="4" w:space="0"/>
              <w:bottom w:val="single" w:color="auto" w:sz="4" w:space="0"/>
              <w:right w:val="single" w:color="auto" w:sz="4" w:space="0"/>
            </w:tcBorders>
            <w:vAlign w:val="center"/>
          </w:tcPr>
          <w:p w14:paraId="2614B2E9">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只</w:t>
            </w:r>
          </w:p>
        </w:tc>
        <w:tc>
          <w:tcPr>
            <w:tcW w:w="2551" w:type="dxa"/>
            <w:tcBorders>
              <w:top w:val="single" w:color="auto" w:sz="4" w:space="0"/>
              <w:left w:val="single" w:color="auto" w:sz="4" w:space="0"/>
              <w:bottom w:val="single" w:color="auto" w:sz="4" w:space="0"/>
              <w:right w:val="single" w:color="auto" w:sz="4" w:space="0"/>
            </w:tcBorders>
            <w:vAlign w:val="center"/>
          </w:tcPr>
          <w:p w14:paraId="0320511E">
            <w:pPr>
              <w:snapToGrid w:val="0"/>
              <w:rPr>
                <w:rFonts w:hint="eastAsia" w:ascii="宋体" w:hAnsi="宋体" w:eastAsia="宋体" w:cs="仿宋"/>
                <w:szCs w:val="21"/>
              </w:rPr>
            </w:pPr>
            <w:r>
              <w:rPr>
                <w:rFonts w:hint="eastAsia" w:ascii="宋体" w:hAnsi="宋体" w:eastAsia="宋体" w:cs="宋体"/>
                <w:szCs w:val="21"/>
                <w:lang w:bidi="ar"/>
              </w:rPr>
              <w:t>箱变低压侧两分支、SVG计量用，标准通讯方式、规约上传。</w:t>
            </w:r>
          </w:p>
        </w:tc>
        <w:tc>
          <w:tcPr>
            <w:tcW w:w="1276" w:type="dxa"/>
            <w:tcBorders>
              <w:top w:val="single" w:color="auto" w:sz="4" w:space="0"/>
              <w:left w:val="single" w:color="auto" w:sz="4" w:space="0"/>
              <w:bottom w:val="single" w:color="auto" w:sz="4" w:space="0"/>
              <w:right w:val="single" w:color="auto" w:sz="4" w:space="0"/>
            </w:tcBorders>
            <w:vAlign w:val="center"/>
          </w:tcPr>
          <w:p w14:paraId="09D48F6B">
            <w:pPr>
              <w:snapToGrid w:val="0"/>
              <w:rPr>
                <w:rFonts w:hint="eastAsia" w:ascii="宋体" w:hAnsi="宋体" w:eastAsia="宋体" w:cs="仿宋"/>
                <w:szCs w:val="21"/>
              </w:rPr>
            </w:pPr>
            <w:r>
              <w:rPr>
                <w:rFonts w:hint="eastAsia" w:ascii="宋体" w:hAnsi="宋体" w:eastAsia="宋体" w:cs="宋体"/>
                <w:szCs w:val="21"/>
                <w:lang w:bidi="ar"/>
              </w:rPr>
              <w:t>精度0.2S级，按需配置。</w:t>
            </w:r>
          </w:p>
        </w:tc>
      </w:tr>
      <w:tr w14:paraId="039D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0F798B89">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2</w:t>
            </w:r>
          </w:p>
        </w:tc>
        <w:tc>
          <w:tcPr>
            <w:tcW w:w="1134" w:type="dxa"/>
            <w:tcBorders>
              <w:top w:val="single" w:color="auto" w:sz="4" w:space="0"/>
              <w:left w:val="single" w:color="auto" w:sz="4" w:space="0"/>
              <w:bottom w:val="single" w:color="auto" w:sz="4" w:space="0"/>
              <w:right w:val="single" w:color="auto" w:sz="4" w:space="0"/>
            </w:tcBorders>
            <w:vAlign w:val="center"/>
          </w:tcPr>
          <w:p w14:paraId="44EAB992">
            <w:pPr>
              <w:snapToGrid w:val="0"/>
              <w:spacing w:line="360" w:lineRule="auto"/>
              <w:rPr>
                <w:rFonts w:hint="eastAsia" w:ascii="宋体" w:hAnsi="宋体" w:eastAsia="宋体" w:cs="仿宋"/>
                <w:szCs w:val="21"/>
              </w:rPr>
            </w:pPr>
            <w:r>
              <w:rPr>
                <w:rFonts w:hint="eastAsia" w:ascii="宋体" w:hAnsi="宋体" w:eastAsia="宋体" w:cs="宋体"/>
                <w:szCs w:val="21"/>
                <w:lang w:bidi="ar"/>
              </w:rPr>
              <w:t>测控装置</w:t>
            </w:r>
          </w:p>
        </w:tc>
        <w:tc>
          <w:tcPr>
            <w:tcW w:w="1134" w:type="dxa"/>
            <w:tcBorders>
              <w:top w:val="single" w:color="auto" w:sz="4" w:space="0"/>
              <w:left w:val="single" w:color="auto" w:sz="4" w:space="0"/>
              <w:bottom w:val="single" w:color="auto" w:sz="4" w:space="0"/>
              <w:right w:val="single" w:color="auto" w:sz="4" w:space="0"/>
            </w:tcBorders>
            <w:vAlign w:val="center"/>
          </w:tcPr>
          <w:p w14:paraId="7BDDF5B8">
            <w:pPr>
              <w:snapToGrid w:val="0"/>
              <w:spacing w:line="360" w:lineRule="auto"/>
              <w:rPr>
                <w:rFonts w:hint="eastAsia" w:ascii="宋体" w:hAnsi="宋体" w:eastAsia="宋体" w:cs="仿宋"/>
                <w:szCs w:val="21"/>
              </w:rPr>
            </w:pPr>
            <w:r>
              <w:rPr>
                <w:rFonts w:hint="eastAsia" w:ascii="宋体" w:hAnsi="宋体" w:eastAsia="宋体" w:cs="宋体"/>
                <w:szCs w:val="21"/>
                <w:lang w:bidi="ar"/>
              </w:rPr>
              <w:t>含24芯光纤配线盒、跳纤等</w:t>
            </w:r>
          </w:p>
        </w:tc>
        <w:tc>
          <w:tcPr>
            <w:tcW w:w="1134" w:type="dxa"/>
            <w:tcBorders>
              <w:top w:val="single" w:color="auto" w:sz="4" w:space="0"/>
              <w:left w:val="single" w:color="auto" w:sz="4" w:space="0"/>
              <w:bottom w:val="single" w:color="auto" w:sz="4" w:space="0"/>
              <w:right w:val="single" w:color="auto" w:sz="4" w:space="0"/>
            </w:tcBorders>
            <w:vAlign w:val="center"/>
          </w:tcPr>
          <w:p w14:paraId="0D289253">
            <w:pPr>
              <w:snapToGrid w:val="0"/>
              <w:spacing w:line="360" w:lineRule="auto"/>
              <w:ind w:firstLine="420"/>
              <w:jc w:val="center"/>
              <w:rPr>
                <w:rFonts w:hint="eastAsia" w:ascii="宋体" w:hAnsi="宋体" w:eastAsia="宋体"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8824501">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1</w:t>
            </w:r>
          </w:p>
        </w:tc>
        <w:tc>
          <w:tcPr>
            <w:tcW w:w="709" w:type="dxa"/>
            <w:tcBorders>
              <w:top w:val="single" w:color="auto" w:sz="4" w:space="0"/>
              <w:left w:val="single" w:color="auto" w:sz="4" w:space="0"/>
              <w:bottom w:val="single" w:color="auto" w:sz="4" w:space="0"/>
              <w:right w:val="single" w:color="auto" w:sz="4" w:space="0"/>
            </w:tcBorders>
            <w:vAlign w:val="center"/>
          </w:tcPr>
          <w:p w14:paraId="689E22CF">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套</w:t>
            </w:r>
          </w:p>
        </w:tc>
        <w:tc>
          <w:tcPr>
            <w:tcW w:w="2551" w:type="dxa"/>
            <w:tcBorders>
              <w:top w:val="single" w:color="auto" w:sz="4" w:space="0"/>
              <w:left w:val="single" w:color="auto" w:sz="4" w:space="0"/>
              <w:bottom w:val="single" w:color="auto" w:sz="4" w:space="0"/>
              <w:right w:val="single" w:color="auto" w:sz="4" w:space="0"/>
            </w:tcBorders>
            <w:vAlign w:val="center"/>
          </w:tcPr>
          <w:p w14:paraId="15AA4B2C">
            <w:pPr>
              <w:snapToGrid w:val="0"/>
              <w:rPr>
                <w:rFonts w:hint="eastAsia" w:ascii="宋体" w:hAnsi="宋体" w:eastAsia="宋体" w:cs="仿宋"/>
                <w:szCs w:val="21"/>
              </w:rPr>
            </w:pPr>
            <w:r>
              <w:rPr>
                <w:rFonts w:hint="eastAsia" w:ascii="宋体" w:hAnsi="宋体" w:eastAsia="宋体" w:cs="宋体"/>
                <w:szCs w:val="21"/>
                <w:lang w:bidi="ar"/>
              </w:rPr>
              <w:t>测量箱变低压侧的电压、电流、有功、无功等，以RS485通讯方式，标准规约上传</w:t>
            </w:r>
          </w:p>
        </w:tc>
        <w:tc>
          <w:tcPr>
            <w:tcW w:w="1276" w:type="dxa"/>
            <w:tcBorders>
              <w:top w:val="single" w:color="auto" w:sz="4" w:space="0"/>
              <w:left w:val="single" w:color="auto" w:sz="4" w:space="0"/>
              <w:bottom w:val="single" w:color="auto" w:sz="4" w:space="0"/>
              <w:right w:val="single" w:color="auto" w:sz="4" w:space="0"/>
            </w:tcBorders>
            <w:vAlign w:val="center"/>
          </w:tcPr>
          <w:p w14:paraId="4112A702">
            <w:pPr>
              <w:snapToGrid w:val="0"/>
              <w:spacing w:line="360" w:lineRule="auto"/>
              <w:rPr>
                <w:rFonts w:hint="eastAsia" w:ascii="宋体" w:hAnsi="宋体" w:eastAsia="宋体" w:cs="仿宋"/>
                <w:szCs w:val="21"/>
              </w:rPr>
            </w:pPr>
          </w:p>
        </w:tc>
      </w:tr>
      <w:tr w14:paraId="0E27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5871F9DD">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3</w:t>
            </w:r>
          </w:p>
        </w:tc>
        <w:tc>
          <w:tcPr>
            <w:tcW w:w="1134" w:type="dxa"/>
            <w:tcBorders>
              <w:top w:val="single" w:color="auto" w:sz="4" w:space="0"/>
              <w:left w:val="single" w:color="auto" w:sz="4" w:space="0"/>
              <w:bottom w:val="single" w:color="auto" w:sz="4" w:space="0"/>
              <w:right w:val="single" w:color="auto" w:sz="4" w:space="0"/>
            </w:tcBorders>
            <w:vAlign w:val="center"/>
          </w:tcPr>
          <w:p w14:paraId="278B7D29">
            <w:pPr>
              <w:snapToGrid w:val="0"/>
              <w:rPr>
                <w:rFonts w:hint="eastAsia" w:ascii="宋体" w:hAnsi="宋体" w:eastAsia="宋体" w:cs="仿宋"/>
                <w:szCs w:val="21"/>
              </w:rPr>
            </w:pPr>
            <w:r>
              <w:rPr>
                <w:rFonts w:hint="eastAsia" w:ascii="宋体" w:hAnsi="宋体" w:eastAsia="宋体" w:cs="宋体"/>
                <w:kern w:val="0"/>
                <w:szCs w:val="21"/>
                <w:lang w:bidi="ar"/>
              </w:rPr>
              <w:t>微型纵向加密装置</w:t>
            </w:r>
          </w:p>
        </w:tc>
        <w:tc>
          <w:tcPr>
            <w:tcW w:w="1134" w:type="dxa"/>
            <w:tcBorders>
              <w:top w:val="single" w:color="auto" w:sz="4" w:space="0"/>
              <w:left w:val="single" w:color="auto" w:sz="4" w:space="0"/>
              <w:bottom w:val="single" w:color="auto" w:sz="4" w:space="0"/>
              <w:right w:val="single" w:color="auto" w:sz="4" w:space="0"/>
            </w:tcBorders>
            <w:vAlign w:val="center"/>
          </w:tcPr>
          <w:p w14:paraId="2D4D5A9F">
            <w:pPr>
              <w:snapToGrid w:val="0"/>
              <w:spacing w:line="360" w:lineRule="auto"/>
              <w:ind w:firstLine="420"/>
              <w:jc w:val="center"/>
              <w:rPr>
                <w:rFonts w:hint="eastAsia" w:ascii="宋体" w:hAnsi="宋体" w:eastAsia="宋体" w:cs="仿宋"/>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B9A5F9B">
            <w:pPr>
              <w:snapToGrid w:val="0"/>
              <w:spacing w:line="360" w:lineRule="auto"/>
              <w:ind w:firstLine="420"/>
              <w:jc w:val="center"/>
              <w:rPr>
                <w:rFonts w:hint="eastAsia" w:ascii="宋体" w:hAnsi="宋体" w:eastAsia="宋体"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C52689E">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1</w:t>
            </w:r>
          </w:p>
        </w:tc>
        <w:tc>
          <w:tcPr>
            <w:tcW w:w="709" w:type="dxa"/>
            <w:tcBorders>
              <w:top w:val="single" w:color="auto" w:sz="4" w:space="0"/>
              <w:left w:val="single" w:color="auto" w:sz="4" w:space="0"/>
              <w:bottom w:val="single" w:color="auto" w:sz="4" w:space="0"/>
              <w:right w:val="single" w:color="auto" w:sz="4" w:space="0"/>
            </w:tcBorders>
            <w:vAlign w:val="center"/>
          </w:tcPr>
          <w:p w14:paraId="40844ECA">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套</w:t>
            </w:r>
          </w:p>
        </w:tc>
        <w:tc>
          <w:tcPr>
            <w:tcW w:w="2551" w:type="dxa"/>
            <w:tcBorders>
              <w:top w:val="single" w:color="auto" w:sz="4" w:space="0"/>
              <w:left w:val="single" w:color="auto" w:sz="4" w:space="0"/>
              <w:bottom w:val="single" w:color="auto" w:sz="4" w:space="0"/>
              <w:right w:val="single" w:color="auto" w:sz="4" w:space="0"/>
            </w:tcBorders>
            <w:vAlign w:val="center"/>
          </w:tcPr>
          <w:p w14:paraId="2ECF699C">
            <w:pPr>
              <w:snapToGrid w:val="0"/>
              <w:rPr>
                <w:rFonts w:hint="eastAsia" w:ascii="宋体" w:hAnsi="宋体" w:eastAsia="宋体" w:cs="仿宋"/>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613516C">
            <w:pPr>
              <w:snapToGrid w:val="0"/>
              <w:spacing w:line="360" w:lineRule="auto"/>
              <w:rPr>
                <w:rFonts w:hint="eastAsia" w:ascii="宋体" w:hAnsi="宋体" w:eastAsia="宋体" w:cs="仿宋"/>
                <w:szCs w:val="21"/>
              </w:rPr>
            </w:pPr>
          </w:p>
        </w:tc>
      </w:tr>
      <w:tr w14:paraId="3109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1E957E49">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4</w:t>
            </w:r>
          </w:p>
        </w:tc>
        <w:tc>
          <w:tcPr>
            <w:tcW w:w="1134" w:type="dxa"/>
            <w:tcBorders>
              <w:top w:val="single" w:color="auto" w:sz="4" w:space="0"/>
              <w:left w:val="single" w:color="auto" w:sz="4" w:space="0"/>
              <w:bottom w:val="single" w:color="auto" w:sz="4" w:space="0"/>
              <w:right w:val="single" w:color="auto" w:sz="4" w:space="0"/>
            </w:tcBorders>
            <w:vAlign w:val="center"/>
          </w:tcPr>
          <w:p w14:paraId="681A8B09">
            <w:pPr>
              <w:snapToGrid w:val="0"/>
              <w:rPr>
                <w:rFonts w:hint="eastAsia" w:ascii="宋体" w:hAnsi="宋体" w:eastAsia="宋体" w:cs="仿宋"/>
                <w:szCs w:val="21"/>
              </w:rPr>
            </w:pPr>
            <w:r>
              <w:rPr>
                <w:rFonts w:hint="eastAsia" w:ascii="宋体" w:hAnsi="宋体" w:eastAsia="宋体" w:cs="宋体"/>
                <w:szCs w:val="21"/>
                <w:lang w:bidi="ar"/>
              </w:rPr>
              <w:t>变压器本体温度控制器</w:t>
            </w:r>
          </w:p>
        </w:tc>
        <w:tc>
          <w:tcPr>
            <w:tcW w:w="1134" w:type="dxa"/>
            <w:tcBorders>
              <w:top w:val="single" w:color="auto" w:sz="4" w:space="0"/>
              <w:left w:val="single" w:color="auto" w:sz="4" w:space="0"/>
              <w:bottom w:val="single" w:color="auto" w:sz="4" w:space="0"/>
              <w:right w:val="single" w:color="auto" w:sz="4" w:space="0"/>
            </w:tcBorders>
            <w:vAlign w:val="center"/>
          </w:tcPr>
          <w:p w14:paraId="5D54D446">
            <w:pPr>
              <w:snapToGrid w:val="0"/>
              <w:spacing w:line="360" w:lineRule="auto"/>
              <w:ind w:firstLine="420"/>
              <w:jc w:val="center"/>
              <w:rPr>
                <w:rFonts w:hint="eastAsia" w:ascii="宋体" w:hAnsi="宋体" w:eastAsia="宋体" w:cs="仿宋"/>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A6072E0">
            <w:pPr>
              <w:snapToGrid w:val="0"/>
              <w:spacing w:line="360" w:lineRule="auto"/>
              <w:ind w:firstLine="420"/>
              <w:jc w:val="center"/>
              <w:rPr>
                <w:rFonts w:hint="eastAsia" w:ascii="宋体" w:hAnsi="宋体" w:eastAsia="宋体"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123AF01">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2</w:t>
            </w:r>
          </w:p>
        </w:tc>
        <w:tc>
          <w:tcPr>
            <w:tcW w:w="709" w:type="dxa"/>
            <w:tcBorders>
              <w:top w:val="single" w:color="auto" w:sz="4" w:space="0"/>
              <w:left w:val="single" w:color="auto" w:sz="4" w:space="0"/>
              <w:bottom w:val="single" w:color="auto" w:sz="4" w:space="0"/>
              <w:right w:val="single" w:color="auto" w:sz="4" w:space="0"/>
            </w:tcBorders>
            <w:vAlign w:val="center"/>
          </w:tcPr>
          <w:p w14:paraId="50FD729C">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套</w:t>
            </w:r>
          </w:p>
        </w:tc>
        <w:tc>
          <w:tcPr>
            <w:tcW w:w="2551" w:type="dxa"/>
            <w:tcBorders>
              <w:top w:val="single" w:color="auto" w:sz="4" w:space="0"/>
              <w:left w:val="single" w:color="auto" w:sz="4" w:space="0"/>
              <w:bottom w:val="single" w:color="auto" w:sz="4" w:space="0"/>
              <w:right w:val="single" w:color="auto" w:sz="4" w:space="0"/>
            </w:tcBorders>
            <w:vAlign w:val="center"/>
          </w:tcPr>
          <w:p w14:paraId="26229BD3">
            <w:pPr>
              <w:snapToGrid w:val="0"/>
              <w:rPr>
                <w:rFonts w:hint="eastAsia" w:ascii="宋体" w:hAnsi="宋体" w:eastAsia="宋体" w:cs="仿宋"/>
                <w:szCs w:val="21"/>
              </w:rPr>
            </w:pPr>
            <w:r>
              <w:rPr>
                <w:rFonts w:hint="eastAsia" w:ascii="宋体" w:hAnsi="宋体" w:eastAsia="宋体" w:cs="宋体"/>
                <w:szCs w:val="21"/>
                <w:lang w:bidi="ar"/>
              </w:rPr>
              <w:t>测量变压器本体温度，控制风机、加热器等的启停，并有各种信号接点引出，按需配置风机、加热除湿器、测温装置等</w:t>
            </w:r>
          </w:p>
        </w:tc>
        <w:tc>
          <w:tcPr>
            <w:tcW w:w="1276" w:type="dxa"/>
            <w:tcBorders>
              <w:top w:val="single" w:color="auto" w:sz="4" w:space="0"/>
              <w:left w:val="single" w:color="auto" w:sz="4" w:space="0"/>
              <w:bottom w:val="single" w:color="auto" w:sz="4" w:space="0"/>
              <w:right w:val="single" w:color="auto" w:sz="4" w:space="0"/>
            </w:tcBorders>
            <w:vAlign w:val="center"/>
          </w:tcPr>
          <w:p w14:paraId="18C0A1BB">
            <w:pPr>
              <w:snapToGrid w:val="0"/>
              <w:rPr>
                <w:rFonts w:hint="eastAsia" w:ascii="宋体" w:hAnsi="宋体" w:eastAsia="宋体" w:cs="仿宋"/>
                <w:szCs w:val="21"/>
              </w:rPr>
            </w:pPr>
            <w:r>
              <w:rPr>
                <w:rFonts w:hint="eastAsia" w:ascii="宋体" w:hAnsi="宋体" w:eastAsia="宋体" w:cs="宋体"/>
                <w:szCs w:val="21"/>
                <w:lang w:bidi="ar"/>
              </w:rPr>
              <w:t>详见技术要求</w:t>
            </w:r>
          </w:p>
        </w:tc>
      </w:tr>
      <w:tr w14:paraId="58CA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4ADABBE9">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5</w:t>
            </w:r>
          </w:p>
        </w:tc>
        <w:tc>
          <w:tcPr>
            <w:tcW w:w="1134" w:type="dxa"/>
            <w:tcBorders>
              <w:top w:val="single" w:color="auto" w:sz="4" w:space="0"/>
              <w:left w:val="single" w:color="auto" w:sz="4" w:space="0"/>
              <w:bottom w:val="single" w:color="auto" w:sz="4" w:space="0"/>
              <w:right w:val="single" w:color="auto" w:sz="4" w:space="0"/>
            </w:tcBorders>
            <w:vAlign w:val="center"/>
          </w:tcPr>
          <w:p w14:paraId="4467AADE">
            <w:pPr>
              <w:snapToGrid w:val="0"/>
              <w:rPr>
                <w:rFonts w:hint="eastAsia" w:ascii="宋体" w:hAnsi="宋体" w:eastAsia="宋体" w:cs="仿宋"/>
                <w:szCs w:val="21"/>
              </w:rPr>
            </w:pPr>
            <w:r>
              <w:rPr>
                <w:rFonts w:hint="eastAsia" w:ascii="宋体" w:hAnsi="宋体" w:eastAsia="宋体" w:cs="宋体"/>
                <w:szCs w:val="21"/>
                <w:lang w:bidi="ar"/>
              </w:rPr>
              <w:t>箱变温湿度控制器</w:t>
            </w:r>
          </w:p>
        </w:tc>
        <w:tc>
          <w:tcPr>
            <w:tcW w:w="1134" w:type="dxa"/>
            <w:tcBorders>
              <w:top w:val="single" w:color="auto" w:sz="4" w:space="0"/>
              <w:left w:val="single" w:color="auto" w:sz="4" w:space="0"/>
              <w:bottom w:val="single" w:color="auto" w:sz="4" w:space="0"/>
              <w:right w:val="single" w:color="auto" w:sz="4" w:space="0"/>
            </w:tcBorders>
            <w:vAlign w:val="center"/>
          </w:tcPr>
          <w:p w14:paraId="5812DC97">
            <w:pPr>
              <w:snapToGrid w:val="0"/>
              <w:spacing w:line="360" w:lineRule="auto"/>
              <w:ind w:firstLine="420"/>
              <w:jc w:val="center"/>
              <w:rPr>
                <w:rFonts w:hint="eastAsia" w:ascii="宋体" w:hAnsi="宋体" w:eastAsia="宋体" w:cs="仿宋"/>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6A573CE">
            <w:pPr>
              <w:snapToGrid w:val="0"/>
              <w:spacing w:line="360" w:lineRule="auto"/>
              <w:ind w:firstLine="420"/>
              <w:jc w:val="center"/>
              <w:rPr>
                <w:rFonts w:hint="eastAsia" w:ascii="宋体" w:hAnsi="宋体" w:eastAsia="宋体"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45895B3">
            <w:pPr>
              <w:snapToGrid w:val="0"/>
              <w:spacing w:line="360" w:lineRule="auto"/>
              <w:rPr>
                <w:rFonts w:hint="eastAsia" w:ascii="宋体" w:hAnsi="宋体" w:eastAsia="宋体" w:cs="仿宋"/>
                <w:szCs w:val="21"/>
              </w:rPr>
            </w:pPr>
            <w:r>
              <w:rPr>
                <w:rFonts w:hint="eastAsia" w:ascii="宋体" w:hAnsi="宋体" w:eastAsia="宋体" w:cs="宋体"/>
                <w:szCs w:val="21"/>
                <w:lang w:bidi="ar"/>
              </w:rPr>
              <w:t>2~3</w:t>
            </w:r>
          </w:p>
        </w:tc>
        <w:tc>
          <w:tcPr>
            <w:tcW w:w="709" w:type="dxa"/>
            <w:tcBorders>
              <w:top w:val="single" w:color="auto" w:sz="4" w:space="0"/>
              <w:left w:val="single" w:color="auto" w:sz="4" w:space="0"/>
              <w:bottom w:val="single" w:color="auto" w:sz="4" w:space="0"/>
              <w:right w:val="single" w:color="auto" w:sz="4" w:space="0"/>
            </w:tcBorders>
            <w:vAlign w:val="center"/>
          </w:tcPr>
          <w:p w14:paraId="0573FB80">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套</w:t>
            </w:r>
          </w:p>
        </w:tc>
        <w:tc>
          <w:tcPr>
            <w:tcW w:w="2551" w:type="dxa"/>
            <w:tcBorders>
              <w:top w:val="single" w:color="auto" w:sz="4" w:space="0"/>
              <w:left w:val="single" w:color="auto" w:sz="4" w:space="0"/>
              <w:bottom w:val="single" w:color="auto" w:sz="4" w:space="0"/>
              <w:right w:val="single" w:color="auto" w:sz="4" w:space="0"/>
            </w:tcBorders>
            <w:vAlign w:val="center"/>
          </w:tcPr>
          <w:p w14:paraId="4D84208F">
            <w:pPr>
              <w:snapToGrid w:val="0"/>
              <w:rPr>
                <w:rFonts w:hint="eastAsia" w:ascii="宋体" w:hAnsi="宋体" w:eastAsia="宋体" w:cs="仿宋"/>
                <w:szCs w:val="21"/>
              </w:rPr>
            </w:pPr>
            <w:r>
              <w:rPr>
                <w:rFonts w:hint="eastAsia" w:ascii="宋体" w:hAnsi="宋体" w:eastAsia="宋体" w:cs="宋体"/>
                <w:szCs w:val="21"/>
                <w:lang w:bidi="ar"/>
              </w:rPr>
              <w:t>配置加热除湿装置、风机等设备若干，根据箱变内的温度自动启停风机、加热装置等，使箱变内设备在正常工作温度范围内运行</w:t>
            </w:r>
          </w:p>
        </w:tc>
        <w:tc>
          <w:tcPr>
            <w:tcW w:w="1276" w:type="dxa"/>
            <w:tcBorders>
              <w:top w:val="single" w:color="auto" w:sz="4" w:space="0"/>
              <w:left w:val="single" w:color="auto" w:sz="4" w:space="0"/>
              <w:bottom w:val="single" w:color="auto" w:sz="4" w:space="0"/>
              <w:right w:val="single" w:color="auto" w:sz="4" w:space="0"/>
            </w:tcBorders>
            <w:vAlign w:val="center"/>
          </w:tcPr>
          <w:p w14:paraId="60E1FD97">
            <w:pPr>
              <w:snapToGrid w:val="0"/>
              <w:spacing w:line="360" w:lineRule="auto"/>
              <w:rPr>
                <w:rFonts w:hint="eastAsia" w:ascii="宋体" w:hAnsi="宋体" w:eastAsia="宋体" w:cs="仿宋"/>
                <w:szCs w:val="21"/>
              </w:rPr>
            </w:pPr>
            <w:r>
              <w:rPr>
                <w:rFonts w:hint="eastAsia" w:ascii="宋体" w:hAnsi="宋体" w:eastAsia="宋体" w:cs="宋体"/>
                <w:szCs w:val="21"/>
                <w:lang w:bidi="ar"/>
              </w:rPr>
              <w:t>按需配置</w:t>
            </w:r>
          </w:p>
        </w:tc>
      </w:tr>
      <w:tr w14:paraId="67BA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6B140AA8">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6</w:t>
            </w:r>
          </w:p>
        </w:tc>
        <w:tc>
          <w:tcPr>
            <w:tcW w:w="1134" w:type="dxa"/>
            <w:tcBorders>
              <w:top w:val="single" w:color="auto" w:sz="4" w:space="0"/>
              <w:left w:val="single" w:color="auto" w:sz="4" w:space="0"/>
              <w:bottom w:val="single" w:color="auto" w:sz="4" w:space="0"/>
              <w:right w:val="single" w:color="auto" w:sz="4" w:space="0"/>
            </w:tcBorders>
            <w:vAlign w:val="center"/>
          </w:tcPr>
          <w:p w14:paraId="7AE9BD8C">
            <w:pPr>
              <w:snapToGrid w:val="0"/>
              <w:rPr>
                <w:rFonts w:hint="eastAsia" w:ascii="宋体" w:hAnsi="宋体" w:eastAsia="宋体" w:cs="仿宋"/>
                <w:szCs w:val="21"/>
              </w:rPr>
            </w:pPr>
            <w:r>
              <w:rPr>
                <w:rFonts w:hint="eastAsia" w:ascii="宋体" w:hAnsi="宋体" w:eastAsia="宋体" w:cs="宋体"/>
                <w:szCs w:val="21"/>
                <w:lang w:bidi="ar"/>
              </w:rPr>
              <w:t>高压侧外置式微机保护</w:t>
            </w:r>
          </w:p>
        </w:tc>
        <w:tc>
          <w:tcPr>
            <w:tcW w:w="1134" w:type="dxa"/>
            <w:tcBorders>
              <w:top w:val="single" w:color="auto" w:sz="4" w:space="0"/>
              <w:left w:val="single" w:color="auto" w:sz="4" w:space="0"/>
              <w:bottom w:val="single" w:color="auto" w:sz="4" w:space="0"/>
              <w:right w:val="single" w:color="auto" w:sz="4" w:space="0"/>
            </w:tcBorders>
            <w:vAlign w:val="center"/>
          </w:tcPr>
          <w:p w14:paraId="7419A110">
            <w:pPr>
              <w:snapToGrid w:val="0"/>
              <w:spacing w:line="360" w:lineRule="auto"/>
              <w:ind w:firstLine="420"/>
              <w:jc w:val="center"/>
              <w:rPr>
                <w:rFonts w:hint="eastAsia" w:ascii="宋体" w:hAnsi="宋体" w:eastAsia="宋体" w:cs="仿宋"/>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644D0BC">
            <w:pPr>
              <w:snapToGrid w:val="0"/>
              <w:spacing w:line="360" w:lineRule="auto"/>
              <w:ind w:firstLine="420"/>
              <w:jc w:val="center"/>
              <w:rPr>
                <w:rFonts w:hint="eastAsia" w:ascii="宋体" w:hAnsi="宋体" w:eastAsia="宋体"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90881C1">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2</w:t>
            </w:r>
          </w:p>
        </w:tc>
        <w:tc>
          <w:tcPr>
            <w:tcW w:w="709" w:type="dxa"/>
            <w:tcBorders>
              <w:top w:val="single" w:color="auto" w:sz="4" w:space="0"/>
              <w:left w:val="single" w:color="auto" w:sz="4" w:space="0"/>
              <w:bottom w:val="single" w:color="auto" w:sz="4" w:space="0"/>
              <w:right w:val="single" w:color="auto" w:sz="4" w:space="0"/>
            </w:tcBorders>
            <w:vAlign w:val="center"/>
          </w:tcPr>
          <w:p w14:paraId="0666B191">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套</w:t>
            </w:r>
          </w:p>
        </w:tc>
        <w:tc>
          <w:tcPr>
            <w:tcW w:w="2551" w:type="dxa"/>
            <w:tcBorders>
              <w:top w:val="single" w:color="auto" w:sz="4" w:space="0"/>
              <w:left w:val="single" w:color="auto" w:sz="4" w:space="0"/>
              <w:bottom w:val="single" w:color="auto" w:sz="4" w:space="0"/>
              <w:right w:val="single" w:color="auto" w:sz="4" w:space="0"/>
            </w:tcBorders>
            <w:vAlign w:val="center"/>
          </w:tcPr>
          <w:p w14:paraId="2CB6C318">
            <w:pPr>
              <w:snapToGrid w:val="0"/>
              <w:rPr>
                <w:rFonts w:hint="eastAsia" w:ascii="宋体" w:hAnsi="宋体" w:eastAsia="宋体" w:cs="仿宋"/>
                <w:szCs w:val="21"/>
              </w:rPr>
            </w:pPr>
            <w:r>
              <w:rPr>
                <w:rFonts w:hint="eastAsia" w:ascii="宋体" w:hAnsi="宋体" w:eastAsia="宋体" w:cs="宋体"/>
                <w:szCs w:val="21"/>
                <w:lang w:bidi="ar"/>
              </w:rPr>
              <w:t>提供高压侧短路，接地等保护用</w:t>
            </w:r>
          </w:p>
        </w:tc>
        <w:tc>
          <w:tcPr>
            <w:tcW w:w="1276" w:type="dxa"/>
            <w:tcBorders>
              <w:top w:val="single" w:color="auto" w:sz="4" w:space="0"/>
              <w:left w:val="single" w:color="auto" w:sz="4" w:space="0"/>
              <w:bottom w:val="single" w:color="auto" w:sz="4" w:space="0"/>
              <w:right w:val="single" w:color="auto" w:sz="4" w:space="0"/>
            </w:tcBorders>
            <w:vAlign w:val="center"/>
          </w:tcPr>
          <w:p w14:paraId="7A674B21">
            <w:pPr>
              <w:snapToGrid w:val="0"/>
              <w:spacing w:line="360" w:lineRule="auto"/>
              <w:rPr>
                <w:rFonts w:hint="eastAsia" w:ascii="宋体" w:hAnsi="宋体" w:eastAsia="宋体" w:cs="仿宋"/>
                <w:szCs w:val="21"/>
              </w:rPr>
            </w:pPr>
            <w:r>
              <w:rPr>
                <w:rFonts w:hint="eastAsia" w:ascii="宋体" w:hAnsi="宋体" w:eastAsia="宋体" w:cs="宋体"/>
                <w:szCs w:val="21"/>
                <w:lang w:bidi="ar"/>
              </w:rPr>
              <w:t>按需配置</w:t>
            </w:r>
          </w:p>
        </w:tc>
      </w:tr>
      <w:tr w14:paraId="514E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6AB390EE">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7</w:t>
            </w:r>
          </w:p>
        </w:tc>
        <w:tc>
          <w:tcPr>
            <w:tcW w:w="1134" w:type="dxa"/>
            <w:tcBorders>
              <w:top w:val="single" w:color="auto" w:sz="4" w:space="0"/>
              <w:left w:val="single" w:color="auto" w:sz="4" w:space="0"/>
              <w:bottom w:val="single" w:color="auto" w:sz="4" w:space="0"/>
              <w:right w:val="single" w:color="auto" w:sz="4" w:space="0"/>
            </w:tcBorders>
            <w:vAlign w:val="center"/>
          </w:tcPr>
          <w:p w14:paraId="05CBD787">
            <w:pPr>
              <w:snapToGrid w:val="0"/>
              <w:rPr>
                <w:rFonts w:hint="eastAsia" w:ascii="宋体" w:hAnsi="宋体" w:eastAsia="宋体" w:cs="仿宋"/>
                <w:szCs w:val="21"/>
              </w:rPr>
            </w:pPr>
            <w:r>
              <w:rPr>
                <w:rFonts w:hint="eastAsia" w:ascii="宋体" w:hAnsi="宋体" w:eastAsia="宋体" w:cs="宋体"/>
                <w:szCs w:val="21"/>
                <w:lang w:bidi="ar"/>
              </w:rPr>
              <w:t>低压侧外置式微机保护</w:t>
            </w:r>
          </w:p>
        </w:tc>
        <w:tc>
          <w:tcPr>
            <w:tcW w:w="1134" w:type="dxa"/>
            <w:tcBorders>
              <w:top w:val="single" w:color="auto" w:sz="4" w:space="0"/>
              <w:left w:val="single" w:color="auto" w:sz="4" w:space="0"/>
              <w:bottom w:val="single" w:color="auto" w:sz="4" w:space="0"/>
              <w:right w:val="single" w:color="auto" w:sz="4" w:space="0"/>
            </w:tcBorders>
            <w:vAlign w:val="center"/>
          </w:tcPr>
          <w:p w14:paraId="7817FA15">
            <w:pPr>
              <w:snapToGrid w:val="0"/>
              <w:spacing w:line="360" w:lineRule="auto"/>
              <w:ind w:firstLine="420"/>
              <w:jc w:val="center"/>
              <w:rPr>
                <w:rFonts w:hint="eastAsia" w:ascii="宋体" w:hAnsi="宋体" w:eastAsia="宋体" w:cs="仿宋"/>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AE1DFA1">
            <w:pPr>
              <w:snapToGrid w:val="0"/>
              <w:spacing w:line="360" w:lineRule="auto"/>
              <w:ind w:firstLine="420"/>
              <w:jc w:val="center"/>
              <w:rPr>
                <w:rFonts w:hint="eastAsia" w:ascii="宋体" w:hAnsi="宋体" w:eastAsia="宋体"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64D01D2">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2</w:t>
            </w:r>
          </w:p>
        </w:tc>
        <w:tc>
          <w:tcPr>
            <w:tcW w:w="709" w:type="dxa"/>
            <w:tcBorders>
              <w:top w:val="single" w:color="auto" w:sz="4" w:space="0"/>
              <w:left w:val="single" w:color="auto" w:sz="4" w:space="0"/>
              <w:bottom w:val="single" w:color="auto" w:sz="4" w:space="0"/>
              <w:right w:val="single" w:color="auto" w:sz="4" w:space="0"/>
            </w:tcBorders>
            <w:vAlign w:val="center"/>
          </w:tcPr>
          <w:p w14:paraId="634BC96D">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套</w:t>
            </w:r>
          </w:p>
        </w:tc>
        <w:tc>
          <w:tcPr>
            <w:tcW w:w="2551" w:type="dxa"/>
            <w:tcBorders>
              <w:top w:val="single" w:color="auto" w:sz="4" w:space="0"/>
              <w:left w:val="single" w:color="auto" w:sz="4" w:space="0"/>
              <w:bottom w:val="single" w:color="auto" w:sz="4" w:space="0"/>
              <w:right w:val="single" w:color="auto" w:sz="4" w:space="0"/>
            </w:tcBorders>
            <w:vAlign w:val="center"/>
          </w:tcPr>
          <w:p w14:paraId="6D7B4944">
            <w:pPr>
              <w:snapToGrid w:val="0"/>
              <w:rPr>
                <w:rFonts w:hint="eastAsia" w:ascii="宋体" w:hAnsi="宋体" w:eastAsia="宋体" w:cs="仿宋"/>
                <w:szCs w:val="21"/>
              </w:rPr>
            </w:pPr>
            <w:r>
              <w:rPr>
                <w:rFonts w:hint="eastAsia" w:ascii="宋体" w:hAnsi="宋体" w:eastAsia="宋体" w:cs="宋体"/>
                <w:szCs w:val="21"/>
                <w:lang w:bidi="ar"/>
              </w:rPr>
              <w:t>提供低压侧短路，接地等保护用</w:t>
            </w:r>
          </w:p>
        </w:tc>
        <w:tc>
          <w:tcPr>
            <w:tcW w:w="1276" w:type="dxa"/>
            <w:tcBorders>
              <w:top w:val="single" w:color="auto" w:sz="4" w:space="0"/>
              <w:left w:val="single" w:color="auto" w:sz="4" w:space="0"/>
              <w:bottom w:val="single" w:color="auto" w:sz="4" w:space="0"/>
              <w:right w:val="single" w:color="auto" w:sz="4" w:space="0"/>
            </w:tcBorders>
            <w:vAlign w:val="center"/>
          </w:tcPr>
          <w:p w14:paraId="2DB69A68">
            <w:pPr>
              <w:snapToGrid w:val="0"/>
              <w:spacing w:line="360" w:lineRule="auto"/>
              <w:rPr>
                <w:rFonts w:hint="eastAsia" w:ascii="宋体" w:hAnsi="宋体" w:eastAsia="宋体" w:cs="仿宋"/>
                <w:szCs w:val="21"/>
              </w:rPr>
            </w:pPr>
            <w:r>
              <w:rPr>
                <w:rFonts w:hint="eastAsia" w:ascii="宋体" w:hAnsi="宋体" w:eastAsia="宋体" w:cs="宋体"/>
                <w:szCs w:val="21"/>
                <w:lang w:bidi="ar"/>
              </w:rPr>
              <w:t>按需配置</w:t>
            </w:r>
          </w:p>
        </w:tc>
      </w:tr>
      <w:tr w14:paraId="3262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47BBDA28">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8</w:t>
            </w:r>
          </w:p>
        </w:tc>
        <w:tc>
          <w:tcPr>
            <w:tcW w:w="1134" w:type="dxa"/>
            <w:tcBorders>
              <w:top w:val="single" w:color="auto" w:sz="4" w:space="0"/>
              <w:left w:val="single" w:color="auto" w:sz="4" w:space="0"/>
              <w:bottom w:val="single" w:color="auto" w:sz="4" w:space="0"/>
              <w:right w:val="single" w:color="auto" w:sz="4" w:space="0"/>
            </w:tcBorders>
            <w:vAlign w:val="center"/>
          </w:tcPr>
          <w:p w14:paraId="0CAD0EB8">
            <w:pPr>
              <w:snapToGrid w:val="0"/>
              <w:rPr>
                <w:rFonts w:hint="eastAsia" w:ascii="宋体" w:hAnsi="宋体" w:eastAsia="宋体" w:cs="仿宋"/>
                <w:szCs w:val="21"/>
              </w:rPr>
            </w:pPr>
            <w:r>
              <w:rPr>
                <w:rFonts w:hint="eastAsia" w:ascii="宋体" w:hAnsi="宋体" w:eastAsia="宋体" w:cs="宋体"/>
                <w:szCs w:val="21"/>
                <w:lang w:bidi="ar"/>
              </w:rPr>
              <w:t>其他技术中要求的设备</w:t>
            </w:r>
          </w:p>
        </w:tc>
        <w:tc>
          <w:tcPr>
            <w:tcW w:w="1134" w:type="dxa"/>
            <w:tcBorders>
              <w:top w:val="single" w:color="auto" w:sz="4" w:space="0"/>
              <w:left w:val="single" w:color="auto" w:sz="4" w:space="0"/>
              <w:bottom w:val="single" w:color="auto" w:sz="4" w:space="0"/>
              <w:right w:val="single" w:color="auto" w:sz="4" w:space="0"/>
            </w:tcBorders>
            <w:vAlign w:val="center"/>
          </w:tcPr>
          <w:p w14:paraId="661A68AE">
            <w:pPr>
              <w:snapToGrid w:val="0"/>
              <w:spacing w:line="360" w:lineRule="auto"/>
              <w:ind w:firstLine="420"/>
              <w:jc w:val="center"/>
              <w:rPr>
                <w:rFonts w:hint="eastAsia" w:ascii="宋体" w:hAnsi="宋体" w:eastAsia="宋体" w:cs="仿宋"/>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E2ED220">
            <w:pPr>
              <w:snapToGrid w:val="0"/>
              <w:spacing w:line="360" w:lineRule="auto"/>
              <w:ind w:firstLine="420"/>
              <w:jc w:val="center"/>
              <w:rPr>
                <w:rFonts w:hint="eastAsia" w:ascii="宋体" w:hAnsi="宋体" w:eastAsia="宋体"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53FD338">
            <w:pPr>
              <w:snapToGrid w:val="0"/>
              <w:spacing w:line="360" w:lineRule="auto"/>
              <w:rPr>
                <w:rFonts w:hint="eastAsia" w:ascii="宋体" w:hAnsi="宋体" w:eastAsia="宋体" w:cs="仿宋"/>
                <w:szCs w:val="21"/>
              </w:rPr>
            </w:pPr>
            <w:r>
              <w:rPr>
                <w:rFonts w:hint="eastAsia" w:ascii="宋体" w:hAnsi="宋体" w:eastAsia="宋体" w:cs="宋体"/>
                <w:szCs w:val="21"/>
                <w:lang w:bidi="ar"/>
              </w:rPr>
              <w:t>若干</w:t>
            </w:r>
          </w:p>
        </w:tc>
        <w:tc>
          <w:tcPr>
            <w:tcW w:w="709" w:type="dxa"/>
            <w:tcBorders>
              <w:top w:val="single" w:color="auto" w:sz="4" w:space="0"/>
              <w:left w:val="single" w:color="auto" w:sz="4" w:space="0"/>
              <w:bottom w:val="single" w:color="auto" w:sz="4" w:space="0"/>
              <w:right w:val="single" w:color="auto" w:sz="4" w:space="0"/>
            </w:tcBorders>
            <w:vAlign w:val="center"/>
          </w:tcPr>
          <w:p w14:paraId="7C96CAA8">
            <w:pPr>
              <w:snapToGrid w:val="0"/>
              <w:spacing w:line="360" w:lineRule="auto"/>
              <w:ind w:firstLine="199" w:firstLineChars="95"/>
              <w:rPr>
                <w:rFonts w:hint="eastAsia" w:ascii="宋体" w:hAnsi="宋体" w:eastAsia="宋体" w:cs="仿宋"/>
                <w:szCs w:val="21"/>
              </w:rPr>
            </w:pPr>
            <w:r>
              <w:rPr>
                <w:rFonts w:hint="eastAsia" w:ascii="宋体" w:hAnsi="宋体" w:eastAsia="宋体" w:cs="宋体"/>
                <w:szCs w:val="21"/>
                <w:lang w:bidi="ar"/>
              </w:rPr>
              <w:t>套</w:t>
            </w:r>
          </w:p>
        </w:tc>
        <w:tc>
          <w:tcPr>
            <w:tcW w:w="2551" w:type="dxa"/>
            <w:tcBorders>
              <w:top w:val="single" w:color="auto" w:sz="4" w:space="0"/>
              <w:left w:val="single" w:color="auto" w:sz="4" w:space="0"/>
              <w:bottom w:val="single" w:color="auto" w:sz="4" w:space="0"/>
              <w:right w:val="single" w:color="auto" w:sz="4" w:space="0"/>
            </w:tcBorders>
            <w:vAlign w:val="center"/>
          </w:tcPr>
          <w:p w14:paraId="3FE97B87">
            <w:pPr>
              <w:snapToGrid w:val="0"/>
              <w:spacing w:line="360" w:lineRule="auto"/>
              <w:ind w:firstLine="420"/>
              <w:jc w:val="center"/>
              <w:rPr>
                <w:rFonts w:hint="eastAsia" w:ascii="宋体" w:hAnsi="宋体" w:eastAsia="宋体" w:cs="仿宋"/>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B34C47A">
            <w:pPr>
              <w:snapToGrid w:val="0"/>
              <w:spacing w:line="360" w:lineRule="auto"/>
              <w:rPr>
                <w:rFonts w:hint="eastAsia" w:ascii="宋体" w:hAnsi="宋体" w:eastAsia="宋体" w:cs="仿宋"/>
                <w:szCs w:val="21"/>
              </w:rPr>
            </w:pPr>
            <w:r>
              <w:rPr>
                <w:rFonts w:hint="eastAsia" w:ascii="宋体" w:hAnsi="宋体" w:eastAsia="宋体" w:cs="宋体"/>
                <w:szCs w:val="21"/>
                <w:lang w:bidi="ar"/>
              </w:rPr>
              <w:t>按需配置</w:t>
            </w:r>
          </w:p>
        </w:tc>
      </w:tr>
    </w:tbl>
    <w:p w14:paraId="08B18299">
      <w:pPr>
        <w:snapToGrid w:val="0"/>
        <w:spacing w:line="360" w:lineRule="auto"/>
        <w:rPr>
          <w:rFonts w:hint="eastAsia" w:ascii="宋体" w:hAnsi="宋体" w:eastAsia="宋体" w:cs="仿宋"/>
          <w:b/>
          <w:szCs w:val="21"/>
        </w:rPr>
      </w:pPr>
      <w:bookmarkStart w:id="39" w:name="_Toc219815675"/>
      <w:r>
        <w:rPr>
          <w:rFonts w:hint="eastAsia" w:ascii="宋体" w:hAnsi="宋体" w:eastAsia="宋体" w:cs="仿宋"/>
          <w:b/>
          <w:szCs w:val="21"/>
          <w:lang w:bidi="ar"/>
        </w:rPr>
        <w:t xml:space="preserve"> </w:t>
      </w:r>
      <w:bookmarkEnd w:id="39"/>
    </w:p>
    <w:p w14:paraId="1CEBE061">
      <w:pPr>
        <w:snapToGrid w:val="0"/>
        <w:spacing w:line="360" w:lineRule="auto"/>
        <w:rPr>
          <w:rFonts w:hint="eastAsia" w:ascii="宋体" w:hAnsi="宋体" w:eastAsia="宋体" w:cs="仿宋"/>
          <w:b/>
          <w:szCs w:val="21"/>
        </w:rPr>
      </w:pPr>
      <w:r>
        <w:rPr>
          <w:rFonts w:hint="eastAsia" w:ascii="宋体" w:hAnsi="宋体" w:eastAsia="宋体" w:cs="宋体"/>
          <w:b/>
          <w:szCs w:val="21"/>
          <w:lang w:bidi="ar"/>
        </w:rPr>
        <w:t>7 投标人应提供的有关资料</w:t>
      </w:r>
    </w:p>
    <w:p w14:paraId="200BB6F1">
      <w:pPr>
        <w:overflowPunct w:val="0"/>
        <w:spacing w:line="312" w:lineRule="exact"/>
        <w:rPr>
          <w:rFonts w:ascii="Arial" w:hAnsi="Arial" w:eastAsia="宋体" w:cs="宋体"/>
          <w:szCs w:val="21"/>
        </w:rPr>
      </w:pPr>
      <w:r>
        <w:rPr>
          <w:rFonts w:ascii="EU-F1" w:hAnsi="EU-F1" w:eastAsia="EU-F1" w:cs="EU-F1"/>
          <w:szCs w:val="21"/>
          <w:lang w:bidi="ar"/>
        </w:rPr>
        <w:t>7.1</w:t>
      </w:r>
      <w:r>
        <w:rPr>
          <w:rFonts w:hint="eastAsia" w:ascii="宋体" w:hAnsi="宋体" w:eastAsia="宋体" w:cs="宋体"/>
          <w:szCs w:val="21"/>
          <w:lang w:bidi="ar"/>
        </w:rPr>
        <w:t xml:space="preserve"> 箱变的有关设计资料：</w:t>
      </w:r>
    </w:p>
    <w:p w14:paraId="7C75FCE3">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1）箱变一、二次电气图。</w:t>
      </w:r>
    </w:p>
    <w:p w14:paraId="5573794A">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2）箱变平面布置图。</w:t>
      </w:r>
    </w:p>
    <w:p w14:paraId="4A00EA38">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3）箱变安装图及说明。</w:t>
      </w:r>
    </w:p>
    <w:p w14:paraId="2026341F">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4）箱变接地图。</w:t>
      </w:r>
    </w:p>
    <w:p w14:paraId="74AA5191">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5）箱变基础图。</w:t>
      </w:r>
    </w:p>
    <w:p w14:paraId="45080C61">
      <w:pPr>
        <w:overflowPunct w:val="0"/>
        <w:spacing w:line="312" w:lineRule="exact"/>
        <w:rPr>
          <w:rFonts w:ascii="Times New Roman" w:hAnsi="Times New Roman" w:cs="Times New Roman"/>
          <w:szCs w:val="21"/>
        </w:rPr>
      </w:pPr>
      <w:r>
        <w:rPr>
          <w:rFonts w:ascii="EU-F1" w:hAnsi="EU-F1" w:eastAsia="EU-F1" w:cs="EU-F1"/>
          <w:szCs w:val="21"/>
          <w:lang w:bidi="ar"/>
        </w:rPr>
        <w:t>7.2</w:t>
      </w:r>
      <w:r>
        <w:rPr>
          <w:rFonts w:hint="eastAsia" w:ascii="宋体" w:hAnsi="宋体" w:eastAsia="宋体" w:cs="宋体"/>
          <w:szCs w:val="21"/>
          <w:lang w:bidi="ar"/>
        </w:rPr>
        <w:t xml:space="preserve"> 上述资料要求为中文版本（</w:t>
      </w:r>
      <w:r>
        <w:rPr>
          <w:rFonts w:ascii="Times New Roman" w:hAnsi="Times New Roman" w:eastAsia="宋体" w:cs="Times New Roman"/>
          <w:szCs w:val="21"/>
          <w:lang w:bidi="ar"/>
        </w:rPr>
        <w:t>CAD</w:t>
      </w:r>
      <w:r>
        <w:rPr>
          <w:rFonts w:hint="eastAsia" w:ascii="宋体" w:hAnsi="宋体" w:eastAsia="宋体" w:cs="宋体"/>
          <w:szCs w:val="21"/>
          <w:lang w:bidi="ar"/>
        </w:rPr>
        <w:t>版）。</w:t>
      </w:r>
    </w:p>
    <w:p w14:paraId="60CFC3DF">
      <w:pPr>
        <w:snapToGrid w:val="0"/>
        <w:spacing w:line="360" w:lineRule="auto"/>
        <w:rPr>
          <w:rFonts w:hint="eastAsia" w:ascii="宋体" w:hAnsi="宋体" w:eastAsia="宋体" w:cs="仿宋"/>
          <w:b/>
          <w:szCs w:val="21"/>
        </w:rPr>
      </w:pPr>
      <w:bookmarkStart w:id="40" w:name="_Toc338334068"/>
      <w:r>
        <w:rPr>
          <w:rFonts w:hint="eastAsia" w:ascii="宋体" w:hAnsi="宋体" w:eastAsia="宋体" w:cs="宋体"/>
          <w:b/>
          <w:szCs w:val="21"/>
          <w:lang w:bidi="ar"/>
        </w:rPr>
        <w:t>8 工程概况</w:t>
      </w:r>
      <w:bookmarkEnd w:id="40"/>
    </w:p>
    <w:p w14:paraId="1D9A2BAA">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1）项目名称：南京禄口机场7.49MW光充一体化项目</w:t>
      </w:r>
    </w:p>
    <w:p w14:paraId="3E89D094">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2）项目单位：江苏天禄新能科技有限公司</w:t>
      </w:r>
    </w:p>
    <w:p w14:paraId="4813A3F8">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3）工程规模： 4.4MW光伏项目</w:t>
      </w:r>
    </w:p>
    <w:p w14:paraId="348631A5">
      <w:pPr>
        <w:snapToGrid w:val="0"/>
        <w:spacing w:line="360" w:lineRule="auto"/>
        <w:ind w:firstLine="420"/>
        <w:jc w:val="left"/>
        <w:rPr>
          <w:rFonts w:hint="eastAsia" w:ascii="宋体" w:hAnsi="宋体" w:eastAsia="宋体" w:cs="仿宋"/>
          <w:szCs w:val="21"/>
        </w:rPr>
      </w:pPr>
      <w:r>
        <w:rPr>
          <w:rFonts w:hint="eastAsia" w:ascii="宋体" w:hAnsi="宋体" w:eastAsia="宋体" w:cs="宋体"/>
          <w:szCs w:val="21"/>
          <w:lang w:bidi="ar"/>
        </w:rPr>
        <w:t>4）工程地址：江苏省南京市禄口机场区域</w:t>
      </w:r>
    </w:p>
    <w:p w14:paraId="1B2B4489">
      <w:pPr>
        <w:snapToGrid w:val="0"/>
        <w:spacing w:line="360" w:lineRule="auto"/>
        <w:ind w:firstLine="420"/>
        <w:jc w:val="left"/>
        <w:rPr>
          <w:rFonts w:hint="eastAsia"/>
        </w:rPr>
      </w:pPr>
      <w:r>
        <w:rPr>
          <w:rFonts w:hint="eastAsia" w:ascii="宋体" w:hAnsi="宋体" w:eastAsia="宋体" w:cs="宋体"/>
          <w:szCs w:val="21"/>
          <w:lang w:bidi="ar"/>
        </w:rPr>
        <w:t>5）交通、运输：设备通过铁路+公路运输方式直接运抵场内。其它建筑材料可用汽车直接运到工地。</w:t>
      </w:r>
    </w:p>
    <w:p w14:paraId="65F0FB15">
      <w:pPr>
        <w:spacing w:line="360" w:lineRule="auto"/>
        <w:ind w:firstLine="420"/>
        <w:jc w:val="left"/>
        <w:rPr>
          <w:rFonts w:hint="eastAsia" w:ascii="宋体" w:hAnsi="宋体" w:eastAsia="宋体" w:cs="仿宋"/>
          <w:szCs w:val="21"/>
        </w:rPr>
        <w:sectPr>
          <w:footerReference r:id="rId5" w:type="default"/>
          <w:pgSz w:w="12242" w:h="15842"/>
          <w:pgMar w:top="1043" w:right="1009" w:bottom="986" w:left="1009" w:header="851" w:footer="992" w:gutter="0"/>
          <w:cols w:space="0" w:num="1"/>
          <w:docGrid w:type="lines" w:linePitch="319" w:charSpace="0"/>
        </w:sectPr>
      </w:pPr>
    </w:p>
    <w:p w14:paraId="68DD411F">
      <w:pPr>
        <w:rPr>
          <w:rFonts w:hint="eastAsia"/>
        </w:rPr>
      </w:pPr>
      <w:r>
        <w:rPr>
          <w:rFonts w:hint="eastAsia"/>
        </w:rPr>
        <w:t xml:space="preserve">招标附图 </w:t>
      </w:r>
    </w:p>
    <w:p w14:paraId="0B184311">
      <w:pPr>
        <w:rPr>
          <w:rFonts w:hint="eastAsia"/>
        </w:rPr>
      </w:pPr>
      <w:r>
        <w:t>SCB14-2000</w:t>
      </w:r>
    </w:p>
    <w:p w14:paraId="3CD19FDE">
      <w:pPr>
        <w:widowControl/>
        <w:jc w:val="left"/>
        <w:rPr>
          <w:rFonts w:hint="eastAsia"/>
        </w:rPr>
      </w:pPr>
      <w:r>
        <w:rPr>
          <w:rFonts w:ascii="宋体" w:hAnsi="宋体" w:eastAsia="宋体" w:cs="宋体"/>
          <w:kern w:val="0"/>
          <w:sz w:val="24"/>
          <w:lang w:bidi="ar"/>
        </w:rPr>
        <w:drawing>
          <wp:inline distT="0" distB="0" distL="114300" distR="114300">
            <wp:extent cx="6267450" cy="3151505"/>
            <wp:effectExtent l="0" t="0" r="0" b="10795"/>
            <wp:docPr id="6"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6"/>
                    <pic:cNvPicPr>
                      <a:picLocks noChangeAspect="1"/>
                    </pic:cNvPicPr>
                  </pic:nvPicPr>
                  <pic:blipFill>
                    <a:blip r:embed="rId12"/>
                    <a:stretch>
                      <a:fillRect/>
                    </a:stretch>
                  </pic:blipFill>
                  <pic:spPr>
                    <a:xfrm>
                      <a:off x="0" y="0"/>
                      <a:ext cx="6267450" cy="3151505"/>
                    </a:xfrm>
                    <a:prstGeom prst="rect">
                      <a:avLst/>
                    </a:prstGeom>
                    <a:noFill/>
                    <a:ln w="9525">
                      <a:noFill/>
                    </a:ln>
                  </pic:spPr>
                </pic:pic>
              </a:graphicData>
            </a:graphic>
          </wp:inline>
        </w:drawing>
      </w:r>
    </w:p>
    <w:p w14:paraId="50EEE66F">
      <w:pPr>
        <w:rPr>
          <w:rFonts w:hint="eastAsia"/>
        </w:rPr>
      </w:pPr>
      <w:r>
        <w:t xml:space="preserve"> </w:t>
      </w:r>
    </w:p>
    <w:p w14:paraId="780B018B">
      <w:pPr>
        <w:rPr>
          <w:rFonts w:hint="eastAsia"/>
        </w:rPr>
      </w:pPr>
      <w:r>
        <w:t xml:space="preserve"> </w:t>
      </w:r>
    </w:p>
    <w:p w14:paraId="59472DCD">
      <w:pPr>
        <w:rPr>
          <w:rFonts w:hint="eastAsia"/>
        </w:rPr>
      </w:pPr>
      <w:r>
        <w:t>SCB14-1000</w:t>
      </w:r>
    </w:p>
    <w:p w14:paraId="1AB4F880">
      <w:pPr>
        <w:pStyle w:val="4"/>
        <w:widowControl/>
        <w:rPr>
          <w:rFonts w:hint="eastAsia" w:ascii="宋体" w:hAnsi="宋体" w:eastAsia="宋体" w:cs="宋体"/>
          <w:b/>
          <w:sz w:val="32"/>
          <w:szCs w:val="32"/>
        </w:rPr>
      </w:pPr>
      <w:r>
        <w:drawing>
          <wp:inline distT="0" distB="0" distL="114300" distR="114300">
            <wp:extent cx="6276340" cy="3192145"/>
            <wp:effectExtent l="0" t="0" r="10160" b="8255"/>
            <wp:docPr id="4"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7"/>
                    <pic:cNvPicPr>
                      <a:picLocks noChangeAspect="1"/>
                    </pic:cNvPicPr>
                  </pic:nvPicPr>
                  <pic:blipFill>
                    <a:blip r:embed="rId13"/>
                    <a:stretch>
                      <a:fillRect/>
                    </a:stretch>
                  </pic:blipFill>
                  <pic:spPr>
                    <a:xfrm>
                      <a:off x="0" y="0"/>
                      <a:ext cx="6276340" cy="3192145"/>
                    </a:xfrm>
                    <a:prstGeom prst="rect">
                      <a:avLst/>
                    </a:prstGeom>
                    <a:noFill/>
                    <a:ln w="9525">
                      <a:noFill/>
                    </a:ln>
                  </pic:spPr>
                </pic:pic>
              </a:graphicData>
            </a:graphic>
          </wp:inline>
        </w:drawing>
      </w:r>
      <w:r>
        <w:rPr>
          <w:rFonts w:hint="eastAsia" w:ascii="宋体" w:hAnsi="宋体" w:eastAsia="宋体" w:cs="宋体"/>
          <w:b/>
          <w:sz w:val="32"/>
          <w:szCs w:val="32"/>
        </w:rPr>
        <w:t xml:space="preserve"> </w:t>
      </w:r>
    </w:p>
    <w:p w14:paraId="2BAE16F9">
      <w:pPr>
        <w:pStyle w:val="4"/>
        <w:widowControl/>
        <w:rPr>
          <w:rFonts w:ascii="Times New Roman" w:hAnsi="Times New Roman" w:cs="Times New Roman"/>
          <w:b/>
          <w:sz w:val="32"/>
          <w:szCs w:val="32"/>
        </w:rPr>
      </w:pPr>
      <w:r>
        <w:rPr>
          <w:rFonts w:ascii="Times New Roman" w:hAnsi="Times New Roman" w:cs="Times New Roman"/>
          <w:b/>
          <w:sz w:val="32"/>
          <w:szCs w:val="32"/>
        </w:rPr>
        <w:t xml:space="preserve"> </w:t>
      </w:r>
    </w:p>
    <w:p w14:paraId="50B42B71">
      <w:pPr>
        <w:rPr>
          <w:rFonts w:ascii="Times New Roman" w:hAnsi="Times New Roman" w:cs="Times New Roman"/>
          <w:szCs w:val="21"/>
        </w:rPr>
      </w:pPr>
    </w:p>
    <w:p w14:paraId="2AF377DA">
      <w:pPr>
        <w:pStyle w:val="5"/>
        <w:ind w:firstLine="420"/>
        <w:rPr>
          <w:rFonts w:hint="eastAsia" w:hAnsi="宋体" w:cs="宋体"/>
        </w:rPr>
      </w:pPr>
    </w:p>
    <w:sectPr>
      <w:pgSz w:w="11906" w:h="16838"/>
      <w:pgMar w:top="1043" w:right="1009" w:bottom="986" w:left="1009"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U-F1">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9F62E">
    <w:pPr>
      <w:pStyle w:val="14"/>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547D0">
                          <w:pPr>
                            <w:pStyle w:val="14"/>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57547D0">
                    <w:pPr>
                      <w:pStyle w:val="14"/>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4498960"/>
    </w:sdtPr>
    <w:sdtContent>
      <w:p w14:paraId="23AB6666">
        <w:pPr>
          <w:pStyle w:val="14"/>
          <w:jc w:val="center"/>
          <w:rPr>
            <w:rFonts w:hint="eastAsia"/>
          </w:rPr>
        </w:pPr>
        <w:r>
          <w:fldChar w:fldCharType="begin"/>
        </w:r>
        <w:r>
          <w:instrText xml:space="preserve">PAGE   \* MERGEFORMAT</w:instrText>
        </w:r>
        <w:r>
          <w:fldChar w:fldCharType="separate"/>
        </w:r>
        <w:r>
          <w:rPr>
            <w:lang w:val="zh-CN"/>
          </w:rPr>
          <w:t>1</w:t>
        </w:r>
        <w:r>
          <w:fldChar w:fldCharType="end"/>
        </w:r>
      </w:p>
    </w:sdtContent>
  </w:sdt>
  <w:p w14:paraId="018412ED">
    <w:pPr>
      <w:pStyle w:val="1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D8D69">
    <w:pPr>
      <w:pStyle w:val="14"/>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55840"/>
                          </w:sdtPr>
                          <w:sdtContent>
                            <w:p w14:paraId="097A7B0D">
                              <w:pPr>
                                <w:pStyle w:val="14"/>
                                <w:jc w:val="center"/>
                                <w:rPr>
                                  <w:rFonts w:hint="eastAsia"/>
                                </w:rPr>
                              </w:pPr>
                              <w:r>
                                <w:fldChar w:fldCharType="begin"/>
                              </w:r>
                              <w:r>
                                <w:instrText xml:space="preserve"> PAGE   \* MERGEFORMAT </w:instrText>
                              </w:r>
                              <w:r>
                                <w:fldChar w:fldCharType="separate"/>
                              </w:r>
                              <w:r>
                                <w:rPr>
                                  <w:lang w:val="zh-CN"/>
                                </w:rPr>
                                <w:t>14</w:t>
                              </w:r>
                              <w:r>
                                <w:rPr>
                                  <w:lang w:val="zh-CN"/>
                                </w:rPr>
                                <w:fldChar w:fldCharType="end"/>
                              </w:r>
                            </w:p>
                          </w:sdtContent>
                        </w:sdt>
                        <w:p w14:paraId="3ACF5F3D">
                          <w:pPr>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sdt>
                    <w:sdtPr>
                      <w:id w:val="147455840"/>
                    </w:sdtPr>
                    <w:sdtContent>
                      <w:p w14:paraId="097A7B0D">
                        <w:pPr>
                          <w:pStyle w:val="14"/>
                          <w:jc w:val="center"/>
                          <w:rPr>
                            <w:rFonts w:hint="eastAsia"/>
                          </w:rPr>
                        </w:pPr>
                        <w:r>
                          <w:fldChar w:fldCharType="begin"/>
                        </w:r>
                        <w:r>
                          <w:instrText xml:space="preserve"> PAGE   \* MERGEFORMAT </w:instrText>
                        </w:r>
                        <w:r>
                          <w:fldChar w:fldCharType="separate"/>
                        </w:r>
                        <w:r>
                          <w:rPr>
                            <w:lang w:val="zh-CN"/>
                          </w:rPr>
                          <w:t>14</w:t>
                        </w:r>
                        <w:r>
                          <w:rPr>
                            <w:lang w:val="zh-CN"/>
                          </w:rPr>
                          <w:fldChar w:fldCharType="end"/>
                        </w:r>
                      </w:p>
                    </w:sdtContent>
                  </w:sdt>
                  <w:p w14:paraId="3ACF5F3D">
                    <w:pPr>
                      <w:rPr>
                        <w:rFonts w:hint="eastAsia"/>
                      </w:rPr>
                    </w:pPr>
                  </w:p>
                </w:txbxContent>
              </v:textbox>
            </v:shape>
          </w:pict>
        </mc:Fallback>
      </mc:AlternateContent>
    </w:r>
  </w:p>
  <w:p w14:paraId="0576D26F">
    <w:pPr>
      <w:pStyle w:val="14"/>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C2A50"/>
    <w:multiLevelType w:val="singleLevel"/>
    <w:tmpl w:val="DF2C2A50"/>
    <w:lvl w:ilvl="0" w:tentative="0">
      <w:start w:val="1"/>
      <w:numFmt w:val="decimal"/>
      <w:suff w:val="nothing"/>
      <w:lvlText w:val="（%1）"/>
      <w:lvlJc w:val="left"/>
    </w:lvl>
  </w:abstractNum>
  <w:abstractNum w:abstractNumId="1">
    <w:nsid w:val="57E01045"/>
    <w:multiLevelType w:val="singleLevel"/>
    <w:tmpl w:val="57E0104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mNkNmYyYzQ5Y2I4M2UwMTliM2VjNmFlZjA5N2EifQ=="/>
  </w:docVars>
  <w:rsids>
    <w:rsidRoot w:val="002B10A7"/>
    <w:rsid w:val="00024ED8"/>
    <w:rsid w:val="00047E82"/>
    <w:rsid w:val="00052D8C"/>
    <w:rsid w:val="00077464"/>
    <w:rsid w:val="001D1CDC"/>
    <w:rsid w:val="002B10A7"/>
    <w:rsid w:val="00344BD1"/>
    <w:rsid w:val="003921FD"/>
    <w:rsid w:val="003F1CC7"/>
    <w:rsid w:val="00474FB0"/>
    <w:rsid w:val="00481E4B"/>
    <w:rsid w:val="0054437A"/>
    <w:rsid w:val="00584200"/>
    <w:rsid w:val="00626977"/>
    <w:rsid w:val="009A4DEA"/>
    <w:rsid w:val="00B161F1"/>
    <w:rsid w:val="00BC3B05"/>
    <w:rsid w:val="00C02FF3"/>
    <w:rsid w:val="00C77377"/>
    <w:rsid w:val="00D23E07"/>
    <w:rsid w:val="00E03DC3"/>
    <w:rsid w:val="00E07C4A"/>
    <w:rsid w:val="00E367B4"/>
    <w:rsid w:val="00E748E1"/>
    <w:rsid w:val="00EB1E8F"/>
    <w:rsid w:val="00F321D2"/>
    <w:rsid w:val="00F56411"/>
    <w:rsid w:val="00FA294D"/>
    <w:rsid w:val="00FC22FE"/>
    <w:rsid w:val="012944F0"/>
    <w:rsid w:val="017E696D"/>
    <w:rsid w:val="078F69E9"/>
    <w:rsid w:val="088D73A9"/>
    <w:rsid w:val="08E150F4"/>
    <w:rsid w:val="091F0FEF"/>
    <w:rsid w:val="0B2F368B"/>
    <w:rsid w:val="0BBF20B1"/>
    <w:rsid w:val="0C331EC8"/>
    <w:rsid w:val="0D570D57"/>
    <w:rsid w:val="0D7B4129"/>
    <w:rsid w:val="0E5350E3"/>
    <w:rsid w:val="10415AD5"/>
    <w:rsid w:val="11A9055E"/>
    <w:rsid w:val="121F524D"/>
    <w:rsid w:val="1478433A"/>
    <w:rsid w:val="14BB2301"/>
    <w:rsid w:val="16041350"/>
    <w:rsid w:val="177B5642"/>
    <w:rsid w:val="1A24794A"/>
    <w:rsid w:val="1B28788F"/>
    <w:rsid w:val="1D8138E1"/>
    <w:rsid w:val="1F9472D4"/>
    <w:rsid w:val="20DD321B"/>
    <w:rsid w:val="22243E0C"/>
    <w:rsid w:val="24AD59F2"/>
    <w:rsid w:val="260C00C4"/>
    <w:rsid w:val="283C2301"/>
    <w:rsid w:val="2A9B396A"/>
    <w:rsid w:val="2B013C59"/>
    <w:rsid w:val="2B9F0C5F"/>
    <w:rsid w:val="2D0B1B45"/>
    <w:rsid w:val="2DCC3353"/>
    <w:rsid w:val="2E3210E4"/>
    <w:rsid w:val="2F026F07"/>
    <w:rsid w:val="3104623F"/>
    <w:rsid w:val="322A2FB9"/>
    <w:rsid w:val="325356E2"/>
    <w:rsid w:val="32B01BB6"/>
    <w:rsid w:val="32DC0FAC"/>
    <w:rsid w:val="34A92764"/>
    <w:rsid w:val="35851A01"/>
    <w:rsid w:val="35E20C8C"/>
    <w:rsid w:val="36456645"/>
    <w:rsid w:val="38133FA2"/>
    <w:rsid w:val="39205BF2"/>
    <w:rsid w:val="39276F80"/>
    <w:rsid w:val="3AFA3FAF"/>
    <w:rsid w:val="3B060054"/>
    <w:rsid w:val="3B60677A"/>
    <w:rsid w:val="3F841B9D"/>
    <w:rsid w:val="41B11ADD"/>
    <w:rsid w:val="42880842"/>
    <w:rsid w:val="43B9431B"/>
    <w:rsid w:val="43CC51CD"/>
    <w:rsid w:val="447B3838"/>
    <w:rsid w:val="46382D6C"/>
    <w:rsid w:val="471457BF"/>
    <w:rsid w:val="49120A59"/>
    <w:rsid w:val="49487872"/>
    <w:rsid w:val="4954163C"/>
    <w:rsid w:val="499B6B7C"/>
    <w:rsid w:val="4A3D6149"/>
    <w:rsid w:val="4AD351BA"/>
    <w:rsid w:val="4AF41787"/>
    <w:rsid w:val="4BC81014"/>
    <w:rsid w:val="4BF83138"/>
    <w:rsid w:val="4C3346A1"/>
    <w:rsid w:val="4DA90454"/>
    <w:rsid w:val="51AF590D"/>
    <w:rsid w:val="532E1C99"/>
    <w:rsid w:val="541E59ED"/>
    <w:rsid w:val="55D25BB9"/>
    <w:rsid w:val="563E3B10"/>
    <w:rsid w:val="58896EB8"/>
    <w:rsid w:val="58964825"/>
    <w:rsid w:val="5B5058AF"/>
    <w:rsid w:val="5B512FA9"/>
    <w:rsid w:val="5C626C78"/>
    <w:rsid w:val="5D27671A"/>
    <w:rsid w:val="5F304902"/>
    <w:rsid w:val="5F421E8D"/>
    <w:rsid w:val="602837E7"/>
    <w:rsid w:val="607664FC"/>
    <w:rsid w:val="60BB5D97"/>
    <w:rsid w:val="61DC10EB"/>
    <w:rsid w:val="620F53D7"/>
    <w:rsid w:val="630D7AD2"/>
    <w:rsid w:val="64AB30F0"/>
    <w:rsid w:val="64F22BCB"/>
    <w:rsid w:val="656478DF"/>
    <w:rsid w:val="662D5327"/>
    <w:rsid w:val="67A23F54"/>
    <w:rsid w:val="69E9259C"/>
    <w:rsid w:val="6B177178"/>
    <w:rsid w:val="6C6967BA"/>
    <w:rsid w:val="6C9A3FDC"/>
    <w:rsid w:val="6D134B60"/>
    <w:rsid w:val="6D5E1A98"/>
    <w:rsid w:val="6E1D0C30"/>
    <w:rsid w:val="721B7E4A"/>
    <w:rsid w:val="72C75245"/>
    <w:rsid w:val="72F76BD8"/>
    <w:rsid w:val="72FA6ED8"/>
    <w:rsid w:val="74A82012"/>
    <w:rsid w:val="759568B3"/>
    <w:rsid w:val="78743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opLinePunct/>
      <w:ind w:firstLine="420"/>
      <w:outlineLvl w:val="1"/>
    </w:pPr>
    <w:rPr>
      <w:rFonts w:eastAsia="黑体"/>
      <w:bCs/>
      <w:szCs w:val="21"/>
    </w:rPr>
  </w:style>
  <w:style w:type="paragraph" w:styleId="4">
    <w:name w:val="heading 3"/>
    <w:basedOn w:val="1"/>
    <w:next w:val="5"/>
    <w:qFormat/>
    <w:uiPriority w:val="0"/>
    <w:pPr>
      <w:keepNext/>
      <w:keepLines/>
      <w:spacing w:line="960" w:lineRule="auto"/>
      <w:jc w:val="center"/>
      <w:outlineLvl w:val="2"/>
    </w:pPr>
    <w:rPr>
      <w:rFonts w:eastAsia="黑体"/>
      <w:bCs/>
      <w:sz w:val="28"/>
      <w:szCs w:val="28"/>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customStyle="1" w:styleId="5">
    <w:name w:val="段"/>
    <w:autoRedefine/>
    <w:semiHidden/>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7">
    <w:name w:val="Normal Indent"/>
    <w:basedOn w:val="1"/>
    <w:semiHidden/>
    <w:qFormat/>
    <w:uiPriority w:val="0"/>
    <w:pPr>
      <w:ind w:firstLine="420"/>
    </w:pPr>
  </w:style>
  <w:style w:type="paragraph" w:styleId="8">
    <w:name w:val="annotation text"/>
    <w:basedOn w:val="1"/>
    <w:qFormat/>
    <w:uiPriority w:val="0"/>
  </w:style>
  <w:style w:type="paragraph" w:styleId="9">
    <w:name w:val="Body Text"/>
    <w:basedOn w:val="1"/>
    <w:unhideWhenUsed/>
    <w:qFormat/>
    <w:uiPriority w:val="0"/>
    <w:pPr>
      <w:spacing w:after="120"/>
    </w:pPr>
  </w:style>
  <w:style w:type="paragraph" w:styleId="10">
    <w:name w:val="Plain Text"/>
    <w:basedOn w:val="1"/>
    <w:semiHidden/>
    <w:unhideWhenUsed/>
    <w:qFormat/>
    <w:uiPriority w:val="99"/>
    <w:rPr>
      <w:rFonts w:hint="eastAsia" w:ascii="宋体" w:hAnsi="Courier New" w:eastAsia="宋体" w:cs="Times New Roman"/>
      <w:szCs w:val="21"/>
    </w:rPr>
  </w:style>
  <w:style w:type="paragraph" w:styleId="11">
    <w:name w:val="Date"/>
    <w:basedOn w:val="1"/>
    <w:next w:val="1"/>
    <w:semiHidden/>
    <w:qFormat/>
    <w:uiPriority w:val="0"/>
  </w:style>
  <w:style w:type="paragraph" w:styleId="12">
    <w:name w:val="Body Text Indent 2"/>
    <w:basedOn w:val="1"/>
    <w:qFormat/>
    <w:uiPriority w:val="0"/>
    <w:pPr>
      <w:spacing w:after="120" w:line="480" w:lineRule="auto"/>
      <w:ind w:left="420"/>
    </w:pPr>
  </w:style>
  <w:style w:type="paragraph" w:styleId="13">
    <w:name w:val="Balloon Text"/>
    <w:basedOn w:val="1"/>
    <w:semiHidden/>
    <w:qFormat/>
    <w:uiPriority w:val="0"/>
    <w:rPr>
      <w:sz w:val="18"/>
      <w:szCs w:val="18"/>
    </w:rPr>
  </w:style>
  <w:style w:type="paragraph" w:styleId="14">
    <w:name w:val="footer"/>
    <w:basedOn w:val="1"/>
    <w:link w:val="24"/>
    <w:unhideWhenUsed/>
    <w:qFormat/>
    <w:uiPriority w:val="99"/>
    <w:pPr>
      <w:tabs>
        <w:tab w:val="center" w:pos="4153"/>
        <w:tab w:val="right" w:pos="8306"/>
      </w:tabs>
      <w:snapToGrid w:val="0"/>
      <w:jc w:val="left"/>
    </w:pPr>
    <w:rPr>
      <w:sz w:val="18"/>
      <w:szCs w:val="18"/>
    </w:rPr>
  </w:style>
  <w:style w:type="paragraph" w:styleId="15">
    <w:name w:val="header"/>
    <w:basedOn w:val="1"/>
    <w:link w:val="23"/>
    <w:unhideWhenUsed/>
    <w:qFormat/>
    <w:uiPriority w:val="99"/>
    <w:pP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Normal (Web)"/>
    <w:basedOn w:val="1"/>
    <w:qFormat/>
    <w:uiPriority w:val="99"/>
    <w:pPr>
      <w:spacing w:beforeAutospacing="1" w:afterAutospacing="1"/>
      <w:jc w:val="left"/>
    </w:pPr>
    <w:rPr>
      <w:rFonts w:cs="Times New Roman"/>
      <w:kern w:val="0"/>
      <w:sz w:val="24"/>
    </w:rPr>
  </w:style>
  <w:style w:type="paragraph" w:styleId="18">
    <w:name w:val="Body Text First Indent"/>
    <w:basedOn w:val="1"/>
    <w:unhideWhenUsed/>
    <w:qFormat/>
    <w:uiPriority w:val="0"/>
    <w:pPr>
      <w:ind w:firstLine="420" w:firstLineChars="1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customStyle="1" w:styleId="23">
    <w:name w:val="页眉 字符"/>
    <w:basedOn w:val="21"/>
    <w:link w:val="15"/>
    <w:qFormat/>
    <w:uiPriority w:val="99"/>
    <w:rPr>
      <w:sz w:val="18"/>
      <w:szCs w:val="18"/>
    </w:rPr>
  </w:style>
  <w:style w:type="character" w:customStyle="1" w:styleId="24">
    <w:name w:val="页脚 字符"/>
    <w:basedOn w:val="21"/>
    <w:link w:val="14"/>
    <w:qFormat/>
    <w:uiPriority w:val="99"/>
    <w:rPr>
      <w:sz w:val="18"/>
      <w:szCs w:val="18"/>
    </w:rPr>
  </w:style>
  <w:style w:type="paragraph" w:customStyle="1" w:styleId="25">
    <w:name w:val="Table Paragraph"/>
    <w:basedOn w:val="1"/>
    <w:qFormat/>
    <w:uiPriority w:val="1"/>
    <w:rPr>
      <w:rFonts w:ascii="宋体" w:hAnsi="宋体" w:eastAsia="宋体" w:cs="宋体"/>
    </w:rPr>
  </w:style>
  <w:style w:type="character" w:customStyle="1" w:styleId="26">
    <w:name w:val="标题 1 字符"/>
    <w:basedOn w:val="21"/>
    <w:link w:val="2"/>
    <w:qFormat/>
    <w:uiPriority w:val="9"/>
    <w:rPr>
      <w:b/>
      <w:bCs/>
      <w:kern w:val="44"/>
      <w:sz w:val="44"/>
      <w:szCs w:val="44"/>
    </w:rPr>
  </w:style>
  <w:style w:type="character" w:customStyle="1" w:styleId="27">
    <w:name w:val="font41"/>
    <w:basedOn w:val="21"/>
    <w:autoRedefine/>
    <w:qFormat/>
    <w:uiPriority w:val="0"/>
    <w:rPr>
      <w:rFonts w:hint="eastAsia" w:ascii="宋体" w:hAnsi="宋体" w:eastAsia="宋体" w:cs="宋体"/>
      <w:color w:val="000000"/>
      <w:sz w:val="20"/>
      <w:szCs w:val="20"/>
      <w:u w:val="none"/>
    </w:rPr>
  </w:style>
  <w:style w:type="paragraph" w:customStyle="1" w:styleId="28">
    <w:name w:val="样式 1"/>
    <w:basedOn w:val="2"/>
    <w:autoRedefine/>
    <w:qFormat/>
    <w:uiPriority w:val="0"/>
    <w:pPr>
      <w:keepNext w:val="0"/>
      <w:keepLines w:val="0"/>
      <w:spacing w:line="240" w:lineRule="auto"/>
    </w:pPr>
    <w:rPr>
      <w:rFonts w:ascii="EU-F1" w:eastAsia="黑体"/>
      <w:kern w:val="21"/>
      <w:sz w:val="21"/>
      <w:szCs w:val="21"/>
    </w:rPr>
  </w:style>
  <w:style w:type="paragraph" w:customStyle="1" w:styleId="29">
    <w:name w:val="样式 2"/>
    <w:basedOn w:val="3"/>
    <w:qFormat/>
    <w:uiPriority w:val="0"/>
    <w:pPr>
      <w:keepNext w:val="0"/>
      <w:keepLines w:val="0"/>
      <w:spacing w:line="312" w:lineRule="exact"/>
      <w:ind w:firstLine="0"/>
    </w:pPr>
    <w:rPr>
      <w:rFonts w:ascii="EU-F1"/>
    </w:rPr>
  </w:style>
  <w:style w:type="paragraph" w:customStyle="1" w:styleId="30">
    <w:name w:val="表头"/>
    <w:basedOn w:val="1"/>
    <w:qFormat/>
    <w:uiPriority w:val="0"/>
    <w:pPr>
      <w:topLinePunct/>
      <w:spacing w:before="160" w:after="60" w:line="312" w:lineRule="exact"/>
      <w:jc w:val="center"/>
    </w:pPr>
    <w:rPr>
      <w:rFonts w:ascii="EU-F1" w:eastAsia="黑体"/>
      <w:szCs w:val="21"/>
    </w:rPr>
  </w:style>
  <w:style w:type="paragraph" w:customStyle="1" w:styleId="31">
    <w:name w:val="jl 正文 Char Char"/>
    <w:basedOn w:val="1"/>
    <w:semiHidden/>
    <w:qFormat/>
    <w:uiPriority w:val="0"/>
    <w:pPr>
      <w:autoSpaceDE w:val="0"/>
      <w:autoSpaceDN w:val="0"/>
      <w:adjustRightInd w:val="0"/>
      <w:ind w:firstLine="200" w:firstLineChars="200"/>
      <w:jc w:val="left"/>
      <w:textAlignment w:val="baseline"/>
    </w:pPr>
    <w:rPr>
      <w:rFonts w:ascii="宋体"/>
      <w:sz w:val="24"/>
    </w:rPr>
  </w:style>
  <w:style w:type="paragraph" w:customStyle="1" w:styleId="32">
    <w:name w:val="朱1"/>
    <w:basedOn w:val="33"/>
    <w:qFormat/>
    <w:uiPriority w:val="0"/>
    <w:pPr>
      <w:keepLines w:val="0"/>
      <w:tabs>
        <w:tab w:val="left" w:pos="567"/>
        <w:tab w:val="left" w:pos="850"/>
      </w:tabs>
      <w:spacing w:line="240" w:lineRule="auto"/>
      <w:ind w:firstLine="0"/>
      <w:jc w:val="both"/>
      <w:textAlignment w:val="baseline"/>
      <w:outlineLvl w:val="0"/>
    </w:pPr>
    <w:rPr>
      <w:rFonts w:ascii="EU-F1" w:cs="Times New Roman"/>
      <w:b w:val="0"/>
      <w:bCs/>
      <w:kern w:val="21"/>
      <w:sz w:val="21"/>
      <w:szCs w:val="21"/>
    </w:rPr>
  </w:style>
  <w:style w:type="paragraph" w:customStyle="1" w:styleId="33">
    <w:name w:val="样式2"/>
    <w:basedOn w:val="3"/>
    <w:semiHidden/>
    <w:qFormat/>
    <w:uiPriority w:val="0"/>
    <w:pPr>
      <w:tabs>
        <w:tab w:val="left" w:pos="567"/>
        <w:tab w:val="left" w:pos="850"/>
      </w:tabs>
      <w:spacing w:line="960" w:lineRule="auto"/>
      <w:jc w:val="left"/>
    </w:pPr>
    <w:rPr>
      <w:rFonts w:cs="宋体"/>
      <w:b/>
      <w:bCs w:val="0"/>
      <w:kern w:val="44"/>
      <w:sz w:val="36"/>
      <w:szCs w:val="36"/>
    </w:rPr>
  </w:style>
  <w:style w:type="paragraph" w:customStyle="1" w:styleId="34">
    <w:name w:val="表头A"/>
    <w:basedOn w:val="30"/>
    <w:autoRedefine/>
    <w:qFormat/>
    <w:uiPriority w:val="0"/>
    <w:pPr>
      <w:topLinePunct w:val="0"/>
    </w:pPr>
    <w:rPr>
      <w:kern w:val="21"/>
    </w:rPr>
  </w:style>
  <w:style w:type="paragraph" w:customStyle="1" w:styleId="35">
    <w:name w:val="朱2"/>
    <w:basedOn w:val="33"/>
    <w:autoRedefine/>
    <w:qFormat/>
    <w:uiPriority w:val="0"/>
    <w:pPr>
      <w:keepLines w:val="0"/>
      <w:tabs>
        <w:tab w:val="clear" w:pos="567"/>
        <w:tab w:val="clear" w:pos="850"/>
      </w:tabs>
      <w:spacing w:line="312" w:lineRule="exact"/>
      <w:ind w:firstLine="0"/>
      <w:jc w:val="both"/>
      <w:textAlignment w:val="baseline"/>
      <w:outlineLvl w:val="0"/>
    </w:pPr>
    <w:rPr>
      <w:rFonts w:ascii="EU-F1" w:cs="Times New Roman"/>
      <w:b w:val="0"/>
      <w:bCs/>
      <w:kern w:val="21"/>
      <w:sz w:val="21"/>
      <w:szCs w:val="21"/>
    </w:rPr>
  </w:style>
  <w:style w:type="paragraph" w:customStyle="1" w:styleId="36">
    <w:name w:val="自控1"/>
    <w:basedOn w:val="5"/>
    <w:autoRedefine/>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37">
    <w:name w:val="TOC 标题1"/>
    <w:basedOn w:val="2"/>
    <w:next w:val="1"/>
    <w:unhideWhenUsed/>
    <w:qFormat/>
    <w:uiPriority w:val="39"/>
    <w:pPr>
      <w:widowControl/>
      <w:spacing w:before="480" w:line="276" w:lineRule="auto"/>
      <w:jc w:val="left"/>
      <w:outlineLvl w:val="9"/>
    </w:pPr>
    <w:rPr>
      <w:rFonts w:asciiTheme="majorHAnsi" w:hAnsiTheme="majorHAnsi" w:eastAsiaTheme="majorEastAsia" w:cstheme="majorBidi"/>
      <w:color w:val="2F5597" w:themeColor="accent1" w:themeShade="BF"/>
      <w:kern w:val="0"/>
      <w:szCs w:val="28"/>
    </w:rPr>
  </w:style>
  <w:style w:type="paragraph" w:customStyle="1" w:styleId="38">
    <w:name w:val="样式6"/>
    <w:basedOn w:val="1"/>
    <w:qFormat/>
    <w:uiPriority w:val="0"/>
    <w:pPr>
      <w:topLinePunct/>
      <w:spacing w:before="560" w:after="560" w:line="560" w:lineRule="exact"/>
      <w:jc w:val="center"/>
    </w:pPr>
    <w:rPr>
      <w:rFonts w:eastAsia="黑体"/>
      <w:sz w:val="32"/>
      <w:szCs w:val="20"/>
    </w:rPr>
  </w:style>
  <w:style w:type="paragraph" w:customStyle="1" w:styleId="39">
    <w:name w:val="目次、标准名称标题"/>
    <w:basedOn w:val="1"/>
    <w:next w:val="5"/>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0">
    <w:name w:val="样式1"/>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customStyle="1" w:styleId="41">
    <w:name w:val="三级条标题"/>
    <w:basedOn w:val="42"/>
    <w:next w:val="5"/>
    <w:qFormat/>
    <w:uiPriority w:val="0"/>
    <w:pPr>
      <w:outlineLvl w:val="4"/>
    </w:pPr>
  </w:style>
  <w:style w:type="paragraph" w:customStyle="1" w:styleId="42">
    <w:name w:val="二级条标题"/>
    <w:basedOn w:val="1"/>
    <w:next w:val="5"/>
    <w:qFormat/>
    <w:uiPriority w:val="0"/>
    <w:pPr>
      <w:widowControl/>
      <w:spacing w:before="50" w:after="50"/>
      <w:jc w:val="left"/>
      <w:outlineLvl w:val="3"/>
    </w:pPr>
    <w:rPr>
      <w:rFonts w:ascii="黑体" w:eastAsia="黑体"/>
      <w:kern w:val="0"/>
      <w:sz w:val="20"/>
      <w:szCs w:val="20"/>
    </w:rPr>
  </w:style>
  <w:style w:type="paragraph" w:customStyle="1" w:styleId="43">
    <w:name w:val="图说"/>
    <w:basedOn w:val="1"/>
    <w:qFormat/>
    <w:uiPriority w:val="0"/>
    <w:pPr>
      <w:topLinePunct/>
      <w:spacing w:before="60" w:after="160" w:line="312" w:lineRule="exact"/>
      <w:jc w:val="center"/>
    </w:pPr>
    <w:rPr>
      <w:rFonts w:ascii="EU-F1" w:eastAsia="黑体"/>
      <w:szCs w:val="21"/>
    </w:rPr>
  </w:style>
  <w:style w:type="paragraph" w:customStyle="1" w:styleId="44">
    <w:name w:val="图片"/>
    <w:basedOn w:val="1"/>
    <w:qFormat/>
    <w:uiPriority w:val="0"/>
    <w:pPr>
      <w:topLinePunct/>
      <w:snapToGrid w:val="0"/>
      <w:spacing w:before="160" w:after="60"/>
      <w:jc w:val="center"/>
    </w:pPr>
    <w:rPr>
      <w:szCs w:val="21"/>
    </w:rPr>
  </w:style>
  <w:style w:type="paragraph" w:customStyle="1" w:styleId="45">
    <w:name w:val="批注框文本1"/>
    <w:basedOn w:val="1"/>
    <w:qFormat/>
    <w:uiPriority w:val="0"/>
    <w:rPr>
      <w:kern w:val="0"/>
      <w:sz w:val="18"/>
      <w:szCs w:val="20"/>
    </w:rPr>
  </w:style>
  <w:style w:type="paragraph" w:customStyle="1" w:styleId="46">
    <w:name w:val="正文表标题"/>
    <w:next w:val="5"/>
    <w:qFormat/>
    <w:uiPriority w:val="0"/>
    <w:pPr>
      <w:tabs>
        <w:tab w:val="left" w:pos="360"/>
      </w:tabs>
      <w:spacing w:beforeLines="50" w:afterLines="50"/>
      <w:jc w:val="center"/>
    </w:pPr>
    <w:rPr>
      <w:rFonts w:ascii="黑体" w:hAnsi="Times New Roman" w:eastAsia="黑体" w:cs="Times New Roman"/>
      <w:lang w:val="en-US" w:eastAsia="zh-CN" w:bidi="ar-SA"/>
    </w:rPr>
  </w:style>
  <w:style w:type="paragraph" w:customStyle="1" w:styleId="47">
    <w:name w:val="注×："/>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character" w:customStyle="1" w:styleId="48">
    <w:name w:val="font11"/>
    <w:basedOn w:val="21"/>
    <w:qFormat/>
    <w:uiPriority w:val="0"/>
    <w:rPr>
      <w:rFonts w:hint="eastAsia" w:ascii="宋体" w:hAnsi="宋体" w:eastAsia="宋体" w:cs="宋体"/>
      <w:color w:val="000000"/>
      <w:sz w:val="18"/>
      <w:szCs w:val="18"/>
      <w:u w:val="none"/>
    </w:rPr>
  </w:style>
  <w:style w:type="character" w:customStyle="1" w:styleId="49">
    <w:name w:val="font21"/>
    <w:basedOn w:val="21"/>
    <w:qFormat/>
    <w:uiPriority w:val="0"/>
    <w:rPr>
      <w:rFonts w:hint="eastAsia" w:ascii="宋体" w:hAnsi="宋体" w:eastAsia="宋体" w:cs="宋体"/>
      <w:color w:val="FF0000"/>
      <w:sz w:val="18"/>
      <w:szCs w:val="18"/>
      <w:u w:val="none"/>
    </w:rPr>
  </w:style>
  <w:style w:type="character" w:customStyle="1" w:styleId="50">
    <w:name w:val="font31"/>
    <w:basedOn w:val="21"/>
    <w:qFormat/>
    <w:uiPriority w:val="0"/>
    <w:rPr>
      <w:rFonts w:hint="eastAsia" w:ascii="宋体" w:hAnsi="宋体" w:eastAsia="宋体" w:cs="宋体"/>
      <w:color w:val="000000"/>
      <w:sz w:val="21"/>
      <w:szCs w:val="21"/>
      <w:u w:val="none"/>
    </w:rPr>
  </w:style>
  <w:style w:type="character" w:customStyle="1" w:styleId="51">
    <w:name w:val="font51"/>
    <w:basedOn w:val="21"/>
    <w:qFormat/>
    <w:uiPriority w:val="0"/>
    <w:rPr>
      <w:rFonts w:hint="default" w:ascii="Calibri" w:hAnsi="Calibri" w:cs="Calibri"/>
      <w:color w:val="000000"/>
      <w:sz w:val="21"/>
      <w:szCs w:val="21"/>
      <w:u w:val="none"/>
    </w:rPr>
  </w:style>
  <w:style w:type="character" w:customStyle="1" w:styleId="52">
    <w:name w:val="15"/>
    <w:basedOn w:val="2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1217</Words>
  <Characters>1254</Characters>
  <Lines>1265</Lines>
  <Paragraphs>1306</Paragraphs>
  <TotalTime>219</TotalTime>
  <ScaleCrop>false</ScaleCrop>
  <LinksUpToDate>false</LinksUpToDate>
  <CharactersWithSpaces>1507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2023-08-09T08:19:00Z</dcterms:created>
  <dc:creator>cong wang</dc:creator>
  <cp:lastModifiedBy>唐莉</cp:lastModifiedBy>
  <cp:lastPrinted>2026-06-09T08:29:00Z</cp:lastPrinted>
  <dcterms:modified xsi:type="dcterms:W3CDTF">2026-06-12T07:49:11Z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A004653A70BB4D058137A1435F39C743_13</vt:lpwstr>
  </property>
  <property fmtid="{D5CDD505-2E9C-101B-9397-08002B2CF9AE}" pid="4" name="KSOTemplateDocerSaveRecord">
    <vt:lpwstr>eyJoZGlkIjoiMTNjYmNkNmYyYzQ5Y2I4M2UwMTliM2VjNmFlZjA5N2EiLCJ1c2VySWQiOiI0NDM5NDE1MTMifQ==</vt:lpwstr>
  </property>
</Properties>
</file>