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66C0C">
      <w:pPr>
        <w:spacing w:line="360" w:lineRule="auto"/>
        <w:jc w:val="center"/>
        <w:rPr>
          <w:rFonts w:hint="eastAsia" w:ascii="华文宋体" w:hAnsi="华文宋体" w:eastAsia="华文宋体" w:cs="华文宋体"/>
          <w:sz w:val="44"/>
          <w:szCs w:val="44"/>
        </w:rPr>
      </w:pPr>
    </w:p>
    <w:p w14:paraId="1574716E">
      <w:pPr>
        <w:spacing w:line="360" w:lineRule="auto"/>
        <w:jc w:val="center"/>
        <w:rPr>
          <w:rFonts w:hint="eastAsia" w:ascii="华文宋体" w:hAnsi="华文宋体" w:eastAsia="华文宋体" w:cs="华文宋体"/>
          <w:sz w:val="44"/>
          <w:szCs w:val="44"/>
        </w:rPr>
      </w:pPr>
      <w:r>
        <w:rPr>
          <w:rFonts w:hint="eastAsia" w:ascii="华文宋体" w:hAnsi="华文宋体" w:eastAsia="华文宋体" w:cs="华文宋体"/>
          <w:sz w:val="44"/>
          <w:szCs w:val="44"/>
        </w:rPr>
        <w:t>南京禄口国际机场空港科技有限公司</w:t>
      </w:r>
    </w:p>
    <w:p w14:paraId="4EA05082">
      <w:pPr>
        <w:spacing w:line="360" w:lineRule="auto"/>
        <w:jc w:val="center"/>
        <w:rPr>
          <w:rFonts w:hint="eastAsia" w:ascii="华文宋体" w:hAnsi="华文宋体" w:eastAsia="华文宋体" w:cs="华文宋体"/>
          <w:sz w:val="44"/>
          <w:szCs w:val="44"/>
          <w:lang w:val="en-US" w:eastAsia="zh-CN"/>
        </w:rPr>
      </w:pPr>
      <w:r>
        <w:rPr>
          <w:rFonts w:hint="eastAsia" w:ascii="华文宋体" w:hAnsi="华文宋体" w:eastAsia="华文宋体" w:cs="华文宋体"/>
          <w:sz w:val="44"/>
          <w:szCs w:val="44"/>
        </w:rPr>
        <w:t>舟山机场安全保障设施设备能力提升工程项目工程</w:t>
      </w:r>
      <w:r>
        <w:rPr>
          <w:rFonts w:hint="eastAsia" w:ascii="华文宋体" w:hAnsi="华文宋体" w:eastAsia="华文宋体" w:cs="华文宋体"/>
          <w:sz w:val="44"/>
          <w:szCs w:val="44"/>
          <w:lang w:val="en-US" w:eastAsia="zh-CN"/>
        </w:rPr>
        <w:t>设备采购</w:t>
      </w:r>
    </w:p>
    <w:p w14:paraId="0BDA4982">
      <w:pPr>
        <w:spacing w:line="360" w:lineRule="auto"/>
        <w:jc w:val="center"/>
        <w:rPr>
          <w:rFonts w:hint="eastAsia" w:ascii="华文宋体" w:hAnsi="华文宋体" w:eastAsia="华文宋体" w:cs="华文宋体"/>
          <w:b/>
          <w:bCs/>
          <w:sz w:val="72"/>
          <w:szCs w:val="72"/>
        </w:rPr>
      </w:pPr>
    </w:p>
    <w:p w14:paraId="12684BC6">
      <w:pPr>
        <w:spacing w:line="360" w:lineRule="auto"/>
        <w:jc w:val="center"/>
        <w:rPr>
          <w:rFonts w:hint="eastAsia" w:ascii="华文宋体" w:hAnsi="华文宋体" w:eastAsia="华文宋体" w:cs="华文宋体"/>
          <w:b/>
          <w:bCs/>
          <w:sz w:val="72"/>
          <w:szCs w:val="72"/>
        </w:rPr>
      </w:pPr>
      <w:r>
        <w:rPr>
          <w:rFonts w:hint="eastAsia" w:ascii="华文宋体" w:hAnsi="华文宋体" w:eastAsia="华文宋体" w:cs="华文宋体"/>
          <w:b/>
          <w:bCs/>
          <w:sz w:val="72"/>
          <w:szCs w:val="72"/>
        </w:rPr>
        <w:t>招标文件</w:t>
      </w:r>
    </w:p>
    <w:p w14:paraId="2482C0C5">
      <w:pPr>
        <w:spacing w:line="360" w:lineRule="auto"/>
        <w:jc w:val="center"/>
        <w:rPr>
          <w:rFonts w:hint="eastAsia" w:ascii="华文宋体" w:hAnsi="华文宋体" w:eastAsia="华文宋体" w:cs="华文宋体"/>
          <w:b/>
          <w:sz w:val="36"/>
          <w:szCs w:val="36"/>
        </w:rPr>
      </w:pPr>
    </w:p>
    <w:p w14:paraId="15B12353">
      <w:pPr>
        <w:spacing w:line="360" w:lineRule="auto"/>
        <w:jc w:val="center"/>
        <w:rPr>
          <w:rFonts w:hint="eastAsia" w:ascii="华文宋体" w:hAnsi="华文宋体" w:eastAsia="华文宋体" w:cs="华文宋体"/>
          <w:b/>
          <w:sz w:val="36"/>
          <w:szCs w:val="36"/>
        </w:rPr>
      </w:pPr>
    </w:p>
    <w:p w14:paraId="1B1A0DC3">
      <w:pPr>
        <w:widowControl w:val="0"/>
        <w:spacing w:line="360" w:lineRule="auto"/>
        <w:ind w:firstLine="420" w:firstLineChars="200"/>
        <w:jc w:val="both"/>
        <w:rPr>
          <w:rFonts w:hint="eastAsia" w:eastAsiaTheme="minorEastAsia"/>
          <w:lang w:eastAsia="zh-CN"/>
        </w:rPr>
      </w:pPr>
    </w:p>
    <w:p w14:paraId="5AFBC6F5">
      <w:pPr>
        <w:spacing w:line="360" w:lineRule="auto"/>
        <w:jc w:val="center"/>
        <w:rPr>
          <w:rFonts w:hint="eastAsia" w:ascii="华文宋体" w:hAnsi="华文宋体" w:eastAsia="华文宋体" w:cs="华文宋体"/>
          <w:b/>
          <w:sz w:val="36"/>
          <w:szCs w:val="36"/>
        </w:rPr>
      </w:pPr>
    </w:p>
    <w:p w14:paraId="2E771481">
      <w:pPr>
        <w:spacing w:line="360" w:lineRule="auto"/>
        <w:jc w:val="center"/>
        <w:rPr>
          <w:rFonts w:hint="eastAsia" w:ascii="华文宋体" w:hAnsi="华文宋体" w:eastAsia="华文宋体" w:cs="华文宋体"/>
          <w:b/>
          <w:sz w:val="36"/>
          <w:szCs w:val="36"/>
        </w:rPr>
      </w:pPr>
    </w:p>
    <w:p w14:paraId="2C7C3E2C">
      <w:pPr>
        <w:spacing w:line="360" w:lineRule="auto"/>
        <w:jc w:val="center"/>
        <w:rPr>
          <w:rFonts w:hint="default" w:ascii="华文宋体" w:hAnsi="华文宋体" w:eastAsia="华文宋体" w:cs="华文宋体"/>
          <w:sz w:val="30"/>
          <w:szCs w:val="30"/>
          <w:lang w:val="en-US" w:eastAsia="zh-CN"/>
        </w:rPr>
      </w:pPr>
      <w:r>
        <w:rPr>
          <w:rFonts w:hint="eastAsia" w:ascii="华文宋体" w:hAnsi="华文宋体" w:eastAsia="华文宋体" w:cs="华文宋体"/>
          <w:sz w:val="30"/>
          <w:szCs w:val="30"/>
        </w:rPr>
        <w:t>招标编号：KG2025-G065-ZB01</w:t>
      </w:r>
    </w:p>
    <w:p w14:paraId="5D70359D">
      <w:pPr>
        <w:spacing w:line="360" w:lineRule="auto"/>
        <w:jc w:val="center"/>
        <w:rPr>
          <w:rFonts w:hint="eastAsia" w:ascii="华文宋体" w:hAnsi="华文宋体" w:eastAsia="华文宋体" w:cs="华文宋体"/>
          <w:sz w:val="30"/>
          <w:szCs w:val="30"/>
        </w:rPr>
      </w:pPr>
      <w:r>
        <w:rPr>
          <w:rFonts w:hint="eastAsia" w:ascii="华文宋体" w:hAnsi="华文宋体" w:eastAsia="华文宋体" w:cs="华文宋体"/>
          <w:sz w:val="30"/>
          <w:szCs w:val="30"/>
        </w:rPr>
        <w:t>招标人：南京禄口国际机场空港科技有限公司</w:t>
      </w:r>
    </w:p>
    <w:p w14:paraId="299C77F6">
      <w:pPr>
        <w:spacing w:line="360" w:lineRule="auto"/>
        <w:jc w:val="center"/>
        <w:rPr>
          <w:rFonts w:hint="eastAsia" w:ascii="华文宋体" w:hAnsi="华文宋体" w:eastAsia="华文宋体" w:cs="华文宋体"/>
          <w:color w:val="000000"/>
          <w:sz w:val="30"/>
          <w:szCs w:val="30"/>
        </w:rPr>
      </w:pPr>
      <w:r>
        <w:rPr>
          <w:rFonts w:hint="eastAsia" w:ascii="华文宋体" w:hAnsi="华文宋体" w:eastAsia="华文宋体" w:cs="华文宋体"/>
          <w:sz w:val="30"/>
          <w:szCs w:val="30"/>
        </w:rPr>
        <w:t>地址：</w:t>
      </w:r>
      <w:bookmarkStart w:id="0" w:name="_Hlk201343477"/>
      <w:r>
        <w:rPr>
          <w:rFonts w:hint="eastAsia" w:ascii="华文宋体" w:hAnsi="华文宋体" w:eastAsia="华文宋体" w:cs="华文宋体"/>
          <w:color w:val="000000"/>
          <w:sz w:val="30"/>
          <w:szCs w:val="30"/>
        </w:rPr>
        <w:t>南京市江宁区天元西路199号东部机场集团10楼</w:t>
      </w:r>
    </w:p>
    <w:bookmarkEnd w:id="0"/>
    <w:p w14:paraId="03F386B4">
      <w:pPr>
        <w:jc w:val="center"/>
        <w:rPr>
          <w:rFonts w:hint="eastAsia" w:ascii="华文宋体" w:hAnsi="华文宋体" w:eastAsia="华文宋体" w:cs="华文宋体"/>
          <w:sz w:val="30"/>
          <w:szCs w:val="30"/>
          <w:highlight w:val="none"/>
        </w:rPr>
      </w:pPr>
      <w:r>
        <w:rPr>
          <w:rFonts w:hint="eastAsia" w:ascii="华文宋体" w:hAnsi="华文宋体" w:eastAsia="华文宋体" w:cs="华文宋体"/>
          <w:sz w:val="30"/>
          <w:szCs w:val="30"/>
          <w:highlight w:val="none"/>
        </w:rPr>
        <w:t>2026年</w:t>
      </w:r>
      <w:r>
        <w:rPr>
          <w:rFonts w:hint="eastAsia" w:ascii="华文宋体" w:hAnsi="华文宋体" w:eastAsia="华文宋体" w:cs="华文宋体"/>
          <w:sz w:val="30"/>
          <w:szCs w:val="30"/>
          <w:highlight w:val="none"/>
          <w:lang w:val="en-US" w:eastAsia="zh-CN"/>
        </w:rPr>
        <w:t>09</w:t>
      </w:r>
      <w:r>
        <w:rPr>
          <w:rFonts w:hint="eastAsia" w:ascii="华文宋体" w:hAnsi="华文宋体" w:eastAsia="华文宋体" w:cs="华文宋体"/>
          <w:sz w:val="30"/>
          <w:szCs w:val="30"/>
          <w:highlight w:val="none"/>
        </w:rPr>
        <w:t>月</w:t>
      </w:r>
      <w:r>
        <w:rPr>
          <w:rFonts w:hint="eastAsia" w:ascii="华文宋体" w:hAnsi="华文宋体" w:eastAsia="华文宋体" w:cs="华文宋体"/>
          <w:sz w:val="30"/>
          <w:szCs w:val="30"/>
          <w:highlight w:val="none"/>
          <w:lang w:val="en-US" w:eastAsia="zh-CN"/>
        </w:rPr>
        <w:t xml:space="preserve"> </w:t>
      </w:r>
      <w:r>
        <w:rPr>
          <w:rFonts w:hint="eastAsia" w:ascii="华文宋体" w:hAnsi="华文宋体" w:eastAsia="华文宋体" w:cs="华文宋体"/>
          <w:sz w:val="30"/>
          <w:szCs w:val="30"/>
          <w:highlight w:val="none"/>
        </w:rPr>
        <w:t>日</w:t>
      </w:r>
    </w:p>
    <w:p w14:paraId="02EDE19A">
      <w:pPr>
        <w:rPr>
          <w:rFonts w:hint="eastAsia" w:ascii="宋体" w:hAnsi="宋体" w:eastAsia="宋体" w:cs="宋体"/>
          <w:b/>
          <w:bCs/>
          <w:color w:val="auto"/>
          <w:sz w:val="36"/>
          <w:szCs w:val="36"/>
        </w:rPr>
      </w:pPr>
      <w:r>
        <w:rPr>
          <w:rFonts w:hint="eastAsia" w:ascii="华文宋体" w:hAnsi="华文宋体" w:eastAsia="华文宋体" w:cs="华文宋体"/>
          <w:sz w:val="30"/>
          <w:szCs w:val="30"/>
        </w:rPr>
        <w:br w:type="page"/>
      </w:r>
    </w:p>
    <w:p w14:paraId="5185DD4E">
      <w:pPr>
        <w:kinsoku/>
        <w:wordWrap/>
        <w:overflowPunct/>
        <w:topLinePunct w:val="0"/>
        <w:bidi w:val="0"/>
        <w:snapToGrid w:val="0"/>
        <w:spacing w:line="360" w:lineRule="auto"/>
        <w:jc w:val="center"/>
        <w:rPr>
          <w:rFonts w:hint="eastAsia" w:ascii="宋体" w:hAnsi="宋体" w:eastAsia="宋体" w:cs="宋体"/>
          <w:b/>
          <w:sz w:val="28"/>
          <w:szCs w:val="28"/>
          <w:highlight w:val="none"/>
        </w:rPr>
      </w:pPr>
    </w:p>
    <w:p w14:paraId="706A7982">
      <w:pPr>
        <w:kinsoku/>
        <w:wordWrap/>
        <w:overflowPunct/>
        <w:topLinePunct w:val="0"/>
        <w:bidi w:val="0"/>
        <w:snapToGrid w:val="0"/>
        <w:spacing w:line="360" w:lineRule="auto"/>
        <w:ind w:firstLine="422" w:firstLineChars="200"/>
        <w:rPr>
          <w:rFonts w:hint="eastAsia" w:ascii="宋体" w:hAnsi="宋体" w:eastAsia="宋体" w:cs="宋体"/>
          <w:szCs w:val="21"/>
          <w:highlight w:val="none"/>
        </w:rPr>
      </w:pPr>
      <w:r>
        <w:rPr>
          <w:rFonts w:hint="eastAsia" w:ascii="宋体" w:hAnsi="宋体" w:eastAsia="宋体" w:cs="宋体"/>
          <w:b/>
          <w:bCs/>
          <w:szCs w:val="21"/>
          <w:highlight w:val="none"/>
        </w:rPr>
        <w:t>南京禄口国际机场空港科技有限公司</w:t>
      </w:r>
      <w:r>
        <w:rPr>
          <w:rFonts w:hint="eastAsia" w:ascii="宋体" w:hAnsi="宋体" w:eastAsia="宋体" w:cs="宋体"/>
          <w:szCs w:val="21"/>
          <w:highlight w:val="none"/>
        </w:rPr>
        <w:t>拟通过自主招标方式采购</w:t>
      </w:r>
      <w:r>
        <w:rPr>
          <w:rFonts w:hint="eastAsia" w:ascii="宋体" w:hAnsi="宋体" w:eastAsia="宋体" w:cs="宋体"/>
          <w:szCs w:val="21"/>
          <w:highlight w:val="none"/>
          <w:lang w:val="en-US" w:eastAsia="zh-CN"/>
        </w:rPr>
        <w:t>设备一批</w:t>
      </w:r>
      <w:r>
        <w:rPr>
          <w:rFonts w:hint="eastAsia" w:ascii="宋体" w:hAnsi="宋体" w:eastAsia="宋体" w:cs="宋体"/>
          <w:szCs w:val="21"/>
          <w:highlight w:val="none"/>
        </w:rPr>
        <w:t>，现邀请有意向且满足要求的投标人参加，为统一投标文件的编制标准，现明确如下事项：</w:t>
      </w:r>
    </w:p>
    <w:p w14:paraId="1019A0CD">
      <w:pPr>
        <w:kinsoku/>
        <w:wordWrap/>
        <w:overflowPunct/>
        <w:topLinePunct w:val="0"/>
        <w:bidi w:val="0"/>
        <w:snapToGrid w:val="0"/>
        <w:spacing w:line="360" w:lineRule="auto"/>
        <w:rPr>
          <w:rFonts w:hint="eastAsia" w:ascii="宋体" w:hAnsi="宋体" w:eastAsia="宋体" w:cs="宋体"/>
          <w:szCs w:val="21"/>
          <w:highlight w:val="none"/>
        </w:rPr>
      </w:pPr>
      <w:r>
        <w:rPr>
          <w:rFonts w:hint="eastAsia" w:ascii="宋体" w:hAnsi="宋体" w:eastAsia="宋体" w:cs="宋体"/>
          <w:b/>
          <w:szCs w:val="21"/>
          <w:highlight w:val="none"/>
        </w:rPr>
        <w:t>招标项目内容：</w:t>
      </w:r>
    </w:p>
    <w:p w14:paraId="7DAC243E">
      <w:p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本项目</w:t>
      </w:r>
      <w:r>
        <w:rPr>
          <w:rFonts w:hint="eastAsia" w:ascii="宋体" w:hAnsi="宋体" w:eastAsia="宋体" w:cs="宋体"/>
          <w:szCs w:val="21"/>
          <w:highlight w:val="none"/>
          <w:lang w:val="en-US" w:eastAsia="zh-CN"/>
        </w:rPr>
        <w:t>为设备</w:t>
      </w:r>
      <w:r>
        <w:rPr>
          <w:rFonts w:hint="eastAsia" w:ascii="宋体" w:hAnsi="宋体" w:eastAsia="宋体" w:cs="宋体"/>
          <w:szCs w:val="21"/>
          <w:highlight w:val="none"/>
        </w:rPr>
        <w:t>采购招标。中标人应按照供货时间要求提供</w:t>
      </w:r>
      <w:r>
        <w:rPr>
          <w:rFonts w:hint="eastAsia" w:ascii="宋体" w:hAnsi="宋体" w:eastAsia="宋体" w:cs="宋体"/>
          <w:szCs w:val="21"/>
          <w:highlight w:val="none"/>
          <w:lang w:val="en-US" w:eastAsia="zh-CN"/>
        </w:rPr>
        <w:t>设备</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设备规格型号和要求必须完全符合招标人要求，</w:t>
      </w:r>
      <w:r>
        <w:rPr>
          <w:rFonts w:hint="eastAsia" w:ascii="宋体" w:hAnsi="宋体" w:eastAsia="宋体" w:cs="宋体"/>
          <w:szCs w:val="21"/>
          <w:highlight w:val="none"/>
        </w:rPr>
        <w:t>招标人有权根据实际需要调整内容，投标人应无条件满足。</w:t>
      </w:r>
    </w:p>
    <w:p w14:paraId="41F107E8">
      <w:p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最高投标限制总价：</w:t>
      </w:r>
      <w:r>
        <w:rPr>
          <w:rFonts w:hint="eastAsia" w:ascii="宋体" w:hAnsi="宋体" w:eastAsia="宋体" w:cs="宋体"/>
          <w:szCs w:val="21"/>
          <w:highlight w:val="none"/>
          <w:lang w:val="en-US" w:eastAsia="zh-CN"/>
        </w:rPr>
        <w:t xml:space="preserve">1280万元 </w:t>
      </w:r>
      <w:r>
        <w:rPr>
          <w:rFonts w:hint="eastAsia" w:ascii="宋体" w:hAnsi="宋体" w:eastAsia="宋体" w:cs="宋体"/>
          <w:color w:val="auto"/>
          <w:szCs w:val="21"/>
          <w:highlight w:val="none"/>
        </w:rPr>
        <w:t>人民币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壹仟贰佰捌拾万元整</w:t>
      </w:r>
      <w:r>
        <w:rPr>
          <w:rFonts w:hint="eastAsia" w:ascii="宋体" w:hAnsi="宋体" w:eastAsia="宋体" w:cs="宋体"/>
          <w:szCs w:val="21"/>
          <w:highlight w:val="none"/>
        </w:rPr>
        <w:t>（注：</w:t>
      </w:r>
      <w:r>
        <w:rPr>
          <w:rFonts w:hint="eastAsia" w:ascii="宋体" w:hAnsi="宋体" w:eastAsia="宋体" w:cs="宋体"/>
          <w:szCs w:val="21"/>
          <w:highlight w:val="none"/>
          <w:lang w:val="en-US" w:eastAsia="zh-CN"/>
        </w:rPr>
        <w:t>运费、调试等全部费用</w:t>
      </w:r>
      <w:r>
        <w:rPr>
          <w:rFonts w:hint="eastAsia" w:ascii="宋体" w:hAnsi="宋体" w:eastAsia="宋体" w:cs="宋体"/>
          <w:szCs w:val="21"/>
          <w:highlight w:val="none"/>
        </w:rPr>
        <w:t>）。</w:t>
      </w:r>
    </w:p>
    <w:p w14:paraId="5ABBCC11">
      <w:pPr>
        <w:kinsoku/>
        <w:wordWrap/>
        <w:overflowPunct/>
        <w:topLinePunct w:val="0"/>
        <w:bidi w:val="0"/>
        <w:spacing w:line="360" w:lineRule="auto"/>
        <w:ind w:firstLine="420" w:firstLineChars="2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供货期：待甲方通知。</w:t>
      </w:r>
    </w:p>
    <w:p w14:paraId="6A748F6A">
      <w:pPr>
        <w:kinsoku/>
        <w:wordWrap/>
        <w:overflowPunct/>
        <w:topLinePunct w:val="0"/>
        <w:bidi w:val="0"/>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rPr>
        <w:t>交货地点：</w:t>
      </w:r>
      <w:bookmarkStart w:id="1" w:name="_Hlk98423412"/>
      <w:r>
        <w:rPr>
          <w:rFonts w:hint="eastAsia" w:ascii="宋体" w:hAnsi="宋体" w:eastAsia="宋体" w:cs="宋体"/>
          <w:szCs w:val="21"/>
          <w:highlight w:val="none"/>
          <w:lang w:val="en-US" w:eastAsia="zh-CN"/>
        </w:rPr>
        <w:t>舟山普陀山</w:t>
      </w:r>
      <w:r>
        <w:rPr>
          <w:rFonts w:hint="eastAsia" w:ascii="宋体" w:hAnsi="宋体" w:eastAsia="宋体" w:cs="宋体"/>
          <w:szCs w:val="21"/>
          <w:highlight w:val="none"/>
          <w:lang w:val="zh-CN"/>
        </w:rPr>
        <w:t>机场</w:t>
      </w:r>
      <w:bookmarkEnd w:id="1"/>
    </w:p>
    <w:p w14:paraId="1E274B91">
      <w:pPr>
        <w:spacing w:line="360" w:lineRule="auto"/>
        <w:rPr>
          <w:rFonts w:hint="eastAsia" w:ascii="宋体" w:hAnsi="宋体" w:eastAsia="宋体" w:cs="宋体"/>
          <w:szCs w:val="21"/>
          <w:highlight w:val="none"/>
        </w:rPr>
      </w:pPr>
      <w:r>
        <w:rPr>
          <w:rFonts w:hint="eastAsia" w:ascii="宋体" w:hAnsi="宋体" w:eastAsia="宋体" w:cs="宋体"/>
          <w:b/>
          <w:szCs w:val="21"/>
          <w:highlight w:val="none"/>
        </w:rPr>
        <w:t>一、投标人资质要求：</w:t>
      </w:r>
    </w:p>
    <w:p w14:paraId="1F3F2BD0">
      <w:pPr>
        <w:spacing w:line="360" w:lineRule="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1、投标人须是中华人民共和国境内正式注册并具有独立法人资格的法人。（需提供加盖公章的营业执照复印件）；</w:t>
      </w:r>
    </w:p>
    <w:p w14:paraId="1AAFBE8E">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投标人须信誉良好，在经营活动中没有严重违法记录，在“国家企业信用信息公示系统”网站没有被列入严重违法失信企业名单（黑名单）（证明文件：“国家企业信用信息公示系统”网站（http://www.gsxt.gov.cn/index.html）查询结果截图，“黑名单”栏显示为0条记录，加盖投标人公章。若结果截图显示“查询不到该企业”，视同未被列入严重违法失信企业名单）；</w:t>
      </w:r>
    </w:p>
    <w:p w14:paraId="41780E08">
      <w:pPr>
        <w:spacing w:line="360" w:lineRule="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3、法定代表人为同一个人的两个及两个以上法人，母公司、全资子公司及其控股公司，以及其他形式有资产关联关系的投标人，都不得在同一招标项目中同时投标；</w:t>
      </w:r>
    </w:p>
    <w:p w14:paraId="2521E950">
      <w:pPr>
        <w:spacing w:line="360" w:lineRule="auto"/>
        <w:rPr>
          <w:rFonts w:hint="default" w:ascii="宋体" w:hAnsi="宋体" w:eastAsia="宋体" w:cs="宋体"/>
          <w:highlight w:val="none"/>
          <w:lang w:val="en-US" w:eastAsia="zh-CN"/>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、本项目不接受联合体投标，不得转包、不得挂靠。</w:t>
      </w:r>
    </w:p>
    <w:p w14:paraId="332A3A9D">
      <w:pPr>
        <w:kinsoku/>
        <w:wordWrap/>
        <w:overflowPunct/>
        <w:topLinePunct w:val="0"/>
        <w:bidi w:val="0"/>
        <w:spacing w:line="360" w:lineRule="auto"/>
        <w:rPr>
          <w:rFonts w:hint="eastAsia" w:ascii="宋体" w:hAnsi="宋体" w:eastAsia="宋体" w:cs="宋体"/>
          <w:b/>
          <w:szCs w:val="21"/>
          <w:highlight w:val="none"/>
        </w:rPr>
      </w:pPr>
      <w:r>
        <w:rPr>
          <w:rFonts w:hint="eastAsia" w:ascii="宋体" w:hAnsi="宋体" w:eastAsia="宋体" w:cs="宋体"/>
          <w:b/>
          <w:szCs w:val="21"/>
          <w:highlight w:val="none"/>
        </w:rPr>
        <w:t>二、报价方式：</w:t>
      </w:r>
    </w:p>
    <w:p w14:paraId="5FA1C825">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1、请按报价一览表格式填写。</w:t>
      </w:r>
    </w:p>
    <w:p w14:paraId="0CEBF596">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2、本项目的最终报价，为完成该项目全部费用之总和，一旦投标人中标并和招标人签订了本项目合同后，即使投标人发现在报价时费用有计算错误，也不得另行增加费用。</w:t>
      </w:r>
    </w:p>
    <w:p w14:paraId="0DBB777C">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3、根据招标人的实际需求，投标人实际提供的</w:t>
      </w:r>
      <w:r>
        <w:rPr>
          <w:rFonts w:hint="eastAsia" w:ascii="宋体" w:hAnsi="宋体" w:eastAsia="宋体" w:cs="宋体"/>
          <w:szCs w:val="21"/>
          <w:highlight w:val="none"/>
          <w:lang w:val="en-US" w:eastAsia="zh-CN"/>
        </w:rPr>
        <w:t>硬件设备</w:t>
      </w:r>
      <w:r>
        <w:rPr>
          <w:rFonts w:hint="eastAsia" w:ascii="宋体" w:hAnsi="宋体" w:eastAsia="宋体" w:cs="宋体"/>
          <w:szCs w:val="21"/>
          <w:highlight w:val="none"/>
        </w:rPr>
        <w:t>数量如有所变化，在合同单价不变的基础上，招标人可对所增加或减少的产品</w:t>
      </w:r>
      <w:r>
        <w:rPr>
          <w:rFonts w:hint="eastAsia" w:ascii="宋体" w:hAnsi="宋体" w:eastAsia="宋体" w:cs="宋体"/>
          <w:szCs w:val="21"/>
          <w:highlight w:val="none"/>
          <w:lang w:eastAsia="zh-CN"/>
        </w:rPr>
        <w:t>做</w:t>
      </w:r>
      <w:r>
        <w:rPr>
          <w:rFonts w:hint="eastAsia" w:ascii="宋体" w:hAnsi="宋体" w:eastAsia="宋体" w:cs="宋体"/>
          <w:szCs w:val="21"/>
          <w:highlight w:val="none"/>
        </w:rPr>
        <w:t>相应的费用调整。</w:t>
      </w:r>
    </w:p>
    <w:p w14:paraId="45A08D4C">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eastAsia="宋体" w:cs="宋体"/>
          <w:b w:val="0"/>
          <w:bCs w:val="0"/>
          <w:szCs w:val="21"/>
          <w:highlight w:val="none"/>
        </w:rPr>
        <w:t>投标人的投标报价不得超过最高投标限价总价，否则投标将被否决</w:t>
      </w:r>
      <w:r>
        <w:rPr>
          <w:rFonts w:hint="eastAsia" w:ascii="宋体" w:hAnsi="宋体" w:eastAsia="宋体" w:cs="宋体"/>
          <w:szCs w:val="21"/>
          <w:highlight w:val="none"/>
        </w:rPr>
        <w:t>。</w:t>
      </w:r>
    </w:p>
    <w:p w14:paraId="207E222E">
      <w:pPr>
        <w:kinsoku/>
        <w:wordWrap/>
        <w:overflowPunct/>
        <w:topLinePunct w:val="0"/>
        <w:bidi w:val="0"/>
        <w:spacing w:line="360" w:lineRule="auto"/>
        <w:rPr>
          <w:rFonts w:hint="eastAsia" w:ascii="宋体" w:hAnsi="宋体" w:eastAsia="宋体" w:cs="宋体"/>
          <w:b/>
          <w:szCs w:val="21"/>
          <w:highlight w:val="none"/>
        </w:rPr>
      </w:pPr>
      <w:r>
        <w:rPr>
          <w:rFonts w:hint="eastAsia" w:ascii="宋体" w:hAnsi="宋体" w:eastAsia="宋体" w:cs="宋体"/>
          <w:b/>
          <w:szCs w:val="21"/>
          <w:highlight w:val="none"/>
        </w:rPr>
        <w:t>三、其它说明</w:t>
      </w:r>
    </w:p>
    <w:p w14:paraId="14745302">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1、售后服务要求：卖方保证向我公司提供完善的售后服务，包括提供相应的技术资料及技术支持；响应及到场时间为</w:t>
      </w:r>
      <w:r>
        <w:rPr>
          <w:rFonts w:hint="eastAsia" w:ascii="宋体" w:hAnsi="宋体" w:eastAsia="宋体" w:cs="宋体"/>
          <w:color w:val="444444"/>
          <w:sz w:val="24"/>
          <w:highlight w:val="none"/>
          <w:shd w:val="clear" w:color="auto" w:fill="FFFFFF"/>
        </w:rPr>
        <w:t>2</w:t>
      </w:r>
      <w:r>
        <w:rPr>
          <w:rFonts w:hint="eastAsia" w:ascii="宋体" w:hAnsi="宋体" w:eastAsia="宋体" w:cs="宋体"/>
          <w:color w:val="444444"/>
          <w:sz w:val="24"/>
          <w:highlight w:val="none"/>
          <w:shd w:val="clear" w:color="auto" w:fill="FFFFFF"/>
          <w:lang w:val="en-US" w:eastAsia="zh-CN"/>
        </w:rPr>
        <w:t>4</w:t>
      </w:r>
      <w:r>
        <w:rPr>
          <w:rFonts w:hint="eastAsia" w:ascii="宋体" w:hAnsi="宋体" w:eastAsia="宋体" w:cs="宋体"/>
          <w:szCs w:val="21"/>
          <w:highlight w:val="none"/>
        </w:rPr>
        <w:t>小时内。</w:t>
      </w:r>
    </w:p>
    <w:p w14:paraId="0856E532">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2、不能实质性满足招标文件要求或不能提供实质性满足证明的按废标处理。</w:t>
      </w:r>
    </w:p>
    <w:p w14:paraId="1BA2AFFF">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3、投标人应对</w:t>
      </w:r>
      <w:r>
        <w:rPr>
          <w:rFonts w:hint="eastAsia" w:ascii="宋体" w:hAnsi="宋体" w:eastAsia="宋体" w:cs="宋体"/>
          <w:szCs w:val="21"/>
          <w:highlight w:val="none"/>
          <w:lang w:val="en-US" w:eastAsia="zh-CN"/>
        </w:rPr>
        <w:t>设备</w:t>
      </w:r>
      <w:r>
        <w:rPr>
          <w:rFonts w:hint="eastAsia" w:ascii="宋体" w:hAnsi="宋体" w:eastAsia="宋体" w:cs="宋体"/>
          <w:szCs w:val="21"/>
          <w:highlight w:val="none"/>
        </w:rPr>
        <w:t>提供</w:t>
      </w:r>
      <w:r>
        <w:rPr>
          <w:rFonts w:hint="eastAsia" w:ascii="宋体" w:hAnsi="宋体" w:eastAsia="宋体" w:cs="宋体"/>
          <w:color w:val="444444"/>
          <w:sz w:val="24"/>
          <w:highlight w:val="none"/>
          <w:shd w:val="clear" w:color="auto" w:fill="FFFFFF"/>
          <w:lang w:val="en-US" w:eastAsia="zh-CN"/>
        </w:rPr>
        <w:t>2</w:t>
      </w:r>
      <w:r>
        <w:rPr>
          <w:rFonts w:hint="eastAsia" w:ascii="宋体" w:hAnsi="宋体" w:eastAsia="宋体" w:cs="宋体"/>
          <w:szCs w:val="21"/>
          <w:highlight w:val="none"/>
        </w:rPr>
        <w:t>年质保</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质保期自</w:t>
      </w:r>
      <w:r>
        <w:rPr>
          <w:rFonts w:hint="eastAsia" w:ascii="宋体" w:hAnsi="宋体" w:eastAsia="宋体" w:cs="宋体"/>
          <w:szCs w:val="21"/>
          <w:highlight w:val="none"/>
          <w:lang w:val="en-US" w:eastAsia="zh-CN"/>
        </w:rPr>
        <w:t>竣工</w:t>
      </w:r>
      <w:r>
        <w:rPr>
          <w:rFonts w:hint="eastAsia" w:ascii="宋体" w:hAnsi="宋体" w:eastAsia="宋体" w:cs="宋体"/>
          <w:szCs w:val="21"/>
          <w:highlight w:val="none"/>
        </w:rPr>
        <w:t>验收</w:t>
      </w:r>
      <w:r>
        <w:rPr>
          <w:rFonts w:hint="eastAsia" w:ascii="宋体" w:hAnsi="宋体" w:eastAsia="宋体" w:cs="宋体"/>
          <w:szCs w:val="21"/>
          <w:highlight w:val="none"/>
          <w:lang w:val="en-US" w:eastAsia="zh-CN"/>
        </w:rPr>
        <w:t>合格</w:t>
      </w:r>
      <w:r>
        <w:rPr>
          <w:rFonts w:hint="eastAsia" w:ascii="宋体" w:hAnsi="宋体" w:eastAsia="宋体" w:cs="宋体"/>
          <w:szCs w:val="21"/>
          <w:highlight w:val="none"/>
        </w:rPr>
        <w:t>之日起计算。</w:t>
      </w:r>
    </w:p>
    <w:p w14:paraId="48212E89">
      <w:pPr>
        <w:kinsoku/>
        <w:wordWrap/>
        <w:overflowPunct/>
        <w:topLinePunct w:val="0"/>
        <w:bidi w:val="0"/>
        <w:spacing w:line="360" w:lineRule="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4、投标人需要完全响应技术规格书。</w:t>
      </w:r>
    </w:p>
    <w:p w14:paraId="5B6BC22C">
      <w:pPr>
        <w:kinsoku/>
        <w:wordWrap/>
        <w:overflowPunct/>
        <w:topLinePunct w:val="0"/>
        <w:bidi w:val="0"/>
        <w:spacing w:line="360" w:lineRule="auto"/>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四</w:t>
      </w:r>
      <w:r>
        <w:rPr>
          <w:rFonts w:hint="eastAsia" w:ascii="宋体" w:hAnsi="宋体" w:eastAsia="宋体" w:cs="宋体"/>
          <w:b/>
          <w:szCs w:val="21"/>
          <w:highlight w:val="none"/>
        </w:rPr>
        <w:t>、交货时间、地点及相关费用：</w:t>
      </w:r>
    </w:p>
    <w:p w14:paraId="0469156E">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1、交货地点：舟山普陀山机场。</w:t>
      </w:r>
    </w:p>
    <w:p w14:paraId="76EEF5C0">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2、交货时间：</w:t>
      </w:r>
      <w:r>
        <w:rPr>
          <w:rFonts w:hint="eastAsia" w:ascii="宋体" w:hAnsi="宋体" w:eastAsia="宋体" w:cs="宋体"/>
          <w:szCs w:val="21"/>
          <w:highlight w:val="none"/>
          <w:lang w:val="en-US" w:eastAsia="zh-CN"/>
        </w:rPr>
        <w:t>以合同签订为主</w:t>
      </w:r>
      <w:r>
        <w:rPr>
          <w:rFonts w:hint="eastAsia" w:ascii="宋体" w:hAnsi="宋体" w:eastAsia="宋体" w:cs="宋体"/>
          <w:szCs w:val="21"/>
          <w:highlight w:val="none"/>
        </w:rPr>
        <w:t>。</w:t>
      </w:r>
    </w:p>
    <w:p w14:paraId="3C089D0A">
      <w:pPr>
        <w:kinsoku/>
        <w:wordWrap/>
        <w:overflowPunct/>
        <w:topLinePunct w:val="0"/>
        <w:bidi w:val="0"/>
        <w:spacing w:line="360" w:lineRule="auto"/>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五</w:t>
      </w:r>
      <w:r>
        <w:rPr>
          <w:rFonts w:hint="eastAsia" w:ascii="宋体" w:hAnsi="宋体" w:eastAsia="宋体" w:cs="宋体"/>
          <w:b/>
          <w:szCs w:val="21"/>
          <w:highlight w:val="none"/>
        </w:rPr>
        <w:t>、评标方法：</w:t>
      </w:r>
    </w:p>
    <w:p w14:paraId="2194DE6A">
      <w:pPr>
        <w:pStyle w:val="14"/>
        <w:keepNext w:val="0"/>
        <w:keepLines w:val="0"/>
        <w:pageBreakBefore w:val="0"/>
        <w:widowControl w:val="0"/>
        <w:kinsoku/>
        <w:wordWrap/>
        <w:overflowPunct/>
        <w:topLinePunct w:val="0"/>
        <w:autoSpaceDE w:val="0"/>
        <w:autoSpaceDN w:val="0"/>
        <w:bidi w:val="0"/>
        <w:adjustRightInd/>
        <w:snapToGrid/>
        <w:spacing w:line="360" w:lineRule="auto"/>
        <w:ind w:left="108"/>
        <w:textAlignment w:val="auto"/>
        <w:outlineLvl w:val="9"/>
        <w:rPr>
          <w:rFonts w:hint="eastAsia" w:ascii="宋体" w:hAnsi="宋体" w:eastAsia="宋体" w:cs="宋体"/>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kern w:val="2"/>
          <w:sz w:val="21"/>
          <w:szCs w:val="21"/>
          <w:highlight w:val="none"/>
          <w:lang w:val="en-US" w:eastAsia="zh-CN" w:bidi="ar-SA"/>
        </w:rPr>
        <w:t>本项目采用</w:t>
      </w:r>
      <w:r>
        <w:rPr>
          <w:rFonts w:hint="eastAsia" w:cs="宋体"/>
          <w:color w:val="auto"/>
          <w:kern w:val="2"/>
          <w:sz w:val="21"/>
          <w:szCs w:val="21"/>
          <w:highlight w:val="none"/>
          <w:lang w:val="en-US" w:eastAsia="zh-CN" w:bidi="ar-SA"/>
        </w:rPr>
        <w:t>合理</w:t>
      </w:r>
      <w:r>
        <w:rPr>
          <w:rFonts w:hint="eastAsia" w:ascii="宋体" w:hAnsi="宋体" w:eastAsia="宋体" w:cs="宋体"/>
          <w:color w:val="auto"/>
          <w:kern w:val="2"/>
          <w:sz w:val="21"/>
          <w:szCs w:val="21"/>
          <w:highlight w:val="none"/>
          <w:lang w:val="en-US" w:eastAsia="zh-CN" w:bidi="ar-SA"/>
        </w:rPr>
        <w:t>最低价中标</w:t>
      </w:r>
      <w:r>
        <w:rPr>
          <w:rFonts w:hint="eastAsia" w:ascii="宋体" w:hAnsi="宋体" w:eastAsia="宋体" w:cs="宋体"/>
          <w:color w:val="auto"/>
          <w:szCs w:val="21"/>
          <w:highlight w:val="none"/>
        </w:rPr>
        <w:t>。</w:t>
      </w:r>
      <w:r>
        <w:rPr>
          <w:rFonts w:hint="eastAsia" w:ascii="宋体" w:hAnsi="宋体" w:eastAsia="宋体" w:cs="宋体"/>
          <w:color w:val="auto"/>
          <w:sz w:val="18"/>
          <w:szCs w:val="18"/>
          <w:highlight w:val="none"/>
        </w:rPr>
        <w:t xml:space="preserve">   </w:t>
      </w:r>
      <w:r>
        <w:rPr>
          <w:rFonts w:hint="eastAsia" w:ascii="宋体" w:hAnsi="宋体" w:eastAsia="宋体" w:cs="宋体"/>
          <w:sz w:val="18"/>
          <w:szCs w:val="18"/>
          <w:highlight w:val="none"/>
        </w:rPr>
        <w:t xml:space="preserve">                                                                                                                                                                                                                                                          </w:t>
      </w:r>
    </w:p>
    <w:p w14:paraId="5F413472">
      <w:pPr>
        <w:kinsoku/>
        <w:wordWrap/>
        <w:overflowPunct/>
        <w:topLinePunct w:val="0"/>
        <w:bidi w:val="0"/>
        <w:spacing w:line="360" w:lineRule="auto"/>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六</w:t>
      </w:r>
      <w:r>
        <w:rPr>
          <w:rFonts w:hint="eastAsia" w:ascii="宋体" w:hAnsi="宋体" w:eastAsia="宋体" w:cs="宋体"/>
          <w:b/>
          <w:szCs w:val="21"/>
          <w:highlight w:val="none"/>
        </w:rPr>
        <w:t>、投标文件的递交</w:t>
      </w:r>
    </w:p>
    <w:p w14:paraId="6A1F117A">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1、投标文件一式贰份（正本壹本、副本壹本</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电子版U盘壹份</w:t>
      </w:r>
      <w:r>
        <w:rPr>
          <w:rFonts w:hint="eastAsia" w:ascii="宋体" w:hAnsi="宋体" w:eastAsia="宋体" w:cs="宋体"/>
          <w:szCs w:val="21"/>
          <w:highlight w:val="none"/>
        </w:rPr>
        <w:t>），并明确</w:t>
      </w:r>
      <w:r>
        <w:rPr>
          <w:rFonts w:hint="eastAsia" w:ascii="宋体" w:hAnsi="宋体" w:eastAsia="宋体" w:cs="宋体"/>
          <w:szCs w:val="21"/>
          <w:highlight w:val="none"/>
          <w:lang w:val="en-US" w:eastAsia="zh-CN"/>
        </w:rPr>
        <w:t>标</w:t>
      </w:r>
      <w:r>
        <w:rPr>
          <w:rFonts w:hint="eastAsia" w:ascii="宋体" w:hAnsi="宋体" w:eastAsia="宋体" w:cs="宋体"/>
          <w:szCs w:val="21"/>
          <w:highlight w:val="none"/>
        </w:rPr>
        <w:t>明“正本”和“副</w:t>
      </w:r>
      <w:bookmarkStart w:id="2" w:name="_GoBack"/>
      <w:bookmarkEnd w:id="2"/>
      <w:r>
        <w:rPr>
          <w:rFonts w:hint="eastAsia" w:ascii="宋体" w:hAnsi="宋体" w:eastAsia="宋体" w:cs="宋体"/>
          <w:szCs w:val="21"/>
          <w:highlight w:val="none"/>
        </w:rPr>
        <w:t>本”，正、副本如有不同之处，以正本为准，密封后加盖公章，否则无效。</w:t>
      </w:r>
    </w:p>
    <w:p w14:paraId="5DCD33D4">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2、投标人在收到招标文件后，若需答疑，应在投标文件的截止时间2天前向招标人以书面形式提出。</w:t>
      </w:r>
    </w:p>
    <w:p w14:paraId="61945E29">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3、递交投标文件的截止时间为</w:t>
      </w:r>
      <w:r>
        <w:rPr>
          <w:rFonts w:hint="eastAsia" w:ascii="宋体" w:hAnsi="宋体" w:eastAsia="宋体" w:cs="宋体"/>
          <w:szCs w:val="21"/>
          <w:highlight w:val="none"/>
          <w:lang w:val="en-US" w:eastAsia="zh-CN"/>
        </w:rPr>
        <w:t>2026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14</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10时</w:t>
      </w:r>
      <w:r>
        <w:rPr>
          <w:rFonts w:hint="eastAsia" w:ascii="宋体" w:hAnsi="宋体" w:eastAsia="宋体" w:cs="宋体"/>
          <w:szCs w:val="21"/>
          <w:highlight w:val="none"/>
        </w:rPr>
        <w:t>整，超过截止时间的投标文件将被拒收。</w:t>
      </w:r>
    </w:p>
    <w:p w14:paraId="707A3113">
      <w:pPr>
        <w:kinsoku/>
        <w:wordWrap/>
        <w:overflowPunct/>
        <w:topLinePunct w:val="0"/>
        <w:bidi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4、投标文件可采用快递（顺丰或EMS）邮寄或送达我公司，投标书需盖章密封，并在信封上注明项目编号“</w:t>
      </w:r>
      <w:r>
        <w:rPr>
          <w:rFonts w:hint="eastAsia" w:ascii="宋体" w:hAnsi="宋体" w:eastAsia="宋体" w:cs="宋体"/>
          <w:szCs w:val="21"/>
          <w:highlight w:val="none"/>
          <w:lang w:val="en-US" w:eastAsia="zh-CN"/>
        </w:rPr>
        <w:t>KG2025-G065-ZB01</w:t>
      </w:r>
      <w:r>
        <w:rPr>
          <w:rFonts w:hint="eastAsia" w:ascii="宋体" w:hAnsi="宋体" w:eastAsia="宋体" w:cs="宋体"/>
          <w:szCs w:val="21"/>
          <w:highlight w:val="none"/>
        </w:rPr>
        <w:t>”南京市江宁区秣陵街道天元西路199号东部机场集团10楼。</w:t>
      </w:r>
    </w:p>
    <w:p w14:paraId="2D2B1EBA">
      <w:pPr>
        <w:kinsoku/>
        <w:wordWrap/>
        <w:overflowPunct/>
        <w:topLinePunct w:val="0"/>
        <w:bidi w:val="0"/>
        <w:spacing w:line="360" w:lineRule="auto"/>
        <w:rPr>
          <w:rFonts w:hint="default" w:ascii="宋体" w:hAnsi="宋体" w:eastAsia="宋体" w:cs="宋体"/>
          <w:szCs w:val="21"/>
          <w:highlight w:val="none"/>
          <w:lang w:val="en-US" w:eastAsia="zh-CN"/>
        </w:rPr>
      </w:pPr>
      <w:r>
        <w:rPr>
          <w:rFonts w:hint="eastAsia" w:ascii="宋体" w:hAnsi="宋体" w:eastAsia="宋体" w:cs="宋体"/>
          <w:szCs w:val="21"/>
          <w:highlight w:val="none"/>
        </w:rPr>
        <w:t>投标事宜的联系：</w:t>
      </w:r>
      <w:r>
        <w:rPr>
          <w:rFonts w:hint="eastAsia" w:ascii="宋体" w:hAnsi="宋体" w:eastAsia="宋体" w:cs="宋体"/>
          <w:szCs w:val="21"/>
          <w:highlight w:val="none"/>
          <w:lang w:val="en-US" w:eastAsia="zh-CN"/>
        </w:rPr>
        <w:t>张工</w:t>
      </w:r>
      <w:r>
        <w:rPr>
          <w:rFonts w:hint="eastAsia" w:ascii="宋体" w:hAnsi="宋体" w:eastAsia="宋体" w:cs="宋体"/>
          <w:szCs w:val="21"/>
          <w:highlight w:val="none"/>
        </w:rPr>
        <w:t xml:space="preserve">  电话：025-698212</w:t>
      </w:r>
      <w:r>
        <w:rPr>
          <w:rFonts w:hint="eastAsia" w:ascii="宋体" w:hAnsi="宋体" w:eastAsia="宋体" w:cs="宋体"/>
          <w:szCs w:val="21"/>
          <w:highlight w:val="none"/>
          <w:lang w:val="en-US" w:eastAsia="zh-CN"/>
        </w:rPr>
        <w:t>55</w:t>
      </w:r>
    </w:p>
    <w:p w14:paraId="33B47059">
      <w:pPr>
        <w:kinsoku/>
        <w:wordWrap/>
        <w:overflowPunct/>
        <w:topLinePunct w:val="0"/>
        <w:bidi w:val="0"/>
        <w:spacing w:line="360" w:lineRule="auto"/>
        <w:jc w:val="right"/>
        <w:rPr>
          <w:rFonts w:hint="eastAsia" w:ascii="宋体" w:hAnsi="宋体" w:eastAsia="宋体" w:cs="宋体"/>
          <w:szCs w:val="21"/>
          <w:highlight w:val="none"/>
        </w:rPr>
      </w:pPr>
      <w:r>
        <w:rPr>
          <w:rFonts w:hint="eastAsia" w:ascii="宋体" w:hAnsi="宋体" w:eastAsia="宋体" w:cs="宋体"/>
          <w:szCs w:val="21"/>
          <w:highlight w:val="none"/>
        </w:rPr>
        <w:t>南京禄口国际机场空港科技有限公司</w:t>
      </w:r>
    </w:p>
    <w:p w14:paraId="73FC6ABF">
      <w:pPr>
        <w:kinsoku/>
        <w:wordWrap/>
        <w:overflowPunct/>
        <w:topLinePunct w:val="0"/>
        <w:bidi w:val="0"/>
        <w:spacing w:line="360" w:lineRule="auto"/>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szCs w:val="21"/>
          <w:highlight w:val="none"/>
          <w:lang w:val="en-US" w:eastAsia="zh-CN"/>
        </w:rPr>
        <w:t>2026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日</w:t>
      </w:r>
    </w:p>
    <w:p w14:paraId="1EAB94F1">
      <w:pPr>
        <w:pageBreakBefore/>
        <w:kinsoku/>
        <w:wordWrap/>
        <w:overflowPunct/>
        <w:topLinePunct w:val="0"/>
        <w:bidi w:val="0"/>
        <w:snapToGrid w:val="0"/>
        <w:spacing w:line="360" w:lineRule="auto"/>
        <w:jc w:val="center"/>
        <w:rPr>
          <w:rFonts w:hint="eastAsia" w:ascii="宋体" w:hAnsi="宋体" w:eastAsia="宋体" w:cs="宋体"/>
          <w:sz w:val="28"/>
          <w:szCs w:val="28"/>
        </w:rPr>
      </w:pPr>
      <w:r>
        <w:rPr>
          <w:rFonts w:hint="eastAsia" w:ascii="宋体" w:hAnsi="宋体" w:eastAsia="宋体" w:cs="宋体"/>
          <w:sz w:val="28"/>
          <w:szCs w:val="28"/>
        </w:rPr>
        <w:t>投 标 文 件 组 成</w:t>
      </w:r>
    </w:p>
    <w:p w14:paraId="09031645">
      <w:pPr>
        <w:kinsoku/>
        <w:wordWrap/>
        <w:overflowPunct/>
        <w:topLinePunct w:val="0"/>
        <w:bidi w:val="0"/>
        <w:snapToGrid w:val="0"/>
        <w:spacing w:line="360" w:lineRule="auto"/>
        <w:jc w:val="center"/>
        <w:rPr>
          <w:rFonts w:hint="eastAsia" w:ascii="宋体" w:hAnsi="宋体" w:eastAsia="宋体" w:cs="宋体"/>
          <w:szCs w:val="21"/>
        </w:rPr>
      </w:pPr>
    </w:p>
    <w:p w14:paraId="7AF38B96">
      <w:pPr>
        <w:numPr>
          <w:ilvl w:val="0"/>
          <w:numId w:val="1"/>
        </w:numPr>
        <w:kinsoku/>
        <w:wordWrap/>
        <w:overflowPunct/>
        <w:topLinePunct w:val="0"/>
        <w:bidi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投标函（格式见附件一）</w:t>
      </w:r>
    </w:p>
    <w:p w14:paraId="133D5069">
      <w:pPr>
        <w:numPr>
          <w:ilvl w:val="0"/>
          <w:numId w:val="1"/>
        </w:numPr>
        <w:kinsoku/>
        <w:wordWrap/>
        <w:overflowPunct/>
        <w:topLinePunct w:val="0"/>
        <w:bidi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法定代表人授权委托书（格式见附件二）</w:t>
      </w:r>
    </w:p>
    <w:p w14:paraId="27B0A062">
      <w:pPr>
        <w:numPr>
          <w:ilvl w:val="0"/>
          <w:numId w:val="1"/>
        </w:numPr>
        <w:kinsoku/>
        <w:wordWrap/>
        <w:overflowPunct/>
        <w:topLinePunct w:val="0"/>
        <w:bidi w:val="0"/>
        <w:adjustRightInd w:val="0"/>
        <w:snapToGrid w:val="0"/>
        <w:spacing w:line="360" w:lineRule="auto"/>
        <w:rPr>
          <w:rFonts w:hint="eastAsia" w:ascii="宋体" w:hAnsi="宋体" w:eastAsia="宋体" w:cs="宋体"/>
          <w:szCs w:val="21"/>
        </w:rPr>
      </w:pPr>
      <w:r>
        <w:rPr>
          <w:rFonts w:hint="eastAsia" w:ascii="宋体" w:hAnsi="宋体" w:eastAsia="宋体" w:cs="宋体"/>
          <w:snapToGrid w:val="0"/>
          <w:szCs w:val="21"/>
        </w:rPr>
        <w:t>报价一览表</w:t>
      </w:r>
      <w:r>
        <w:rPr>
          <w:rFonts w:hint="eastAsia" w:ascii="宋体" w:hAnsi="宋体" w:eastAsia="宋体" w:cs="宋体"/>
          <w:szCs w:val="21"/>
        </w:rPr>
        <w:t>（格式见附件三）</w:t>
      </w:r>
    </w:p>
    <w:p w14:paraId="3C16EF87">
      <w:pPr>
        <w:numPr>
          <w:ilvl w:val="0"/>
          <w:numId w:val="1"/>
        </w:numPr>
        <w:kinsoku/>
        <w:wordWrap/>
        <w:overflowPunct/>
        <w:topLinePunct w:val="0"/>
        <w:bidi w:val="0"/>
        <w:adjustRightInd w:val="0"/>
        <w:snapToGrid w:val="0"/>
        <w:spacing w:line="360" w:lineRule="auto"/>
        <w:ind w:left="0" w:leftChars="0" w:firstLine="0" w:firstLineChars="0"/>
        <w:rPr>
          <w:rFonts w:hint="eastAsia" w:ascii="宋体" w:hAnsi="宋体" w:eastAsia="宋体" w:cs="宋体"/>
          <w:snapToGrid w:val="0"/>
          <w:szCs w:val="21"/>
        </w:rPr>
      </w:pPr>
      <w:r>
        <w:rPr>
          <w:rFonts w:hint="eastAsia" w:ascii="宋体" w:hAnsi="宋体" w:eastAsia="宋体" w:cs="宋体"/>
          <w:snapToGrid w:val="0"/>
          <w:szCs w:val="21"/>
        </w:rPr>
        <w:t>营业执照</w:t>
      </w:r>
      <w:r>
        <w:rPr>
          <w:rFonts w:hint="eastAsia" w:ascii="宋体" w:hAnsi="宋体" w:eastAsia="宋体" w:cs="宋体"/>
          <w:snapToGrid w:val="0"/>
          <w:szCs w:val="21"/>
        </w:rPr>
        <w:br w:type="page"/>
      </w:r>
    </w:p>
    <w:p w14:paraId="0B46C1A0">
      <w:pPr>
        <w:keepNext w:val="0"/>
        <w:keepLines w:val="0"/>
        <w:pageBreakBefore/>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none"/>
        </w:rPr>
      </w:pPr>
      <w:r>
        <w:rPr>
          <w:rFonts w:hint="eastAsia" w:ascii="宋体" w:hAnsi="宋体" w:eastAsia="宋体" w:cs="宋体"/>
          <w:b/>
          <w:bCs/>
          <w:szCs w:val="21"/>
          <w:highlight w:val="none"/>
          <w:lang w:val="en-US" w:eastAsia="zh-CN"/>
        </w:rPr>
        <w:t>附件一：投标函</w:t>
      </w:r>
    </w:p>
    <w:p w14:paraId="7828AE7D">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招标人名称：</w:t>
      </w:r>
    </w:p>
    <w:p w14:paraId="406E341C">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1、我方已仔细研究了（项目名称：舟山机场安全保障设施设备能力提升工程项目工程设备采购）招标文件的全部内容，愿意以人民币</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（大写）元（¥</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）的投标报价，项目周期</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，按合同约定时间提供相应服务。</w:t>
      </w:r>
    </w:p>
    <w:p w14:paraId="78332360">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2、我方承诺投标时填写的单价、合价及合同总价在合同实施期间不因市场和政策性调价等变化因素而变动，该价格已经考虑合理损耗，为包干费用。</w:t>
      </w:r>
    </w:p>
    <w:p w14:paraId="060969C3">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3、我方承诺在投标有效期</w:t>
      </w:r>
      <w:r>
        <w:rPr>
          <w:rFonts w:hint="eastAsia" w:ascii="宋体" w:hAnsi="宋体" w:eastAsia="宋体" w:cs="宋体"/>
          <w:i w:val="0"/>
          <w:iCs w:val="0"/>
          <w:caps w:val="0"/>
          <w:color w:val="444444"/>
          <w:spacing w:val="0"/>
          <w:sz w:val="24"/>
          <w:szCs w:val="24"/>
          <w:highlight w:val="none"/>
          <w:shd w:val="clear" w:fill="FFFFFF"/>
          <w:lang w:val="en-US" w:eastAsia="zh-CN"/>
        </w:rPr>
        <w:t>90</w:t>
      </w:r>
      <w:r>
        <w:rPr>
          <w:rFonts w:hint="eastAsia" w:ascii="宋体" w:hAnsi="宋体" w:eastAsia="宋体" w:cs="宋体"/>
          <w:highlight w:val="none"/>
          <w:lang w:val="en-US" w:eastAsia="zh-CN"/>
        </w:rPr>
        <w:t>日内不修改、撤销投标文件。</w:t>
      </w:r>
    </w:p>
    <w:p w14:paraId="1F985CCA">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4、如我方中标：</w:t>
      </w:r>
    </w:p>
    <w:p w14:paraId="1B9EB53F">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4.1、我方承诺在收到中标通知书后，在中标通知书规定的期限内与你方签订合同。</w:t>
      </w:r>
    </w:p>
    <w:p w14:paraId="03CBA300">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4.2、我方承诺按照招标文件规定的主要合同条款及格式签订合同。</w:t>
      </w:r>
    </w:p>
    <w:p w14:paraId="282AD71C">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4.3、我方承诺在合同约定的期限内完成并移交全部合同工程。</w:t>
      </w:r>
    </w:p>
    <w:p w14:paraId="339955E0">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4.4、我方承诺投标文件内容及形式完全符合招标文件相关要求。</w:t>
      </w:r>
    </w:p>
    <w:p w14:paraId="6D9D3D09">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4.5、我方在此声明，所递交的投标文件及有关资料内容完整、真实和准确。</w:t>
      </w:r>
    </w:p>
    <w:p w14:paraId="6FD4E421">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r>
        <w:rPr>
          <w:rFonts w:hint="eastAsia" w:ascii="宋体" w:hAnsi="宋体" w:eastAsia="宋体" w:cs="宋体"/>
          <w:highlight w:val="none"/>
          <w:lang w:val="en-US" w:eastAsia="zh-CN"/>
        </w:rPr>
        <w:t>4.6、</w:t>
      </w:r>
      <w:r>
        <w:rPr>
          <w:rFonts w:hint="eastAsia" w:ascii="宋体" w:hAnsi="宋体" w:eastAsia="宋体" w:cs="宋体"/>
          <w:i w:val="0"/>
          <w:iCs w:val="0"/>
          <w:caps w:val="0"/>
          <w:color w:val="444444"/>
          <w:spacing w:val="0"/>
          <w:sz w:val="24"/>
          <w:szCs w:val="24"/>
          <w:highlight w:val="none"/>
          <w:shd w:val="clear" w:fill="FFFFFF"/>
          <w:lang w:val="en-US" w:eastAsia="zh-CN"/>
        </w:rPr>
        <w:t>****</w:t>
      </w:r>
      <w:r>
        <w:rPr>
          <w:rFonts w:hint="eastAsia" w:ascii="宋体" w:hAnsi="宋体" w:eastAsia="宋体" w:cs="宋体"/>
          <w:highlight w:val="none"/>
          <w:lang w:val="en-US" w:eastAsia="zh-CN"/>
        </w:rPr>
        <w:t>(其他补充说明）。</w:t>
      </w:r>
    </w:p>
    <w:p w14:paraId="29257524">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p>
    <w:p w14:paraId="69F17D9C">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p>
    <w:p w14:paraId="748E5C1E">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p>
    <w:p w14:paraId="733096CC">
      <w:pPr>
        <w:numPr>
          <w:ilvl w:val="0"/>
          <w:numId w:val="0"/>
        </w:numPr>
        <w:kinsoku/>
        <w:wordWrap/>
        <w:overflowPunct/>
        <w:topLinePunct w:val="0"/>
        <w:bidi w:val="0"/>
        <w:adjustRightInd w:val="0"/>
        <w:snapToGrid w:val="0"/>
        <w:spacing w:line="360" w:lineRule="auto"/>
        <w:ind w:leftChars="0" w:firstLine="210" w:firstLineChars="100"/>
        <w:rPr>
          <w:rFonts w:hint="eastAsia" w:ascii="宋体" w:hAnsi="宋体" w:eastAsia="宋体" w:cs="宋体"/>
          <w:highlight w:val="none"/>
          <w:lang w:val="en-US" w:eastAsia="zh-CN"/>
        </w:rPr>
      </w:pPr>
    </w:p>
    <w:p w14:paraId="0DFD40C9">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285C2CD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5040" w:leftChars="240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投标人：（盖单位章）</w:t>
      </w:r>
    </w:p>
    <w:p w14:paraId="768C71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5040" w:leftChars="240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法定代表人或其委托代理人：（签字）</w:t>
      </w:r>
    </w:p>
    <w:p w14:paraId="26276A3B">
      <w:pPr>
        <w:numPr>
          <w:ilvl w:val="0"/>
          <w:numId w:val="0"/>
        </w:numPr>
        <w:kinsoku/>
        <w:wordWrap/>
        <w:overflowPunct/>
        <w:topLinePunct w:val="0"/>
        <w:bidi w:val="0"/>
        <w:adjustRightInd w:val="0"/>
        <w:snapToGrid w:val="0"/>
        <w:spacing w:line="360" w:lineRule="auto"/>
        <w:ind w:leftChars="0" w:firstLine="840" w:firstLineChars="400"/>
        <w:jc w:val="right"/>
        <w:rPr>
          <w:rFonts w:hint="eastAsia" w:ascii="宋体" w:hAnsi="宋体" w:eastAsia="宋体" w:cs="宋体"/>
          <w:highlight w:val="none"/>
          <w:lang w:val="en-US" w:eastAsia="zh-CN"/>
        </w:rPr>
      </w:pPr>
      <w:r>
        <w:rPr>
          <w:rFonts w:hint="eastAsia" w:ascii="宋体" w:hAnsi="宋体" w:eastAsia="宋体" w:cs="宋体"/>
          <w:highlight w:val="none"/>
          <w:lang w:val="en-US" w:eastAsia="zh-CN"/>
        </w:rPr>
        <w:t>年    月     日</w:t>
      </w:r>
    </w:p>
    <w:p w14:paraId="1B13D184">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1C7C3CC2">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57545B99">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65936443">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1352542E">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3B4151E3">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1E56408C">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3C53C722">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65964B93">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122FF75C">
      <w:pPr>
        <w:keepNext w:val="0"/>
        <w:keepLines w:val="0"/>
        <w:pageBreakBefore/>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bCs/>
          <w:szCs w:val="21"/>
          <w:highlight w:val="none"/>
        </w:rPr>
      </w:pPr>
      <w:r>
        <w:rPr>
          <w:rFonts w:hint="eastAsia" w:ascii="宋体" w:hAnsi="宋体" w:eastAsia="宋体" w:cs="宋体"/>
          <w:b/>
          <w:bCs/>
          <w:highlight w:val="none"/>
          <w:lang w:val="en-US" w:eastAsia="zh-CN"/>
        </w:rPr>
        <w:t>附件二：法定代表人授权委托书</w:t>
      </w:r>
    </w:p>
    <w:p w14:paraId="5A5BD1E2">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   本人（姓名）系（投标人名称）的法定代表人，现委托（姓名）为我方代理人，代理人根据授权，以我方名义签署、澄清、说明、补正、递交、撤回、修改（项目名称）投标文件、签订合同和处理有关事宜，其法律后果由我方承担。</w:t>
      </w:r>
    </w:p>
    <w:p w14:paraId="32711CFA">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代理人无转委托权。</w:t>
      </w:r>
    </w:p>
    <w:p w14:paraId="2F36EC77">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附：法定代表人身份证复印件</w:t>
      </w:r>
    </w:p>
    <w:p w14:paraId="62BDCF51">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附：委托代理人身份证复印件    </w:t>
      </w:r>
    </w:p>
    <w:p w14:paraId="31C0F55C">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投标人：（盖单位章）</w:t>
      </w:r>
    </w:p>
    <w:p w14:paraId="63CCEB5E">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法定代表人：（签字或盖章）</w:t>
      </w:r>
    </w:p>
    <w:p w14:paraId="4949C0AD">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身份证号码：</w:t>
      </w:r>
    </w:p>
    <w:p w14:paraId="4915CDB4">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委托代理人：（签字）</w:t>
      </w:r>
    </w:p>
    <w:p w14:paraId="3C551B54">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身份证号码：</w:t>
      </w:r>
    </w:p>
    <w:p w14:paraId="1B80F7BE">
      <w:pPr>
        <w:numPr>
          <w:ilvl w:val="0"/>
          <w:numId w:val="0"/>
        </w:numPr>
        <w:kinsoku/>
        <w:wordWrap/>
        <w:overflowPunct/>
        <w:topLinePunct w:val="0"/>
        <w:bidi w:val="0"/>
        <w:adjustRightInd w:val="0"/>
        <w:snapToGrid w:val="0"/>
        <w:spacing w:line="360" w:lineRule="auto"/>
        <w:ind w:leftChars="0"/>
        <w:rPr>
          <w:rFonts w:hint="eastAsia" w:ascii="宋体" w:hAnsi="宋体" w:eastAsia="宋体" w:cs="宋体"/>
          <w:highlight w:val="none"/>
          <w:lang w:val="en-US" w:eastAsia="zh-CN"/>
        </w:rPr>
      </w:pPr>
    </w:p>
    <w:p w14:paraId="27A45CBB">
      <w:pPr>
        <w:rPr>
          <w:rFonts w:hint="eastAsia"/>
          <w:lang w:val="en-US" w:eastAsia="zh-CN"/>
        </w:rPr>
      </w:pPr>
      <w:r>
        <w:rPr>
          <w:rFonts w:hint="eastAsia"/>
          <w:lang w:val="en-US" w:eastAsia="zh-CN"/>
        </w:rPr>
        <w:br w:type="page"/>
      </w:r>
    </w:p>
    <w:p w14:paraId="1BBE1D51">
      <w:pPr>
        <w:rPr>
          <w:rFonts w:hint="eastAsia"/>
          <w:lang w:val="en-US" w:eastAsia="zh-CN"/>
        </w:rPr>
        <w:sectPr>
          <w:footerReference r:id="rId3" w:type="default"/>
          <w:pgSz w:w="11906" w:h="16838"/>
          <w:pgMar w:top="1270" w:right="1689" w:bottom="1270" w:left="1633"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73021A1E">
      <w:pPr>
        <w:rPr>
          <w:rFonts w:hint="eastAsia" w:eastAsia="宋体"/>
          <w:b/>
          <w:bCs/>
          <w:lang w:val="en-US" w:eastAsia="zh-CN"/>
        </w:rPr>
      </w:pPr>
      <w:r>
        <w:rPr>
          <w:rFonts w:hint="eastAsia" w:eastAsia="宋体"/>
          <w:b/>
          <w:bCs/>
          <w:lang w:val="en-US" w:eastAsia="zh-CN"/>
        </w:rPr>
        <w:t>附件三：报价一览标</w:t>
      </w:r>
    </w:p>
    <w:tbl>
      <w:tblPr>
        <w:tblStyle w:val="1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73"/>
        <w:gridCol w:w="1823"/>
        <w:gridCol w:w="1475"/>
        <w:gridCol w:w="7647"/>
        <w:gridCol w:w="1078"/>
        <w:gridCol w:w="841"/>
      </w:tblGrid>
      <w:tr w14:paraId="2811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auto" w:fill="D9D9D9"/>
            <w:vAlign w:val="center"/>
          </w:tcPr>
          <w:p w14:paraId="117AB3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654" w:type="pct"/>
            <w:shd w:val="clear" w:color="auto" w:fill="D9D9D9"/>
            <w:vAlign w:val="center"/>
          </w:tcPr>
          <w:p w14:paraId="27835F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单项工程</w:t>
            </w:r>
          </w:p>
        </w:tc>
        <w:tc>
          <w:tcPr>
            <w:tcW w:w="529" w:type="pct"/>
            <w:shd w:val="clear" w:color="auto" w:fill="D9D9D9"/>
            <w:vAlign w:val="center"/>
          </w:tcPr>
          <w:p w14:paraId="779EF6B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2743" w:type="pct"/>
            <w:shd w:val="clear" w:color="auto" w:fill="D9D9D9"/>
            <w:vAlign w:val="center"/>
          </w:tcPr>
          <w:p w14:paraId="3C7F4F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项目特征</w:t>
            </w:r>
          </w:p>
        </w:tc>
        <w:tc>
          <w:tcPr>
            <w:tcW w:w="386" w:type="pct"/>
            <w:shd w:val="clear" w:color="auto" w:fill="D9D9D9"/>
            <w:vAlign w:val="center"/>
          </w:tcPr>
          <w:p w14:paraId="38BFC43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计量单位</w:t>
            </w:r>
          </w:p>
        </w:tc>
        <w:tc>
          <w:tcPr>
            <w:tcW w:w="301" w:type="pct"/>
            <w:shd w:val="clear" w:color="auto" w:fill="D9D9D9"/>
            <w:vAlign w:val="center"/>
          </w:tcPr>
          <w:p w14:paraId="1D78E68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工程量</w:t>
            </w:r>
          </w:p>
        </w:tc>
      </w:tr>
      <w:tr w14:paraId="2956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85" w:hRule="atLeast"/>
        </w:trPr>
        <w:tc>
          <w:tcPr>
            <w:tcW w:w="384" w:type="pct"/>
            <w:shd w:val="clear" w:color="FFFFFF" w:fill="FFFFFF"/>
            <w:vAlign w:val="center"/>
          </w:tcPr>
          <w:p w14:paraId="3834F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54" w:type="pct"/>
            <w:shd w:val="clear" w:color="FFFFFF" w:fill="FFFFFF"/>
            <w:vAlign w:val="center"/>
          </w:tcPr>
          <w:p w14:paraId="63FF5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道口-电气</w:t>
            </w:r>
          </w:p>
        </w:tc>
        <w:tc>
          <w:tcPr>
            <w:tcW w:w="529" w:type="pct"/>
            <w:shd w:val="clear" w:color="FFFFFF" w:fill="FFFFFF"/>
            <w:vAlign w:val="center"/>
          </w:tcPr>
          <w:p w14:paraId="08192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w:t>
            </w:r>
          </w:p>
        </w:tc>
        <w:tc>
          <w:tcPr>
            <w:tcW w:w="2743" w:type="pct"/>
            <w:shd w:val="clear" w:color="FFFFFF" w:fill="FFFFFF"/>
            <w:vAlign w:val="center"/>
          </w:tcPr>
          <w:p w14:paraId="38AB27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1.名称:配电箱ap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2.规格:详见图纸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3.安装方式:挂墙安装</w:t>
            </w:r>
          </w:p>
        </w:tc>
        <w:tc>
          <w:tcPr>
            <w:tcW w:w="386" w:type="pct"/>
            <w:shd w:val="clear" w:color="FFFFFF" w:fill="FFFFFF"/>
            <w:vAlign w:val="center"/>
          </w:tcPr>
          <w:p w14:paraId="071D7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6C800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3A08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0" w:hRule="atLeast"/>
        </w:trPr>
        <w:tc>
          <w:tcPr>
            <w:tcW w:w="384" w:type="pct"/>
            <w:shd w:val="clear" w:color="FFFFFF" w:fill="FFFFFF"/>
            <w:vAlign w:val="center"/>
          </w:tcPr>
          <w:p w14:paraId="210C4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54" w:type="pct"/>
            <w:shd w:val="clear" w:color="FFFFFF" w:fill="FFFFFF"/>
            <w:vAlign w:val="center"/>
          </w:tcPr>
          <w:p w14:paraId="72CEC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道口-电气</w:t>
            </w:r>
          </w:p>
        </w:tc>
        <w:tc>
          <w:tcPr>
            <w:tcW w:w="529" w:type="pct"/>
            <w:shd w:val="clear" w:color="FFFFFF" w:fill="FFFFFF"/>
            <w:vAlign w:val="center"/>
          </w:tcPr>
          <w:p w14:paraId="18931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2743" w:type="pct"/>
            <w:shd w:val="clear" w:color="FFFFFF" w:fill="FFFFFF"/>
            <w:vAlign w:val="center"/>
          </w:tcPr>
          <w:p w14:paraId="5DCB33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1.名称:桥架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2.规格:300*100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3.材质:热镀锌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4.含支吊架制作安装及防火封堵</w:t>
            </w:r>
          </w:p>
        </w:tc>
        <w:tc>
          <w:tcPr>
            <w:tcW w:w="386" w:type="pct"/>
            <w:shd w:val="clear" w:color="FFFFFF" w:fill="FFFFFF"/>
            <w:vAlign w:val="center"/>
          </w:tcPr>
          <w:p w14:paraId="05D07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5A88F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3BC9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384" w:type="pct"/>
            <w:shd w:val="clear" w:color="FFFFFF" w:fill="FFFFFF"/>
            <w:vAlign w:val="center"/>
          </w:tcPr>
          <w:p w14:paraId="1CE85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54" w:type="pct"/>
            <w:shd w:val="clear" w:color="FFFFFF" w:fill="FFFFFF"/>
            <w:vAlign w:val="center"/>
          </w:tcPr>
          <w:p w14:paraId="58B02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道口-电气</w:t>
            </w:r>
          </w:p>
        </w:tc>
        <w:tc>
          <w:tcPr>
            <w:tcW w:w="529" w:type="pct"/>
            <w:shd w:val="clear" w:color="FFFFFF" w:fill="FFFFFF"/>
            <w:vAlign w:val="center"/>
          </w:tcPr>
          <w:p w14:paraId="428D9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7768D2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3B84D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FB783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6B8B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0" w:hRule="atLeast"/>
        </w:trPr>
        <w:tc>
          <w:tcPr>
            <w:tcW w:w="384" w:type="pct"/>
            <w:shd w:val="clear" w:color="FFFFFF" w:fill="FFFFFF"/>
            <w:vAlign w:val="center"/>
          </w:tcPr>
          <w:p w14:paraId="60868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54" w:type="pct"/>
            <w:shd w:val="clear" w:color="FFFFFF" w:fill="FFFFFF"/>
            <w:vAlign w:val="center"/>
          </w:tcPr>
          <w:p w14:paraId="39BB1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道口-电气</w:t>
            </w:r>
          </w:p>
        </w:tc>
        <w:tc>
          <w:tcPr>
            <w:tcW w:w="529" w:type="pct"/>
            <w:shd w:val="clear" w:color="FFFFFF" w:fill="FFFFFF"/>
            <w:vAlign w:val="center"/>
          </w:tcPr>
          <w:p w14:paraId="51138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2555E6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64ABD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1E555C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r>
      <w:tr w14:paraId="6DDC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3C841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54" w:type="pct"/>
            <w:shd w:val="clear" w:color="FFFFFF" w:fill="FFFFFF"/>
            <w:vAlign w:val="center"/>
          </w:tcPr>
          <w:p w14:paraId="72256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道口-电气</w:t>
            </w:r>
          </w:p>
        </w:tc>
        <w:tc>
          <w:tcPr>
            <w:tcW w:w="529" w:type="pct"/>
            <w:shd w:val="clear" w:color="FFFFFF" w:fill="FFFFFF"/>
            <w:vAlign w:val="center"/>
          </w:tcPr>
          <w:p w14:paraId="3656E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0AF8DB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753E9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3DE9AD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072C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38240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54" w:type="pct"/>
            <w:shd w:val="clear" w:color="FFFFFF" w:fill="FFFFFF"/>
            <w:vAlign w:val="center"/>
          </w:tcPr>
          <w:p w14:paraId="0B368A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2869F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双孔信息插座</w:t>
            </w:r>
          </w:p>
        </w:tc>
        <w:tc>
          <w:tcPr>
            <w:tcW w:w="2743" w:type="pct"/>
            <w:shd w:val="clear" w:color="FFFFFF" w:fill="FFFFFF"/>
            <w:vAlign w:val="center"/>
          </w:tcPr>
          <w:p w14:paraId="66175D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1.名称：双孔信息插座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2.规格、型号：RJ45 6 类非屏蔽，含模块及底盒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3.安装方式：墙面安装</w:t>
            </w:r>
          </w:p>
        </w:tc>
        <w:tc>
          <w:tcPr>
            <w:tcW w:w="386" w:type="pct"/>
            <w:shd w:val="clear" w:color="FFFFFF" w:fill="FFFFFF"/>
            <w:vAlign w:val="center"/>
          </w:tcPr>
          <w:p w14:paraId="7BBA1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3A7F10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1F16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C705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54" w:type="pct"/>
            <w:shd w:val="clear" w:color="FFFFFF" w:fill="FFFFFF"/>
            <w:vAlign w:val="center"/>
          </w:tcPr>
          <w:p w14:paraId="00C6D8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59361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743" w:type="pct"/>
            <w:shd w:val="clear" w:color="FFFFFF" w:fill="FFFFFF"/>
            <w:vAlign w:val="center"/>
          </w:tcPr>
          <w:p w14:paraId="2F5333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1.名称：弱电箱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2.规格：12U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3.安装方式：挂墙</w:t>
            </w:r>
          </w:p>
        </w:tc>
        <w:tc>
          <w:tcPr>
            <w:tcW w:w="386" w:type="pct"/>
            <w:shd w:val="clear" w:color="FFFFFF" w:fill="FFFFFF"/>
            <w:vAlign w:val="center"/>
          </w:tcPr>
          <w:p w14:paraId="732C4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1DF204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C2C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1D8B6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54" w:type="pct"/>
            <w:shd w:val="clear" w:color="FFFFFF" w:fill="FFFFFF"/>
            <w:vAlign w:val="center"/>
          </w:tcPr>
          <w:p w14:paraId="63F7B3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53682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53BDD6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2.规格：CAT6 UTP 4P 低烟无卤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3.线缆对数：4对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4.敷设方式：综合考虑</w:t>
            </w:r>
          </w:p>
        </w:tc>
        <w:tc>
          <w:tcPr>
            <w:tcW w:w="386" w:type="pct"/>
            <w:shd w:val="clear" w:color="FFFFFF" w:fill="FFFFFF"/>
            <w:vAlign w:val="center"/>
          </w:tcPr>
          <w:p w14:paraId="26E58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2C9566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3DD0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79C52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54" w:type="pct"/>
            <w:shd w:val="clear" w:color="FFFFFF" w:fill="FFFFFF"/>
            <w:vAlign w:val="center"/>
          </w:tcPr>
          <w:p w14:paraId="0BA028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096B2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JDG金属穿线管</w:t>
            </w:r>
          </w:p>
        </w:tc>
        <w:tc>
          <w:tcPr>
            <w:tcW w:w="2743" w:type="pct"/>
            <w:shd w:val="clear" w:color="FFFFFF" w:fill="FFFFFF"/>
            <w:vAlign w:val="center"/>
          </w:tcPr>
          <w:p w14:paraId="73DEF7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2.规格：镀锌钢管JDG25，详见招标文件技术标准及要求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104A5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3F05B9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3F5F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384" w:type="pct"/>
            <w:shd w:val="clear" w:color="FFFFFF" w:fill="FFFFFF"/>
            <w:vAlign w:val="center"/>
          </w:tcPr>
          <w:p w14:paraId="5E239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4" w:type="pct"/>
            <w:shd w:val="clear" w:color="FFFFFF" w:fill="FFFFFF"/>
            <w:vAlign w:val="center"/>
          </w:tcPr>
          <w:p w14:paraId="74F669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6D726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网络摄像机</w:t>
            </w:r>
          </w:p>
        </w:tc>
        <w:tc>
          <w:tcPr>
            <w:tcW w:w="2743" w:type="pct"/>
            <w:shd w:val="clear" w:color="FFFFFF" w:fill="FFFFFF"/>
            <w:vAlign w:val="center"/>
          </w:tcPr>
          <w:p w14:paraId="04D67C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1.名称:室外枪式摄像机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 400 万像素,星光级, 1/1.8 ” CMOS 传感器,满足照度彩色≤ 0.0005 lx ,黑白≤ 0.0001 lx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 H.265 、 MJPEG 视频编码格式,星光级支持 IP67 防尘防水,支持 DC12V/24V 供电,工作环境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 ℃ ~70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349D7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CF292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5E25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9868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54" w:type="pct"/>
            <w:shd w:val="clear" w:color="FFFFFF" w:fill="FFFFFF"/>
            <w:vAlign w:val="center"/>
          </w:tcPr>
          <w:p w14:paraId="0E477B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40F53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网络摄像机</w:t>
            </w:r>
          </w:p>
        </w:tc>
        <w:tc>
          <w:tcPr>
            <w:tcW w:w="2743" w:type="pct"/>
            <w:shd w:val="clear" w:color="FFFFFF" w:fill="FFFFFF"/>
            <w:vAlign w:val="center"/>
          </w:tcPr>
          <w:p w14:paraId="232CF9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1.名称:车牌摄录摄像机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2.规格、型号:适应车速: 0~60 公里 / 小时;支持日夜模式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5A523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E8658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329C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84" w:type="pct"/>
            <w:shd w:val="clear" w:color="FFFFFF" w:fill="FFFFFF"/>
            <w:vAlign w:val="center"/>
          </w:tcPr>
          <w:p w14:paraId="76143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54" w:type="pct"/>
            <w:shd w:val="clear" w:color="FFFFFF" w:fill="FFFFFF"/>
            <w:vAlign w:val="center"/>
          </w:tcPr>
          <w:p w14:paraId="03643B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53DD8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信号防雷器</w:t>
            </w:r>
          </w:p>
        </w:tc>
        <w:tc>
          <w:tcPr>
            <w:tcW w:w="2743" w:type="pct"/>
            <w:shd w:val="clear" w:color="FFFFFF" w:fill="FFFFFF"/>
            <w:vAlign w:val="center"/>
          </w:tcPr>
          <w:p w14:paraId="11066C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1.名称：二合一保护器</w:t>
            </w:r>
          </w:p>
        </w:tc>
        <w:tc>
          <w:tcPr>
            <w:tcW w:w="386" w:type="pct"/>
            <w:shd w:val="clear" w:color="FFFFFF" w:fill="FFFFFF"/>
            <w:vAlign w:val="center"/>
          </w:tcPr>
          <w:p w14:paraId="24410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278A45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r>
      <w:tr w14:paraId="7DA0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84" w:type="pct"/>
            <w:shd w:val="clear" w:color="FFFFFF" w:fill="FFFFFF"/>
            <w:vAlign w:val="center"/>
          </w:tcPr>
          <w:p w14:paraId="58677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54" w:type="pct"/>
            <w:shd w:val="clear" w:color="FFFFFF" w:fill="FFFFFF"/>
            <w:vAlign w:val="center"/>
          </w:tcPr>
          <w:p w14:paraId="7CF461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6AA12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拾音器</w:t>
            </w:r>
          </w:p>
        </w:tc>
        <w:tc>
          <w:tcPr>
            <w:tcW w:w="2743" w:type="pct"/>
            <w:shd w:val="clear" w:color="FFFFFF" w:fill="FFFFFF"/>
            <w:vAlign w:val="center"/>
          </w:tcPr>
          <w:p w14:paraId="7D0843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1.名称:拾音器</w:t>
            </w:r>
          </w:p>
        </w:tc>
        <w:tc>
          <w:tcPr>
            <w:tcW w:w="386" w:type="pct"/>
            <w:shd w:val="clear" w:color="FFFFFF" w:fill="FFFFFF"/>
            <w:vAlign w:val="center"/>
          </w:tcPr>
          <w:p w14:paraId="7CC3F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2EA2B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33D3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7C15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654" w:type="pct"/>
            <w:shd w:val="clear" w:color="FFFFFF" w:fill="FFFFFF"/>
            <w:vAlign w:val="center"/>
          </w:tcPr>
          <w:p w14:paraId="5F2F4A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1FCFC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337E68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1.名称:网线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2.规格、型号:CAT6 UTP 4P 低烟无卤 支持 POE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0CDE8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04901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610</w:t>
            </w:r>
          </w:p>
        </w:tc>
      </w:tr>
      <w:tr w14:paraId="3184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AA48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54" w:type="pct"/>
            <w:shd w:val="clear" w:color="FFFFFF" w:fill="FFFFFF"/>
            <w:vAlign w:val="center"/>
          </w:tcPr>
          <w:p w14:paraId="210580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5E9AC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JDG金属穿线管</w:t>
            </w:r>
          </w:p>
        </w:tc>
        <w:tc>
          <w:tcPr>
            <w:tcW w:w="2743" w:type="pct"/>
            <w:shd w:val="clear" w:color="FFFFFF" w:fill="FFFFFF"/>
            <w:vAlign w:val="center"/>
          </w:tcPr>
          <w:p w14:paraId="35C5AC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2.规格:JDG25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3.配置形式:综合考虑</w:t>
            </w:r>
          </w:p>
        </w:tc>
        <w:tc>
          <w:tcPr>
            <w:tcW w:w="386" w:type="pct"/>
            <w:shd w:val="clear" w:color="FFFFFF" w:fill="FFFFFF"/>
            <w:vAlign w:val="center"/>
          </w:tcPr>
          <w:p w14:paraId="2B03C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0F6CB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4114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4EAC0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654" w:type="pct"/>
            <w:shd w:val="clear" w:color="FFFFFF" w:fill="FFFFFF"/>
            <w:vAlign w:val="center"/>
          </w:tcPr>
          <w:p w14:paraId="5DC38E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5C7B5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配线架</w:t>
            </w:r>
          </w:p>
        </w:tc>
        <w:tc>
          <w:tcPr>
            <w:tcW w:w="2743" w:type="pct"/>
            <w:shd w:val="clear" w:color="FFFFFF" w:fill="FFFFFF"/>
            <w:vAlign w:val="center"/>
          </w:tcPr>
          <w:p w14:paraId="7C62CE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1.名称：数据配线架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2.规格、型号：12 口，含配线模块、理线器</w:t>
            </w:r>
          </w:p>
        </w:tc>
        <w:tc>
          <w:tcPr>
            <w:tcW w:w="386" w:type="pct"/>
            <w:shd w:val="clear" w:color="FFFFFF" w:fill="FFFFFF"/>
            <w:vAlign w:val="center"/>
          </w:tcPr>
          <w:p w14:paraId="2198D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6EC455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BA7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84" w:type="pct"/>
            <w:shd w:val="clear" w:color="FFFFFF" w:fill="FFFFFF"/>
            <w:vAlign w:val="center"/>
          </w:tcPr>
          <w:p w14:paraId="379C5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54" w:type="pct"/>
            <w:shd w:val="clear" w:color="FFFFFF" w:fill="FFFFFF"/>
            <w:vAlign w:val="center"/>
          </w:tcPr>
          <w:p w14:paraId="2FD74D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135EE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2743" w:type="pct"/>
            <w:shd w:val="clear" w:color="FFFFFF" w:fill="FFFFFF"/>
            <w:vAlign w:val="center"/>
          </w:tcPr>
          <w:p w14:paraId="537EE1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1.名称：接入交换机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2.设备基本参数：10G 光口:≥ 4 个, 1G 电口:≥ 24 个,网管型,交换容量:交换容量≥ 670Gbps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包转发率:包转发率≥ 170Mpps, 支持 POE 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3.含光模块，详见招标文件技术标准及要求</w:t>
            </w:r>
          </w:p>
        </w:tc>
        <w:tc>
          <w:tcPr>
            <w:tcW w:w="386" w:type="pct"/>
            <w:shd w:val="clear" w:color="FFFFFF" w:fill="FFFFFF"/>
            <w:vAlign w:val="center"/>
          </w:tcPr>
          <w:p w14:paraId="03D90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52C458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32C2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6D6DA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54" w:type="pct"/>
            <w:shd w:val="clear" w:color="FFFFFF" w:fill="FFFFFF"/>
            <w:vAlign w:val="center"/>
          </w:tcPr>
          <w:p w14:paraId="13591A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40499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双芯光纤跳线</w:t>
            </w:r>
          </w:p>
        </w:tc>
        <w:tc>
          <w:tcPr>
            <w:tcW w:w="2743" w:type="pct"/>
            <w:shd w:val="clear" w:color="FFFFFF" w:fill="FFFFFF"/>
            <w:vAlign w:val="center"/>
          </w:tcPr>
          <w:p w14:paraId="570107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1.名称：光纤尾纤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2.规格：LC 光纤耦合器 1m</w:t>
            </w:r>
          </w:p>
        </w:tc>
        <w:tc>
          <w:tcPr>
            <w:tcW w:w="386" w:type="pct"/>
            <w:shd w:val="clear" w:color="FFFFFF" w:fill="FFFFFF"/>
            <w:vAlign w:val="center"/>
          </w:tcPr>
          <w:p w14:paraId="0FF02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4765A8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65DB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4525E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654" w:type="pct"/>
            <w:shd w:val="clear" w:color="FFFFFF" w:fill="FFFFFF"/>
            <w:vAlign w:val="center"/>
          </w:tcPr>
          <w:p w14:paraId="0D3D9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auto" w:fill="auto"/>
            <w:noWrap/>
            <w:vAlign w:val="center"/>
          </w:tcPr>
          <w:p w14:paraId="30D4B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六类非屏蔽跳线</w:t>
            </w:r>
          </w:p>
        </w:tc>
        <w:tc>
          <w:tcPr>
            <w:tcW w:w="2743" w:type="pct"/>
            <w:shd w:val="clear" w:color="FFFFFF" w:fill="FFFFFF"/>
            <w:vAlign w:val="center"/>
          </w:tcPr>
          <w:p w14:paraId="6C6B58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1.名称：数据跳线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2.规格：CAT6 RJ45 跳线 3m</w:t>
            </w:r>
          </w:p>
        </w:tc>
        <w:tc>
          <w:tcPr>
            <w:tcW w:w="386" w:type="pct"/>
            <w:shd w:val="clear" w:color="FFFFFF" w:fill="FFFFFF"/>
            <w:vAlign w:val="center"/>
          </w:tcPr>
          <w:p w14:paraId="225D1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33755E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69CD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563A2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54" w:type="pct"/>
            <w:shd w:val="clear" w:color="FFFFFF" w:fill="FFFFFF"/>
            <w:vAlign w:val="center"/>
          </w:tcPr>
          <w:p w14:paraId="6C4181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4277F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双芯光纤跳线</w:t>
            </w:r>
          </w:p>
        </w:tc>
        <w:tc>
          <w:tcPr>
            <w:tcW w:w="2743" w:type="pct"/>
            <w:shd w:val="clear" w:color="FFFFFF" w:fill="FFFFFF"/>
            <w:vAlign w:val="center"/>
          </w:tcPr>
          <w:p w14:paraId="7D18D0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1.名称：光纤跳线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2.规格：LC 双芯单模万兆跳线 3m</w:t>
            </w:r>
          </w:p>
        </w:tc>
        <w:tc>
          <w:tcPr>
            <w:tcW w:w="386" w:type="pct"/>
            <w:shd w:val="clear" w:color="FFFFFF" w:fill="FFFFFF"/>
            <w:vAlign w:val="center"/>
          </w:tcPr>
          <w:p w14:paraId="65D4A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002C49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C37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78CD0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54" w:type="pct"/>
            <w:shd w:val="clear" w:color="FFFFFF" w:fill="FFFFFF"/>
            <w:vAlign w:val="center"/>
          </w:tcPr>
          <w:p w14:paraId="064EC8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00DF7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2743" w:type="pct"/>
            <w:shd w:val="clear" w:color="FFFFFF" w:fill="FFFFFF"/>
            <w:vAlign w:val="center"/>
          </w:tcPr>
          <w:p w14:paraId="392602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1.名称：存储硬盘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2.规格、型号：10T</w:t>
            </w:r>
          </w:p>
        </w:tc>
        <w:tc>
          <w:tcPr>
            <w:tcW w:w="386" w:type="pct"/>
            <w:shd w:val="clear" w:color="FFFFFF" w:fill="FFFFFF"/>
            <w:vAlign w:val="center"/>
          </w:tcPr>
          <w:p w14:paraId="7046A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22EAD3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3A3E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07165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654" w:type="pct"/>
            <w:shd w:val="clear" w:color="FFFFFF" w:fill="FFFFFF"/>
            <w:vAlign w:val="center"/>
          </w:tcPr>
          <w:p w14:paraId="1C10C0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05204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w:t>
            </w:r>
          </w:p>
        </w:tc>
        <w:tc>
          <w:tcPr>
            <w:tcW w:w="2743" w:type="pct"/>
            <w:shd w:val="clear" w:color="FFFFFF" w:fill="FFFFFF"/>
            <w:vAlign w:val="center"/>
          </w:tcPr>
          <w:p w14:paraId="160EA7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1.名称:监控工作站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2.规格、型号:I7 处理器,主频≥ 2.4GHz ,独显, 16G DDR4 内存,≥ 1T HDD+120G SSD 硬盘 ,27 寸液晶显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示器, WIN10 系统</w:t>
            </w:r>
          </w:p>
        </w:tc>
        <w:tc>
          <w:tcPr>
            <w:tcW w:w="386" w:type="pct"/>
            <w:shd w:val="clear" w:color="FFFFFF" w:fill="FFFFFF"/>
            <w:vAlign w:val="center"/>
          </w:tcPr>
          <w:p w14:paraId="06335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44E91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2F3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4C12F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654" w:type="pct"/>
            <w:shd w:val="clear" w:color="FFFFFF" w:fill="FFFFFF"/>
            <w:vAlign w:val="center"/>
          </w:tcPr>
          <w:p w14:paraId="7AE16A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4C6C1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门禁控制器</w:t>
            </w:r>
          </w:p>
        </w:tc>
        <w:tc>
          <w:tcPr>
            <w:tcW w:w="2743" w:type="pct"/>
            <w:shd w:val="clear" w:color="FFFFFF" w:fill="FFFFFF"/>
            <w:vAlign w:val="center"/>
          </w:tcPr>
          <w:p w14:paraId="438AA6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1.名称:单门控制器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2.规格、型号:32 位处理器,上行 TCP/IP 和 RS485 组网,下行 RS485 和 Wiegand 读卡器双通讯接口</w:t>
            </w:r>
          </w:p>
        </w:tc>
        <w:tc>
          <w:tcPr>
            <w:tcW w:w="386" w:type="pct"/>
            <w:shd w:val="clear" w:color="FFFFFF" w:fill="FFFFFF"/>
            <w:vAlign w:val="center"/>
          </w:tcPr>
          <w:p w14:paraId="51B32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1CC83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1595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C4C0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654" w:type="pct"/>
            <w:shd w:val="clear" w:color="FFFFFF" w:fill="FFFFFF"/>
            <w:vAlign w:val="center"/>
          </w:tcPr>
          <w:p w14:paraId="7723C8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05393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电源箱</w:t>
            </w:r>
          </w:p>
        </w:tc>
        <w:tc>
          <w:tcPr>
            <w:tcW w:w="2743" w:type="pct"/>
            <w:shd w:val="clear" w:color="FFFFFF" w:fill="FFFFFF"/>
            <w:vAlign w:val="center"/>
          </w:tcPr>
          <w:p w14:paraId="4FBF3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1.名称：门禁控制器电源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2.规格、型号：网络门禁控制器机箱,含一个 220VAC/12VDC 变压器,以及一块满足 48 小时供电电池</w:t>
            </w:r>
          </w:p>
        </w:tc>
        <w:tc>
          <w:tcPr>
            <w:tcW w:w="386" w:type="pct"/>
            <w:shd w:val="clear" w:color="FFFFFF" w:fill="FFFFFF"/>
            <w:vAlign w:val="center"/>
          </w:tcPr>
          <w:p w14:paraId="150A6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1519AD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15BB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2215E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54" w:type="pct"/>
            <w:shd w:val="clear" w:color="FFFFFF" w:fill="FFFFFF"/>
            <w:vAlign w:val="center"/>
          </w:tcPr>
          <w:p w14:paraId="334627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36F04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磁力锁</w:t>
            </w:r>
          </w:p>
        </w:tc>
        <w:tc>
          <w:tcPr>
            <w:tcW w:w="2743" w:type="pct"/>
            <w:shd w:val="clear" w:color="FFFFFF" w:fill="FFFFFF"/>
            <w:vAlign w:val="center"/>
          </w:tcPr>
          <w:p w14:paraId="3CA467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1.名称:单门磁力锁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2.规格：支持门状态检测、锁状态,锁的抗拉力≥ 280KG</w:t>
            </w:r>
          </w:p>
        </w:tc>
        <w:tc>
          <w:tcPr>
            <w:tcW w:w="386" w:type="pct"/>
            <w:shd w:val="clear" w:color="FFFFFF" w:fill="FFFFFF"/>
            <w:vAlign w:val="center"/>
          </w:tcPr>
          <w:p w14:paraId="325EC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76FAD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54F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895A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654" w:type="pct"/>
            <w:shd w:val="clear" w:color="FFFFFF" w:fill="FFFFFF"/>
            <w:vAlign w:val="center"/>
          </w:tcPr>
          <w:p w14:paraId="56D396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5DBF2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读卡器</w:t>
            </w:r>
          </w:p>
        </w:tc>
        <w:tc>
          <w:tcPr>
            <w:tcW w:w="2743" w:type="pct"/>
            <w:shd w:val="clear" w:color="FFFFFF" w:fill="FFFFFF"/>
            <w:vAlign w:val="center"/>
          </w:tcPr>
          <w:p w14:paraId="227232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1.名称:非接触式读卡器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2.规格、型号:密码 + 刷卡 / 生物识别,智能卡读卡器, 32 位, 86 盒外形尺寸，含底盒</w:t>
            </w:r>
          </w:p>
        </w:tc>
        <w:tc>
          <w:tcPr>
            <w:tcW w:w="386" w:type="pct"/>
            <w:shd w:val="clear" w:color="FFFFFF" w:fill="FFFFFF"/>
            <w:vAlign w:val="center"/>
          </w:tcPr>
          <w:p w14:paraId="7832C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D53E1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6BA9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35B9C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654" w:type="pct"/>
            <w:shd w:val="clear" w:color="FFFFFF" w:fill="FFFFFF"/>
            <w:vAlign w:val="center"/>
          </w:tcPr>
          <w:p w14:paraId="73329E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2C0AB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出门按钮</w:t>
            </w:r>
          </w:p>
        </w:tc>
        <w:tc>
          <w:tcPr>
            <w:tcW w:w="2743" w:type="pct"/>
            <w:shd w:val="clear" w:color="FFFFFF" w:fill="FFFFFF"/>
            <w:vAlign w:val="center"/>
          </w:tcPr>
          <w:p w14:paraId="16B013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1.名称:出门按钮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2.规格：86 型，含底盒</w:t>
            </w:r>
          </w:p>
        </w:tc>
        <w:tc>
          <w:tcPr>
            <w:tcW w:w="386" w:type="pct"/>
            <w:shd w:val="clear" w:color="FFFFFF" w:fill="FFFFFF"/>
            <w:vAlign w:val="center"/>
          </w:tcPr>
          <w:p w14:paraId="5D749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AEFB7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539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7D3E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654" w:type="pct"/>
            <w:shd w:val="clear" w:color="FFFFFF" w:fill="FFFFFF"/>
            <w:vAlign w:val="center"/>
          </w:tcPr>
          <w:p w14:paraId="2E9AAE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65474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JDG金属穿线管</w:t>
            </w:r>
          </w:p>
        </w:tc>
        <w:tc>
          <w:tcPr>
            <w:tcW w:w="2743" w:type="pct"/>
            <w:shd w:val="clear" w:color="FFFFFF" w:fill="FFFFFF"/>
            <w:vAlign w:val="center"/>
          </w:tcPr>
          <w:p w14:paraId="3DC834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2.规格：JDG25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3.配置形式:综合考虑</w:t>
            </w:r>
          </w:p>
        </w:tc>
        <w:tc>
          <w:tcPr>
            <w:tcW w:w="386" w:type="pct"/>
            <w:shd w:val="clear" w:color="FFFFFF" w:fill="FFFFFF"/>
            <w:vAlign w:val="center"/>
          </w:tcPr>
          <w:p w14:paraId="4C8D2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C6B9D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6C09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064B8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654" w:type="pct"/>
            <w:shd w:val="clear" w:color="FFFFFF" w:fill="FFFFFF"/>
            <w:vAlign w:val="center"/>
          </w:tcPr>
          <w:p w14:paraId="3C543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12FC6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JDG金属穿线管</w:t>
            </w:r>
          </w:p>
        </w:tc>
        <w:tc>
          <w:tcPr>
            <w:tcW w:w="2743" w:type="pct"/>
            <w:shd w:val="clear" w:color="FFFFFF" w:fill="FFFFFF"/>
            <w:vAlign w:val="center"/>
          </w:tcPr>
          <w:p w14:paraId="0DC1AA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2.规格：JDG25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3.配置形式:综合考虑</w:t>
            </w:r>
          </w:p>
        </w:tc>
        <w:tc>
          <w:tcPr>
            <w:tcW w:w="386" w:type="pct"/>
            <w:shd w:val="clear" w:color="FFFFFF" w:fill="FFFFFF"/>
            <w:vAlign w:val="center"/>
          </w:tcPr>
          <w:p w14:paraId="4726B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FED3F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0614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384" w:type="pct"/>
            <w:shd w:val="clear" w:color="FFFFFF" w:fill="FFFFFF"/>
            <w:vAlign w:val="center"/>
          </w:tcPr>
          <w:p w14:paraId="5BC3B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54" w:type="pct"/>
            <w:shd w:val="clear" w:color="FFFFFF" w:fill="FFFFFF"/>
            <w:vAlign w:val="center"/>
          </w:tcPr>
          <w:p w14:paraId="1EB94E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道口-弱电</w:t>
            </w:r>
          </w:p>
        </w:tc>
        <w:tc>
          <w:tcPr>
            <w:tcW w:w="529" w:type="pct"/>
            <w:shd w:val="clear" w:color="FFFFFF" w:fill="FFFFFF"/>
            <w:vAlign w:val="center"/>
          </w:tcPr>
          <w:p w14:paraId="634DB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机场专用车辆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车底检查系统软件、车辆底盘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反藏匿系统硬件</w:t>
            </w:r>
          </w:p>
        </w:tc>
        <w:tc>
          <w:tcPr>
            <w:tcW w:w="2743" w:type="pct"/>
            <w:shd w:val="clear" w:color="FFFFFF" w:fill="FFFFFF"/>
            <w:vAlign w:val="center"/>
          </w:tcPr>
          <w:p w14:paraId="347B02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1.名称：大型底盘扫描系统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2.包含内容：含完成底盘扫描系统所需一切设备、管线、软件等的采购、安装、调试及系统联合调试等内容，详见设计说明、图纸及技术要求</w:t>
            </w:r>
          </w:p>
        </w:tc>
        <w:tc>
          <w:tcPr>
            <w:tcW w:w="386" w:type="pct"/>
            <w:shd w:val="clear" w:color="FFFFFF" w:fill="FFFFFF"/>
            <w:vAlign w:val="center"/>
          </w:tcPr>
          <w:p w14:paraId="66170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6DD2B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975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384" w:type="pct"/>
            <w:shd w:val="clear" w:color="FFFFFF" w:fill="FFFFFF"/>
            <w:vAlign w:val="center"/>
          </w:tcPr>
          <w:p w14:paraId="7B9BB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654" w:type="pct"/>
            <w:shd w:val="clear" w:color="FFFFFF" w:fill="FFFFFF"/>
            <w:vAlign w:val="center"/>
          </w:tcPr>
          <w:p w14:paraId="48674D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道口-土建</w:t>
            </w:r>
          </w:p>
        </w:tc>
        <w:tc>
          <w:tcPr>
            <w:tcW w:w="529" w:type="pct"/>
            <w:shd w:val="clear" w:color="FFFFFF" w:fill="FFFFFF"/>
            <w:vAlign w:val="center"/>
          </w:tcPr>
          <w:p w14:paraId="1CE57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钢结构雨棚</w:t>
            </w:r>
          </w:p>
        </w:tc>
        <w:tc>
          <w:tcPr>
            <w:tcW w:w="2743" w:type="pct"/>
            <w:shd w:val="clear" w:color="FFFFFF" w:fill="FFFFFF"/>
            <w:vAlign w:val="center"/>
          </w:tcPr>
          <w:p w14:paraId="31D3A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1.柱类型:GZ1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2.材质:Q355B,无缝钢管，直径299mm，壁厚16mm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3.部位:雨棚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4.油漆品种、色彩、要求:环氧富锌底涂料，2遍，厚度≥70μm；环氧云铁中间涂料，2遍，厚度≥70μm；聚氨酯面涂料，3遍，厚度100μ；面层暗灰色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5.除锈:采用喷射或者抛丸除锈，无法达到的位置采用动力工具机械打磨除锈。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6.其他:综合单价包含防火、防腐、除锈、垫板、焊缝、连接板、抗剪键、螺栓、锚栓、柱脚、预埋件、与钢梁的连接处理等，还应包含钢结构施工图二次深化设计及施工费用</w:t>
            </w:r>
          </w:p>
        </w:tc>
        <w:tc>
          <w:tcPr>
            <w:tcW w:w="386" w:type="pct"/>
            <w:shd w:val="clear" w:color="FFFFFF" w:fill="FFFFFF"/>
            <w:vAlign w:val="center"/>
          </w:tcPr>
          <w:p w14:paraId="6A06B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301" w:type="pct"/>
            <w:shd w:val="clear" w:color="FFFFFF" w:fill="FFFFFF"/>
            <w:vAlign w:val="center"/>
          </w:tcPr>
          <w:p w14:paraId="19980BE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6.801</w:t>
            </w:r>
          </w:p>
        </w:tc>
      </w:tr>
      <w:tr w14:paraId="5F17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384" w:type="pct"/>
            <w:shd w:val="clear" w:color="FFFFFF" w:fill="FFFFFF"/>
            <w:vAlign w:val="center"/>
          </w:tcPr>
          <w:p w14:paraId="2C5D29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654" w:type="pct"/>
            <w:shd w:val="clear" w:color="FFFFFF" w:fill="FFFFFF"/>
            <w:vAlign w:val="center"/>
          </w:tcPr>
          <w:p w14:paraId="590870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道口-土建</w:t>
            </w:r>
          </w:p>
        </w:tc>
        <w:tc>
          <w:tcPr>
            <w:tcW w:w="529" w:type="pct"/>
            <w:shd w:val="clear" w:color="FFFFFF" w:fill="FFFFFF"/>
            <w:vAlign w:val="center"/>
          </w:tcPr>
          <w:p w14:paraId="5EAA9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钢结构雨棚</w:t>
            </w:r>
          </w:p>
        </w:tc>
        <w:tc>
          <w:tcPr>
            <w:tcW w:w="2743" w:type="pct"/>
            <w:shd w:val="clear" w:color="FFFFFF" w:fill="FFFFFF"/>
            <w:vAlign w:val="center"/>
          </w:tcPr>
          <w:p w14:paraId="1AF4C3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1.梁类型:GL1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2.材质:Q355B,截面为H型截面，300mm*200mm*8mm*12mm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3.部位:雨棚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4.油漆品种、色彩、工艺要求:环氧富锌底涂料，2遍，厚度≥70μm；环氧云铁中间涂料，2遍，厚度≥70μm；聚氨酯面涂料，3遍，厚度100μ；面层暗灰色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5.除锈:采用喷射或者抛丸除锈，无法达到的位置采用动力工具机械打磨除锈。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6.其他:综合单价包含防火、防腐、除锈、垫板、焊缝、连接板、螺栓、锚栓，还应包含钢结构施工图二次深化设计及施工费用</w:t>
            </w:r>
          </w:p>
        </w:tc>
        <w:tc>
          <w:tcPr>
            <w:tcW w:w="386" w:type="pct"/>
            <w:shd w:val="clear" w:color="FFFFFF" w:fill="FFFFFF"/>
            <w:vAlign w:val="center"/>
          </w:tcPr>
          <w:p w14:paraId="49CFC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301" w:type="pct"/>
            <w:shd w:val="clear" w:color="FFFFFF" w:fill="FFFFFF"/>
            <w:vAlign w:val="center"/>
          </w:tcPr>
          <w:p w14:paraId="56B3AC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5.784</w:t>
            </w:r>
          </w:p>
        </w:tc>
      </w:tr>
      <w:tr w14:paraId="1589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384" w:type="pct"/>
            <w:shd w:val="clear" w:color="FFFFFF" w:fill="FFFFFF"/>
            <w:vAlign w:val="center"/>
          </w:tcPr>
          <w:p w14:paraId="3FD4F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654" w:type="pct"/>
            <w:shd w:val="clear" w:color="FFFFFF" w:fill="FFFFFF"/>
            <w:vAlign w:val="center"/>
          </w:tcPr>
          <w:p w14:paraId="1DD668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道口-土建</w:t>
            </w:r>
          </w:p>
        </w:tc>
        <w:tc>
          <w:tcPr>
            <w:tcW w:w="529" w:type="pct"/>
            <w:shd w:val="clear" w:color="FFFFFF" w:fill="FFFFFF"/>
            <w:vAlign w:val="center"/>
          </w:tcPr>
          <w:p w14:paraId="12E19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钢结构雨棚</w:t>
            </w:r>
          </w:p>
        </w:tc>
        <w:tc>
          <w:tcPr>
            <w:tcW w:w="2743" w:type="pct"/>
            <w:shd w:val="clear" w:color="FFFFFF" w:fill="FFFFFF"/>
            <w:vAlign w:val="center"/>
          </w:tcPr>
          <w:p w14:paraId="480FC7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1.类型:SC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2.材质:GLG650,钢拉杆，直径30mm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3.部位:雨棚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4.油漆品种、色彩、工艺要求:环氧富锌底涂料，2遍，厚度≥70μm；环氧云铁中间涂料，2遍，厚度≥70μm；聚氨酯面涂料，3遍，厚度100μ；面层暗灰色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5.除锈:采用喷射或者抛丸除锈，无法达到的位置采用动力工具机械打磨除锈。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6.其他:综合单价包含防火、防腐、除锈、垫板、焊缝、连接板、螺栓、锚栓，还应包含钢结构施工图二次深化设计及施工费用</w:t>
            </w:r>
          </w:p>
        </w:tc>
        <w:tc>
          <w:tcPr>
            <w:tcW w:w="386" w:type="pct"/>
            <w:shd w:val="clear" w:color="FFFFFF" w:fill="FFFFFF"/>
            <w:vAlign w:val="center"/>
          </w:tcPr>
          <w:p w14:paraId="7D3B6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301" w:type="pct"/>
            <w:shd w:val="clear" w:color="FFFFFF" w:fill="FFFFFF"/>
            <w:vAlign w:val="center"/>
          </w:tcPr>
          <w:p w14:paraId="36F807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0.796</w:t>
            </w:r>
          </w:p>
        </w:tc>
      </w:tr>
      <w:tr w14:paraId="4931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384" w:type="pct"/>
            <w:shd w:val="clear" w:color="FFFFFF" w:fill="FFFFFF"/>
            <w:vAlign w:val="center"/>
          </w:tcPr>
          <w:p w14:paraId="636A0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654" w:type="pct"/>
            <w:shd w:val="clear" w:color="FFFFFF" w:fill="FFFFFF"/>
            <w:vAlign w:val="center"/>
          </w:tcPr>
          <w:p w14:paraId="3716A1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道口-土建</w:t>
            </w:r>
          </w:p>
        </w:tc>
        <w:tc>
          <w:tcPr>
            <w:tcW w:w="529" w:type="pct"/>
            <w:shd w:val="clear" w:color="FFFFFF" w:fill="FFFFFF"/>
            <w:vAlign w:val="center"/>
          </w:tcPr>
          <w:p w14:paraId="28718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钢结构雨棚</w:t>
            </w:r>
          </w:p>
        </w:tc>
        <w:tc>
          <w:tcPr>
            <w:tcW w:w="2743" w:type="pct"/>
            <w:shd w:val="clear" w:color="FFFFFF" w:fill="FFFFFF"/>
            <w:vAlign w:val="center"/>
          </w:tcPr>
          <w:p w14:paraId="0EC561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1.类型:XG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2.材质:GLG650,钢拉杆，直径30mm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3.部位:雨棚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4.油漆品种、色彩、工艺要求:环氧富锌底涂料，2遍，厚度≥70μm；环氧云铁中间涂料，2遍，厚度≥70μm；聚氨酯面涂料，3遍，厚度100μ；面层暗灰色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5.除锈:采用喷射或者抛丸除锈，无法达到的位置采用动力工具机械打磨除锈。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6.其他:综合单价包含防火、防腐、除锈、垫板、焊缝、连接板、螺栓、锚栓，还应包含钢结构施工图二次深化设计及施工费用</w:t>
            </w:r>
          </w:p>
        </w:tc>
        <w:tc>
          <w:tcPr>
            <w:tcW w:w="386" w:type="pct"/>
            <w:shd w:val="clear" w:color="FFFFFF" w:fill="FFFFFF"/>
            <w:vAlign w:val="center"/>
          </w:tcPr>
          <w:p w14:paraId="7C23B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301" w:type="pct"/>
            <w:shd w:val="clear" w:color="FFFFFF" w:fill="FFFFFF"/>
            <w:vAlign w:val="center"/>
          </w:tcPr>
          <w:p w14:paraId="0D5198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3.871</w:t>
            </w:r>
          </w:p>
        </w:tc>
      </w:tr>
      <w:tr w14:paraId="2D4C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0" w:hRule="atLeast"/>
        </w:trPr>
        <w:tc>
          <w:tcPr>
            <w:tcW w:w="384" w:type="pct"/>
            <w:shd w:val="clear" w:color="FFFFFF" w:fill="FFFFFF"/>
            <w:vAlign w:val="center"/>
          </w:tcPr>
          <w:p w14:paraId="23606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654" w:type="pct"/>
            <w:shd w:val="clear" w:color="FFFFFF" w:fill="FFFFFF"/>
            <w:vAlign w:val="center"/>
          </w:tcPr>
          <w:p w14:paraId="689102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道口-土建</w:t>
            </w:r>
          </w:p>
        </w:tc>
        <w:tc>
          <w:tcPr>
            <w:tcW w:w="529" w:type="pct"/>
            <w:shd w:val="clear" w:color="FFFFFF" w:fill="FFFFFF"/>
            <w:vAlign w:val="center"/>
          </w:tcPr>
          <w:p w14:paraId="037A7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钢结构雨棚</w:t>
            </w:r>
          </w:p>
        </w:tc>
        <w:tc>
          <w:tcPr>
            <w:tcW w:w="2743" w:type="pct"/>
            <w:shd w:val="clear" w:color="FFFFFF" w:fill="FFFFFF"/>
            <w:vAlign w:val="center"/>
          </w:tcPr>
          <w:p w14:paraId="3159F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1.类型:LT1、YC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2.材质:檩条规格均为冷弯C型钢 C250X75X20X2.5(Q355B)、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3.部位:雨棚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4.油漆品种、色彩、工艺要求:环氧富锌底涂料，2遍，厚度≥70μm；环氧云铁中间涂料，2遍，厚度≥70μm；聚氨酯面涂料，3遍，厚度100μ；面层暗灰色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5.除锈:采用喷射或者抛丸除锈，无法达到的位置采用动力工具机械打磨除锈。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6.其他:综合单价包含防火、防腐、除锈、垫板、焊缝、连接板、螺栓、锚栓，还应包含钢结构施工图二次深化设计及施工费用</w:t>
            </w:r>
          </w:p>
        </w:tc>
        <w:tc>
          <w:tcPr>
            <w:tcW w:w="386" w:type="pct"/>
            <w:shd w:val="clear" w:color="FFFFFF" w:fill="FFFFFF"/>
            <w:vAlign w:val="center"/>
          </w:tcPr>
          <w:p w14:paraId="6EA38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301" w:type="pct"/>
            <w:shd w:val="clear" w:color="FFFFFF" w:fill="FFFFFF"/>
            <w:vAlign w:val="center"/>
          </w:tcPr>
          <w:p w14:paraId="1CC729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4.956</w:t>
            </w:r>
          </w:p>
        </w:tc>
      </w:tr>
      <w:tr w14:paraId="0825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3F6E6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654" w:type="pct"/>
            <w:shd w:val="clear" w:color="FFFFFF" w:fill="FFFFFF"/>
            <w:vAlign w:val="center"/>
          </w:tcPr>
          <w:p w14:paraId="1D61E8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道口-土建</w:t>
            </w:r>
          </w:p>
        </w:tc>
        <w:tc>
          <w:tcPr>
            <w:tcW w:w="529" w:type="pct"/>
            <w:shd w:val="clear" w:color="FFFFFF" w:fill="FFFFFF"/>
            <w:vAlign w:val="center"/>
          </w:tcPr>
          <w:p w14:paraId="4FBB2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配套设施</w:t>
            </w:r>
          </w:p>
        </w:tc>
        <w:tc>
          <w:tcPr>
            <w:tcW w:w="2743" w:type="pct"/>
            <w:shd w:val="clear" w:color="FFFFFF" w:fill="FFFFFF"/>
            <w:vAlign w:val="center"/>
          </w:tcPr>
          <w:p w14:paraId="306653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1.型材品种、规格:屋面金属板底板厚度0.8mm,型号采用YX12-110-880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2.金属檩条材料品种、规格:单独列项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3.其他:综合单价包含防火、防腐、除锈及二次深化设计及施工的费用</w:t>
            </w:r>
          </w:p>
        </w:tc>
        <w:tc>
          <w:tcPr>
            <w:tcW w:w="386" w:type="pct"/>
            <w:shd w:val="clear" w:color="FFFFFF" w:fill="FFFFFF"/>
            <w:vAlign w:val="center"/>
          </w:tcPr>
          <w:p w14:paraId="2BB93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301" w:type="pct"/>
            <w:shd w:val="clear" w:color="FFFFFF" w:fill="FFFFFF"/>
            <w:vAlign w:val="center"/>
          </w:tcPr>
          <w:p w14:paraId="650BF1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201.66</w:t>
            </w:r>
          </w:p>
        </w:tc>
      </w:tr>
      <w:tr w14:paraId="5426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84" w:type="pct"/>
            <w:shd w:val="clear" w:color="FFFFFF" w:fill="FFFFFF"/>
            <w:vAlign w:val="center"/>
          </w:tcPr>
          <w:p w14:paraId="7E817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654" w:type="pct"/>
            <w:shd w:val="clear" w:color="FFFFFF" w:fill="FFFFFF"/>
            <w:vAlign w:val="center"/>
          </w:tcPr>
          <w:p w14:paraId="178135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道口-总图</w:t>
            </w:r>
          </w:p>
        </w:tc>
        <w:tc>
          <w:tcPr>
            <w:tcW w:w="529" w:type="pct"/>
            <w:shd w:val="clear" w:color="FFFFFF" w:fill="FFFFFF"/>
            <w:vAlign w:val="center"/>
          </w:tcPr>
          <w:p w14:paraId="6CC5A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机电液压一体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化升降柱</w:t>
            </w:r>
          </w:p>
        </w:tc>
        <w:tc>
          <w:tcPr>
            <w:tcW w:w="2743" w:type="pct"/>
            <w:shd w:val="clear" w:color="FFFFFF" w:fill="FFFFFF"/>
            <w:vAlign w:val="center"/>
          </w:tcPr>
          <w:p w14:paraId="40C32F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1.材料品种:自动升降桩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2.规格、型号:具体做法参见15J001第95页，含电气配电所需的设备及管线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3.有效反应时间不大于5秒,水平方向抗冲击能力不小于60吨,单位功率:1.0kw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4.其他:综合单价包含采购、安装费用，其他要求满足设计图纸、施工规范及招标文件要求</w:t>
            </w:r>
          </w:p>
        </w:tc>
        <w:tc>
          <w:tcPr>
            <w:tcW w:w="386" w:type="pct"/>
            <w:shd w:val="clear" w:color="FFFFFF" w:fill="FFFFFF"/>
            <w:vAlign w:val="center"/>
          </w:tcPr>
          <w:p w14:paraId="28A4F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0DDC65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1FBB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384" w:type="pct"/>
            <w:shd w:val="clear" w:color="FFFFFF" w:fill="FFFFFF"/>
            <w:vAlign w:val="center"/>
          </w:tcPr>
          <w:p w14:paraId="78E9A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654" w:type="pct"/>
            <w:shd w:val="clear" w:color="FFFFFF" w:fill="FFFFFF"/>
            <w:vAlign w:val="center"/>
          </w:tcPr>
          <w:p w14:paraId="7155C2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道口-总图</w:t>
            </w:r>
          </w:p>
        </w:tc>
        <w:tc>
          <w:tcPr>
            <w:tcW w:w="529" w:type="pct"/>
            <w:shd w:val="clear" w:color="FFFFFF" w:fill="FFFFFF"/>
            <w:vAlign w:val="center"/>
          </w:tcPr>
          <w:p w14:paraId="53DCA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304不锈钢电动伸缩门</w:t>
            </w:r>
          </w:p>
        </w:tc>
        <w:tc>
          <w:tcPr>
            <w:tcW w:w="2743" w:type="pct"/>
            <w:shd w:val="clear" w:color="FFFFFF" w:fill="FFFFFF"/>
            <w:vAlign w:val="center"/>
          </w:tcPr>
          <w:p w14:paraId="7BFF60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1.门框或扇外围尺寸:2.5米高,4.8米长伸缩门,有防攀装置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2.启动装置的品种、规格:600W/部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3.电子配件品种、规格:满足设计及规范要求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4.详参见15J001-DSMB-4825D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5.其他:综合单价包含防攀爬装置、安装电动装置、五金配件、满足安防要求的密集屏风网等，其他满足设计图纸、施工规范及招标文件要求。</w:t>
            </w:r>
          </w:p>
        </w:tc>
        <w:tc>
          <w:tcPr>
            <w:tcW w:w="386" w:type="pct"/>
            <w:shd w:val="clear" w:color="FFFFFF" w:fill="FFFFFF"/>
            <w:vAlign w:val="center"/>
          </w:tcPr>
          <w:p w14:paraId="509D4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301" w:type="pct"/>
            <w:shd w:val="clear" w:color="FFFFFF" w:fill="FFFFFF"/>
            <w:vAlign w:val="center"/>
          </w:tcPr>
          <w:p w14:paraId="359B3F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r>
      <w:tr w14:paraId="2E7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384" w:type="pct"/>
            <w:shd w:val="clear" w:color="FFFFFF" w:fill="FFFFFF"/>
            <w:vAlign w:val="center"/>
          </w:tcPr>
          <w:p w14:paraId="3B27F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654" w:type="pct"/>
            <w:shd w:val="clear" w:color="FFFFFF" w:fill="FFFFFF"/>
            <w:vAlign w:val="center"/>
          </w:tcPr>
          <w:p w14:paraId="3D7962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道口-总图</w:t>
            </w:r>
          </w:p>
        </w:tc>
        <w:tc>
          <w:tcPr>
            <w:tcW w:w="529" w:type="pct"/>
            <w:shd w:val="clear" w:color="FFFFFF" w:fill="FFFFFF"/>
            <w:vAlign w:val="center"/>
          </w:tcPr>
          <w:p w14:paraId="0608C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电动锌钢平开门</w:t>
            </w:r>
          </w:p>
        </w:tc>
        <w:tc>
          <w:tcPr>
            <w:tcW w:w="2743" w:type="pct"/>
            <w:shd w:val="clear" w:color="FFFFFF" w:fill="FFFFFF"/>
            <w:vAlign w:val="center"/>
          </w:tcPr>
          <w:p w14:paraId="1C0950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1.门代号及洞口尺寸:电动大门，2.5m高,4.8长,有防攀装置，最终样式由建设单位确定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2.表面网孔大小同飞行区围界要求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3.其他:综合单价包含防攀爬锯齿、安装电动装置、五金配件、满足安防要求的密集屏风网等，其他满足设计图纸、施工规范及招标文件要求。</w:t>
            </w:r>
          </w:p>
        </w:tc>
        <w:tc>
          <w:tcPr>
            <w:tcW w:w="386" w:type="pct"/>
            <w:shd w:val="clear" w:color="FFFFFF" w:fill="FFFFFF"/>
            <w:vAlign w:val="center"/>
          </w:tcPr>
          <w:p w14:paraId="7E4BE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301" w:type="pct"/>
            <w:shd w:val="clear" w:color="FFFFFF" w:fill="FFFFFF"/>
            <w:vAlign w:val="center"/>
          </w:tcPr>
          <w:p w14:paraId="47AEA9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r>
      <w:tr w14:paraId="4648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0D0E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54" w:type="pct"/>
            <w:shd w:val="clear" w:color="FFFFFF" w:fill="FFFFFF"/>
            <w:vAlign w:val="center"/>
          </w:tcPr>
          <w:p w14:paraId="101B3B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道口-总图</w:t>
            </w:r>
          </w:p>
        </w:tc>
        <w:tc>
          <w:tcPr>
            <w:tcW w:w="529" w:type="pct"/>
            <w:shd w:val="clear" w:color="FFFFFF" w:fill="FFFFFF"/>
            <w:vAlign w:val="center"/>
          </w:tcPr>
          <w:p w14:paraId="4F0EE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304不锈钢成品门岗</w:t>
            </w:r>
          </w:p>
        </w:tc>
        <w:tc>
          <w:tcPr>
            <w:tcW w:w="2743" w:type="pct"/>
            <w:shd w:val="clear" w:color="FFFFFF" w:fill="FFFFFF"/>
            <w:vAlign w:val="center"/>
          </w:tcPr>
          <w:p w14:paraId="2DCA9B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1.隔断材料品种、规格:不锈钢成品门岗3700X1500X2800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2.其他:综合单价包含一体化采购，内设分体空调、安装费用，其他要求满足设计图纸、施工规范及招标文件要求</w:t>
            </w:r>
          </w:p>
        </w:tc>
        <w:tc>
          <w:tcPr>
            <w:tcW w:w="386" w:type="pct"/>
            <w:shd w:val="clear" w:color="FFFFFF" w:fill="FFFFFF"/>
            <w:vAlign w:val="center"/>
          </w:tcPr>
          <w:p w14:paraId="71F96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301" w:type="pct"/>
            <w:shd w:val="clear" w:color="FFFFFF" w:fill="FFFFFF"/>
            <w:vAlign w:val="center"/>
          </w:tcPr>
          <w:p w14:paraId="106F18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221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CD34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654" w:type="pct"/>
            <w:shd w:val="clear" w:color="FFFFFF" w:fill="FFFFFF"/>
            <w:vAlign w:val="center"/>
          </w:tcPr>
          <w:p w14:paraId="703B1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道口-总图</w:t>
            </w:r>
          </w:p>
        </w:tc>
        <w:tc>
          <w:tcPr>
            <w:tcW w:w="529" w:type="pct"/>
            <w:shd w:val="clear" w:color="FFFFFF" w:fill="FFFFFF"/>
            <w:vAlign w:val="center"/>
          </w:tcPr>
          <w:p w14:paraId="0A620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单通道旋转门</w:t>
            </w:r>
          </w:p>
        </w:tc>
        <w:tc>
          <w:tcPr>
            <w:tcW w:w="2743" w:type="pct"/>
            <w:shd w:val="clear" w:color="FFFFFF" w:fill="FFFFFF"/>
            <w:vAlign w:val="center"/>
          </w:tcPr>
          <w:p w14:paraId="3A32DD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1.旋转单向门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2.尺寸:具体参见15J001第88页，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3.其他:满足设计图纸、施工规范及招标文件要求</w:t>
            </w:r>
          </w:p>
        </w:tc>
        <w:tc>
          <w:tcPr>
            <w:tcW w:w="386" w:type="pct"/>
            <w:shd w:val="clear" w:color="FFFFFF" w:fill="FFFFFF"/>
            <w:vAlign w:val="center"/>
          </w:tcPr>
          <w:p w14:paraId="56A37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301" w:type="pct"/>
            <w:shd w:val="clear" w:color="FFFFFF" w:fill="FFFFFF"/>
            <w:vAlign w:val="center"/>
          </w:tcPr>
          <w:p w14:paraId="34B445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C27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4E46B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654" w:type="pct"/>
            <w:shd w:val="clear" w:color="FFFFFF" w:fill="FFFFFF"/>
            <w:vAlign w:val="center"/>
          </w:tcPr>
          <w:p w14:paraId="2D3E4E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道口-总图</w:t>
            </w:r>
          </w:p>
        </w:tc>
        <w:tc>
          <w:tcPr>
            <w:tcW w:w="529" w:type="pct"/>
            <w:shd w:val="clear" w:color="FFFFFF" w:fill="FFFFFF"/>
            <w:vAlign w:val="center"/>
          </w:tcPr>
          <w:p w14:paraId="671DA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配套设施</w:t>
            </w:r>
          </w:p>
        </w:tc>
        <w:tc>
          <w:tcPr>
            <w:tcW w:w="2743" w:type="pct"/>
            <w:shd w:val="clear" w:color="FFFFFF" w:fill="FFFFFF"/>
            <w:vAlign w:val="center"/>
          </w:tcPr>
          <w:p w14:paraId="08B88F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1.金属面夹芯板选用21J925-2第6-6页第一种，版型JXW-RW-333-1000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2.卷材品种、规格、厚度:1.2mm厚热塑性聚烯烃(TPO)防水卷材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3.其他:综合单价不包含压型钢板底板（于土建工程中单独列项），其他要求参国标图集21J925-2第1-13页屋2。</w:t>
            </w:r>
          </w:p>
        </w:tc>
        <w:tc>
          <w:tcPr>
            <w:tcW w:w="386" w:type="pct"/>
            <w:shd w:val="clear" w:color="FFFFFF" w:fill="FFFFFF"/>
            <w:vAlign w:val="center"/>
          </w:tcPr>
          <w:p w14:paraId="6CD51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301" w:type="pct"/>
            <w:shd w:val="clear" w:color="FFFFFF" w:fill="FFFFFF"/>
            <w:vAlign w:val="center"/>
          </w:tcPr>
          <w:p w14:paraId="56E2BC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201.66</w:t>
            </w:r>
          </w:p>
        </w:tc>
      </w:tr>
      <w:tr w14:paraId="50A0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32769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654" w:type="pct"/>
            <w:shd w:val="clear" w:color="FFFFFF" w:fill="FFFFFF"/>
            <w:vAlign w:val="center"/>
          </w:tcPr>
          <w:p w14:paraId="3CCD9C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道口-总图</w:t>
            </w:r>
          </w:p>
        </w:tc>
        <w:tc>
          <w:tcPr>
            <w:tcW w:w="529" w:type="pct"/>
            <w:shd w:val="clear" w:color="FFFFFF" w:fill="FFFFFF"/>
            <w:vAlign w:val="center"/>
          </w:tcPr>
          <w:p w14:paraId="2CEBD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液体检测仪</w:t>
            </w:r>
          </w:p>
        </w:tc>
        <w:tc>
          <w:tcPr>
            <w:tcW w:w="2743" w:type="pct"/>
            <w:shd w:val="clear" w:color="FFFFFF" w:fill="FFFFFF"/>
            <w:vAlign w:val="center"/>
          </w:tcPr>
          <w:p w14:paraId="5B9A07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1.名称:液体检测仪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2.其他:满足设计图纸、施工规范及招标文件要求</w:t>
            </w:r>
          </w:p>
        </w:tc>
        <w:tc>
          <w:tcPr>
            <w:tcW w:w="386" w:type="pct"/>
            <w:shd w:val="clear" w:color="FFFFFF" w:fill="FFFFFF"/>
            <w:vAlign w:val="center"/>
          </w:tcPr>
          <w:p w14:paraId="6257F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198D64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204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63097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654" w:type="pct"/>
            <w:shd w:val="clear" w:color="FFFFFF" w:fill="FFFFFF"/>
            <w:vAlign w:val="center"/>
          </w:tcPr>
          <w:p w14:paraId="1EB14D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02FBF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探测主机</w:t>
            </w:r>
          </w:p>
        </w:tc>
        <w:tc>
          <w:tcPr>
            <w:tcW w:w="2743" w:type="pct"/>
            <w:shd w:val="clear" w:color="FFFFFF" w:fill="FFFFFF"/>
            <w:vAlign w:val="center"/>
          </w:tcPr>
          <w:p w14:paraId="71CFA5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1.名称：处理单元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2.含支架等固定需要的切辅材</w:t>
            </w:r>
          </w:p>
        </w:tc>
        <w:tc>
          <w:tcPr>
            <w:tcW w:w="386" w:type="pct"/>
            <w:shd w:val="clear" w:color="FFFFFF" w:fill="FFFFFF"/>
            <w:vAlign w:val="center"/>
          </w:tcPr>
          <w:p w14:paraId="0E724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DFF1D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709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43532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654" w:type="pct"/>
            <w:shd w:val="clear" w:color="FFFFFF" w:fill="FFFFFF"/>
            <w:vAlign w:val="center"/>
          </w:tcPr>
          <w:p w14:paraId="188879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029BE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终端器</w:t>
            </w:r>
          </w:p>
        </w:tc>
        <w:tc>
          <w:tcPr>
            <w:tcW w:w="2743" w:type="pct"/>
            <w:shd w:val="clear" w:color="FFFFFF" w:fill="FFFFFF"/>
            <w:vAlign w:val="center"/>
          </w:tcPr>
          <w:p w14:paraId="2DD64F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1.名称：终止单元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2.含支架等固定需要的切辅材</w:t>
            </w:r>
          </w:p>
        </w:tc>
        <w:tc>
          <w:tcPr>
            <w:tcW w:w="386" w:type="pct"/>
            <w:shd w:val="clear" w:color="FFFFFF" w:fill="FFFFFF"/>
            <w:vAlign w:val="center"/>
          </w:tcPr>
          <w:p w14:paraId="3FB49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4BBCD4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192B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4592B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654" w:type="pct"/>
            <w:shd w:val="clear" w:color="FFFFFF" w:fill="FFFFFF"/>
            <w:vAlign w:val="center"/>
          </w:tcPr>
          <w:p w14:paraId="754DAA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19DFC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IO控制器</w:t>
            </w:r>
          </w:p>
        </w:tc>
        <w:tc>
          <w:tcPr>
            <w:tcW w:w="2743" w:type="pct"/>
            <w:shd w:val="clear" w:color="FFFFFF" w:fill="FFFFFF"/>
            <w:vAlign w:val="center"/>
          </w:tcPr>
          <w:p w14:paraId="1F018B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1.名称：继电器模块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2.含支架等固定需要的切辅材</w:t>
            </w:r>
          </w:p>
        </w:tc>
        <w:tc>
          <w:tcPr>
            <w:tcW w:w="386" w:type="pct"/>
            <w:shd w:val="clear" w:color="FFFFFF" w:fill="FFFFFF"/>
            <w:vAlign w:val="center"/>
          </w:tcPr>
          <w:p w14:paraId="39801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CD942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C60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24280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654" w:type="pct"/>
            <w:shd w:val="clear" w:color="FFFFFF" w:fill="FFFFFF"/>
            <w:vAlign w:val="center"/>
          </w:tcPr>
          <w:p w14:paraId="0D1766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06901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振动电缆</w:t>
            </w:r>
          </w:p>
        </w:tc>
        <w:tc>
          <w:tcPr>
            <w:tcW w:w="2743" w:type="pct"/>
            <w:shd w:val="clear" w:color="FFFFFF" w:fill="FFFFFF"/>
            <w:vAlign w:val="center"/>
          </w:tcPr>
          <w:p w14:paraId="1E3743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1.名称：振动电缆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2.防紫外线扎带</w:t>
            </w:r>
          </w:p>
        </w:tc>
        <w:tc>
          <w:tcPr>
            <w:tcW w:w="386" w:type="pct"/>
            <w:shd w:val="clear" w:color="FFFFFF" w:fill="FFFFFF"/>
            <w:vAlign w:val="center"/>
          </w:tcPr>
          <w:p w14:paraId="44EF3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BF6C8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452D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41750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654" w:type="pct"/>
            <w:shd w:val="clear" w:color="FFFFFF" w:fill="FFFFFF"/>
            <w:vAlign w:val="center"/>
          </w:tcPr>
          <w:p w14:paraId="2B775F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4FB4B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协议转换器</w:t>
            </w:r>
          </w:p>
        </w:tc>
        <w:tc>
          <w:tcPr>
            <w:tcW w:w="2743" w:type="pct"/>
            <w:shd w:val="clear" w:color="FFFFFF" w:fill="FFFFFF"/>
            <w:vAlign w:val="center"/>
          </w:tcPr>
          <w:p w14:paraId="4A0923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1.名称：串口服务器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2.规格：422转网</w:t>
            </w:r>
          </w:p>
        </w:tc>
        <w:tc>
          <w:tcPr>
            <w:tcW w:w="386" w:type="pct"/>
            <w:shd w:val="clear" w:color="FFFFFF" w:fill="FFFFFF"/>
            <w:vAlign w:val="center"/>
          </w:tcPr>
          <w:p w14:paraId="50B69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03B566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1307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84" w:type="pct"/>
            <w:shd w:val="clear" w:color="FFFFFF" w:fill="FFFFFF"/>
            <w:vAlign w:val="center"/>
          </w:tcPr>
          <w:p w14:paraId="0FA10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654" w:type="pct"/>
            <w:shd w:val="clear" w:color="FFFFFF" w:fill="FFFFFF"/>
            <w:vAlign w:val="center"/>
          </w:tcPr>
          <w:p w14:paraId="3FD943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14880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电源防雷器</w:t>
            </w:r>
          </w:p>
        </w:tc>
        <w:tc>
          <w:tcPr>
            <w:tcW w:w="2743" w:type="pct"/>
            <w:shd w:val="clear" w:color="FFFFFF" w:fill="FFFFFF"/>
            <w:vAlign w:val="center"/>
          </w:tcPr>
          <w:p w14:paraId="6B2CD5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1.名称:电源防雷模块</w:t>
            </w:r>
          </w:p>
        </w:tc>
        <w:tc>
          <w:tcPr>
            <w:tcW w:w="386" w:type="pct"/>
            <w:shd w:val="clear" w:color="FFFFFF" w:fill="FFFFFF"/>
            <w:vAlign w:val="center"/>
          </w:tcPr>
          <w:p w14:paraId="4D8B5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0BC0DC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CCC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84" w:type="pct"/>
            <w:shd w:val="clear" w:color="FFFFFF" w:fill="FFFFFF"/>
            <w:vAlign w:val="center"/>
          </w:tcPr>
          <w:p w14:paraId="220BA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654" w:type="pct"/>
            <w:shd w:val="clear" w:color="FFFFFF" w:fill="FFFFFF"/>
            <w:vAlign w:val="center"/>
          </w:tcPr>
          <w:p w14:paraId="7A2F5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0CEB7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信号防雷器</w:t>
            </w:r>
          </w:p>
        </w:tc>
        <w:tc>
          <w:tcPr>
            <w:tcW w:w="2743" w:type="pct"/>
            <w:shd w:val="clear" w:color="FFFFFF" w:fill="FFFFFF"/>
            <w:vAlign w:val="center"/>
          </w:tcPr>
          <w:p w14:paraId="6361DF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1.名称:通讯防雷模块</w:t>
            </w:r>
          </w:p>
        </w:tc>
        <w:tc>
          <w:tcPr>
            <w:tcW w:w="386" w:type="pct"/>
            <w:shd w:val="clear" w:color="FFFFFF" w:fill="FFFFFF"/>
            <w:vAlign w:val="center"/>
          </w:tcPr>
          <w:p w14:paraId="6D372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613BD7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169E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384" w:type="pct"/>
            <w:shd w:val="clear" w:color="FFFFFF" w:fill="FFFFFF"/>
            <w:vAlign w:val="center"/>
          </w:tcPr>
          <w:p w14:paraId="6B201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654" w:type="pct"/>
            <w:shd w:val="clear" w:color="FFFFFF" w:fill="FFFFFF"/>
            <w:vAlign w:val="center"/>
          </w:tcPr>
          <w:p w14:paraId="515B34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514A9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网络摄像机</w:t>
            </w:r>
          </w:p>
        </w:tc>
        <w:tc>
          <w:tcPr>
            <w:tcW w:w="2743" w:type="pct"/>
            <w:shd w:val="clear" w:color="FFFFFF" w:fill="FFFFFF"/>
            <w:vAlign w:val="center"/>
          </w:tcPr>
          <w:p w14:paraId="7E148F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1.名称:室外枪式摄像机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 400 万像素,星光级, 1/1.8 ” CMOS 传感器,满足照度彩色≤ 0.0005 lx ,黑白≤ 0.0001 lx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 H.265 、 MJPEG 视频编码格式,星光级支持 IP67 防尘防水,支持 DC12V/24V 供电,工作环境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 ℃ ~70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3C489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346880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0452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547B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654" w:type="pct"/>
            <w:shd w:val="clear" w:color="FFFFFF" w:fill="FFFFFF"/>
            <w:vAlign w:val="center"/>
          </w:tcPr>
          <w:p w14:paraId="64C4FE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1D4CF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网络摄像机</w:t>
            </w:r>
          </w:p>
        </w:tc>
        <w:tc>
          <w:tcPr>
            <w:tcW w:w="2743" w:type="pct"/>
            <w:shd w:val="clear" w:color="FFFFFF" w:fill="FFFFFF"/>
            <w:vAlign w:val="center"/>
          </w:tcPr>
          <w:p w14:paraId="3F46A9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1.名称:车牌摄录摄像机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2.规格、型号:适应车速: 0~60 公里 / 小时;支持日夜模式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0EFC7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F8AFB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83A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05452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654" w:type="pct"/>
            <w:shd w:val="clear" w:color="FFFFFF" w:fill="FFFFFF"/>
            <w:vAlign w:val="center"/>
          </w:tcPr>
          <w:p w14:paraId="3337FC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63A15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门禁控制器</w:t>
            </w:r>
          </w:p>
        </w:tc>
        <w:tc>
          <w:tcPr>
            <w:tcW w:w="2743" w:type="pct"/>
            <w:shd w:val="clear" w:color="FFFFFF" w:fill="FFFFFF"/>
            <w:vAlign w:val="center"/>
          </w:tcPr>
          <w:p w14:paraId="529BD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1.名称:单门控制器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2.规格、型号:32 位处理器,上行 TCP/IP 和 RS485 组网,下行 RS485 和 Wiegand 读卡器双通讯接口</w:t>
            </w:r>
          </w:p>
        </w:tc>
        <w:tc>
          <w:tcPr>
            <w:tcW w:w="386" w:type="pct"/>
            <w:shd w:val="clear" w:color="FFFFFF" w:fill="FFFFFF"/>
            <w:vAlign w:val="center"/>
          </w:tcPr>
          <w:p w14:paraId="6C8FC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6CA91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CC3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2C6A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654" w:type="pct"/>
            <w:shd w:val="clear" w:color="FFFFFF" w:fill="FFFFFF"/>
            <w:vAlign w:val="center"/>
          </w:tcPr>
          <w:p w14:paraId="062F8F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1873C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电源箱</w:t>
            </w:r>
          </w:p>
        </w:tc>
        <w:tc>
          <w:tcPr>
            <w:tcW w:w="2743" w:type="pct"/>
            <w:shd w:val="clear" w:color="FFFFFF" w:fill="FFFFFF"/>
            <w:vAlign w:val="center"/>
          </w:tcPr>
          <w:p w14:paraId="0124B4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1.名称：门禁控制器电源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2.规格、型号：网络门禁控制器机箱,含一个 220VAC/12VDC 变压器,以及一块满足 48 小时供电电池</w:t>
            </w:r>
          </w:p>
        </w:tc>
        <w:tc>
          <w:tcPr>
            <w:tcW w:w="386" w:type="pct"/>
            <w:shd w:val="clear" w:color="FFFFFF" w:fill="FFFFFF"/>
            <w:vAlign w:val="center"/>
          </w:tcPr>
          <w:p w14:paraId="5FADD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0E611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0691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33D03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654" w:type="pct"/>
            <w:shd w:val="clear" w:color="FFFFFF" w:fill="FFFFFF"/>
            <w:vAlign w:val="center"/>
          </w:tcPr>
          <w:p w14:paraId="65FBDF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60CC6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磁力锁</w:t>
            </w:r>
          </w:p>
        </w:tc>
        <w:tc>
          <w:tcPr>
            <w:tcW w:w="2743" w:type="pct"/>
            <w:shd w:val="clear" w:color="FFFFFF" w:fill="FFFFFF"/>
            <w:vAlign w:val="center"/>
          </w:tcPr>
          <w:p w14:paraId="077890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1.名称:单门磁力锁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2.规格：支持门状态检测、锁状态,锁的抗拉力≥ 280KG</w:t>
            </w:r>
          </w:p>
        </w:tc>
        <w:tc>
          <w:tcPr>
            <w:tcW w:w="386" w:type="pct"/>
            <w:shd w:val="clear" w:color="FFFFFF" w:fill="FFFFFF"/>
            <w:vAlign w:val="center"/>
          </w:tcPr>
          <w:p w14:paraId="70AC2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DE475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31B7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7EEEC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654" w:type="pct"/>
            <w:shd w:val="clear" w:color="FFFFFF" w:fill="FFFFFF"/>
            <w:vAlign w:val="center"/>
          </w:tcPr>
          <w:p w14:paraId="5A247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710AE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读卡器</w:t>
            </w:r>
          </w:p>
        </w:tc>
        <w:tc>
          <w:tcPr>
            <w:tcW w:w="2743" w:type="pct"/>
            <w:shd w:val="clear" w:color="FFFFFF" w:fill="FFFFFF"/>
            <w:vAlign w:val="center"/>
          </w:tcPr>
          <w:p w14:paraId="59EECF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1.名称:非接触式读卡器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2.规格、型号:密码 + 刷卡 / 生物识别,智能卡读卡器, 32 位, 86 盒外形尺寸，含底盒</w:t>
            </w:r>
          </w:p>
        </w:tc>
        <w:tc>
          <w:tcPr>
            <w:tcW w:w="386" w:type="pct"/>
            <w:shd w:val="clear" w:color="FFFFFF" w:fill="FFFFFF"/>
            <w:vAlign w:val="center"/>
          </w:tcPr>
          <w:p w14:paraId="1891A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4D9B24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11B8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565AC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654" w:type="pct"/>
            <w:shd w:val="clear" w:color="FFFFFF" w:fill="FFFFFF"/>
            <w:vAlign w:val="center"/>
          </w:tcPr>
          <w:p w14:paraId="6EE55C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7D5F6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出门按钮</w:t>
            </w:r>
          </w:p>
        </w:tc>
        <w:tc>
          <w:tcPr>
            <w:tcW w:w="2743" w:type="pct"/>
            <w:shd w:val="clear" w:color="FFFFFF" w:fill="FFFFFF"/>
            <w:vAlign w:val="center"/>
          </w:tcPr>
          <w:p w14:paraId="28F4DD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1.名称:出门按钮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2.规格：86 型，含底盒</w:t>
            </w:r>
          </w:p>
        </w:tc>
        <w:tc>
          <w:tcPr>
            <w:tcW w:w="386" w:type="pct"/>
            <w:shd w:val="clear" w:color="FFFFFF" w:fill="FFFFFF"/>
            <w:vAlign w:val="center"/>
          </w:tcPr>
          <w:p w14:paraId="53CCD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17EA9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7CD8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84" w:type="pct"/>
            <w:shd w:val="clear" w:color="FFFFFF" w:fill="FFFFFF"/>
            <w:vAlign w:val="center"/>
          </w:tcPr>
          <w:p w14:paraId="2F582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654" w:type="pct"/>
            <w:shd w:val="clear" w:color="FFFFFF" w:fill="FFFFFF"/>
            <w:vAlign w:val="center"/>
          </w:tcPr>
          <w:p w14:paraId="5284B6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auto" w:fill="auto"/>
            <w:noWrap/>
            <w:vAlign w:val="center"/>
          </w:tcPr>
          <w:p w14:paraId="622C7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信号防雷器</w:t>
            </w:r>
          </w:p>
        </w:tc>
        <w:tc>
          <w:tcPr>
            <w:tcW w:w="2743" w:type="pct"/>
            <w:shd w:val="clear" w:color="FFFFFF" w:fill="FFFFFF"/>
            <w:vAlign w:val="center"/>
          </w:tcPr>
          <w:p w14:paraId="5A4ACF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1.名称：二合一保护器</w:t>
            </w:r>
          </w:p>
        </w:tc>
        <w:tc>
          <w:tcPr>
            <w:tcW w:w="386" w:type="pct"/>
            <w:shd w:val="clear" w:color="FFFFFF" w:fill="FFFFFF"/>
            <w:vAlign w:val="center"/>
          </w:tcPr>
          <w:p w14:paraId="09C5D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1B1B09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685D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B22B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654" w:type="pct"/>
            <w:shd w:val="clear" w:color="FFFFFF" w:fill="FFFFFF"/>
            <w:vAlign w:val="center"/>
          </w:tcPr>
          <w:p w14:paraId="38241C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5DA64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4FFD22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1.名称:网线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2.规格、型号:4对六类非屏蔽双绞线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3348D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5CF48D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915</w:t>
            </w:r>
          </w:p>
        </w:tc>
      </w:tr>
      <w:tr w14:paraId="4763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58A20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54" w:type="pct"/>
            <w:shd w:val="clear" w:color="FFFFFF" w:fill="FFFFFF"/>
            <w:vAlign w:val="center"/>
          </w:tcPr>
          <w:p w14:paraId="45BD78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52B07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290138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2.规格:SC25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3.配置形式:综合考虑</w:t>
            </w:r>
          </w:p>
        </w:tc>
        <w:tc>
          <w:tcPr>
            <w:tcW w:w="386" w:type="pct"/>
            <w:shd w:val="clear" w:color="FFFFFF" w:fill="FFFFFF"/>
            <w:vAlign w:val="center"/>
          </w:tcPr>
          <w:p w14:paraId="76E72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1FAF34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14:paraId="5907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384" w:type="pct"/>
            <w:shd w:val="clear" w:color="FFFFFF" w:fill="FFFFFF"/>
            <w:vAlign w:val="center"/>
          </w:tcPr>
          <w:p w14:paraId="77B08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654" w:type="pct"/>
            <w:shd w:val="clear" w:color="FFFFFF" w:fill="FFFFFF"/>
            <w:vAlign w:val="center"/>
          </w:tcPr>
          <w:p w14:paraId="0FC6DA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4EAC1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2743" w:type="pct"/>
            <w:shd w:val="clear" w:color="FFFFFF" w:fill="FFFFFF"/>
            <w:vAlign w:val="center"/>
          </w:tcPr>
          <w:p w14:paraId="263262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1.名称：管理型二级工业交换机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2.设备基本参数：至少 4 个上行 1GE/10GE SFP+ 接口,不少于 8 个千兆电口,含 2 个光模块;提供端口保护,过温保护;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外壳:金属, IP41 防护等级;工作温度: -40 ℃ ~65 ℃ ;工作湿度: 10%~90% ( 无凝露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3.含光模块，详见招标文件技术标准及要求</w:t>
            </w:r>
          </w:p>
        </w:tc>
        <w:tc>
          <w:tcPr>
            <w:tcW w:w="386" w:type="pct"/>
            <w:shd w:val="clear" w:color="FFFFFF" w:fill="FFFFFF"/>
            <w:vAlign w:val="center"/>
          </w:tcPr>
          <w:p w14:paraId="4A73E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09A07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75B5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9BB1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654" w:type="pct"/>
            <w:shd w:val="clear" w:color="FFFFFF" w:fill="FFFFFF"/>
            <w:vAlign w:val="center"/>
          </w:tcPr>
          <w:p w14:paraId="7F80D5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071DE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743" w:type="pct"/>
            <w:shd w:val="clear" w:color="FFFFFF" w:fill="FFFFFF"/>
            <w:vAlign w:val="center"/>
          </w:tcPr>
          <w:p w14:paraId="2FB50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1.名称：室外弱电箱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2.规格、型号：1000(H)x800(W)x600(D) ≥ IP65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3.含基础</w:t>
            </w:r>
          </w:p>
        </w:tc>
        <w:tc>
          <w:tcPr>
            <w:tcW w:w="386" w:type="pct"/>
            <w:shd w:val="clear" w:color="FFFFFF" w:fill="FFFFFF"/>
            <w:vAlign w:val="center"/>
          </w:tcPr>
          <w:p w14:paraId="507A2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288F74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13AD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7781D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654" w:type="pct"/>
            <w:shd w:val="clear" w:color="FFFFFF" w:fill="FFFFFF"/>
            <w:vAlign w:val="center"/>
          </w:tcPr>
          <w:p w14:paraId="7E3E3E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54419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配线架</w:t>
            </w:r>
          </w:p>
        </w:tc>
        <w:tc>
          <w:tcPr>
            <w:tcW w:w="2743" w:type="pct"/>
            <w:shd w:val="clear" w:color="FFFFFF" w:fill="FFFFFF"/>
            <w:vAlign w:val="center"/>
          </w:tcPr>
          <w:p w14:paraId="4DFD57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1.名称：光纤配线架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2.规格、型号：12 口，含配线模块、理线器、跳线</w:t>
            </w:r>
          </w:p>
        </w:tc>
        <w:tc>
          <w:tcPr>
            <w:tcW w:w="386" w:type="pct"/>
            <w:shd w:val="clear" w:color="FFFFFF" w:fill="FFFFFF"/>
            <w:vAlign w:val="center"/>
          </w:tcPr>
          <w:p w14:paraId="71E19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1BC62D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818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1B6F1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654" w:type="pct"/>
            <w:shd w:val="clear" w:color="FFFFFF" w:fill="FFFFFF"/>
            <w:vAlign w:val="center"/>
          </w:tcPr>
          <w:p w14:paraId="37B663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3C191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2743" w:type="pct"/>
            <w:shd w:val="clear" w:color="FFFFFF" w:fill="FFFFFF"/>
            <w:vAlign w:val="center"/>
          </w:tcPr>
          <w:p w14:paraId="65C438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1.名称：存储硬盘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2.规格、型号：10T</w:t>
            </w:r>
          </w:p>
        </w:tc>
        <w:tc>
          <w:tcPr>
            <w:tcW w:w="386" w:type="pct"/>
            <w:shd w:val="clear" w:color="FFFFFF" w:fill="FFFFFF"/>
            <w:vAlign w:val="center"/>
          </w:tcPr>
          <w:p w14:paraId="1BBDE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301" w:type="pct"/>
            <w:shd w:val="clear" w:color="FFFFFF" w:fill="FFFFFF"/>
            <w:vAlign w:val="center"/>
          </w:tcPr>
          <w:p w14:paraId="03C495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2A0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564F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654" w:type="pct"/>
            <w:shd w:val="clear" w:color="FFFFFF" w:fill="FFFFFF"/>
            <w:vAlign w:val="center"/>
          </w:tcPr>
          <w:p w14:paraId="702012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航管楼-弱电</w:t>
            </w:r>
          </w:p>
        </w:tc>
        <w:tc>
          <w:tcPr>
            <w:tcW w:w="529" w:type="pct"/>
            <w:shd w:val="clear" w:color="FFFFFF" w:fill="FFFFFF"/>
            <w:vAlign w:val="center"/>
          </w:tcPr>
          <w:p w14:paraId="499E6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光缆</w:t>
            </w:r>
          </w:p>
        </w:tc>
        <w:tc>
          <w:tcPr>
            <w:tcW w:w="2743" w:type="pct"/>
            <w:shd w:val="clear" w:color="FFFFFF" w:fill="FFFFFF"/>
            <w:vAlign w:val="center"/>
          </w:tcPr>
          <w:p w14:paraId="36A2E0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1.名称：室外光纤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2.规格：12 芯，含光纤熔接及测试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57850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A2765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4578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384" w:type="pct"/>
            <w:shd w:val="clear" w:color="FFFFFF" w:fill="FFFFFF"/>
            <w:vAlign w:val="center"/>
          </w:tcPr>
          <w:p w14:paraId="63A1A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654" w:type="pct"/>
            <w:shd w:val="clear" w:color="FFFFFF" w:fill="FFFFFF"/>
            <w:vAlign w:val="center"/>
          </w:tcPr>
          <w:p w14:paraId="6B3854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航管楼-总图</w:t>
            </w:r>
          </w:p>
        </w:tc>
        <w:tc>
          <w:tcPr>
            <w:tcW w:w="529" w:type="pct"/>
            <w:shd w:val="clear" w:color="FFFFFF" w:fill="FFFFFF"/>
            <w:vAlign w:val="center"/>
          </w:tcPr>
          <w:p w14:paraId="43BE5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机电液压一体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化升降柱</w:t>
            </w:r>
          </w:p>
        </w:tc>
        <w:tc>
          <w:tcPr>
            <w:tcW w:w="2743" w:type="pct"/>
            <w:shd w:val="clear" w:color="FFFFFF" w:fill="FFFFFF"/>
            <w:vAlign w:val="center"/>
          </w:tcPr>
          <w:p w14:paraId="4162DB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1.材料品种:自动升降桩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2.规格、型号:具体做法参见15J001第95页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3.有效反应时间不大于5秒,水平方向抗冲击能力不小于60吨,单位功率:1.0kw，含电气配电所需的设备及管线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4.其他:综合单价包含采购、安装费用，其他要求满足设计图纸、施工规范及招标文件要求</w:t>
            </w:r>
          </w:p>
        </w:tc>
        <w:tc>
          <w:tcPr>
            <w:tcW w:w="386" w:type="pct"/>
            <w:shd w:val="clear" w:color="FFFFFF" w:fill="FFFFFF"/>
            <w:vAlign w:val="center"/>
          </w:tcPr>
          <w:p w14:paraId="2AF4D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44216A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E03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84" w:type="pct"/>
            <w:shd w:val="clear" w:color="FFFFFF" w:fill="FFFFFF"/>
            <w:vAlign w:val="center"/>
          </w:tcPr>
          <w:p w14:paraId="79D43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654" w:type="pct"/>
            <w:shd w:val="clear" w:color="FFFFFF" w:fill="FFFFFF"/>
            <w:vAlign w:val="center"/>
          </w:tcPr>
          <w:p w14:paraId="6910F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航管楼-总图</w:t>
            </w:r>
          </w:p>
        </w:tc>
        <w:tc>
          <w:tcPr>
            <w:tcW w:w="529" w:type="pct"/>
            <w:shd w:val="clear" w:color="FFFFFF" w:fill="FFFFFF"/>
            <w:vAlign w:val="center"/>
          </w:tcPr>
          <w:p w14:paraId="30CF8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电动锌钢平开门</w:t>
            </w:r>
          </w:p>
        </w:tc>
        <w:tc>
          <w:tcPr>
            <w:tcW w:w="2743" w:type="pct"/>
            <w:shd w:val="clear" w:color="FFFFFF" w:fill="FFFFFF"/>
            <w:vAlign w:val="center"/>
          </w:tcPr>
          <w:p w14:paraId="625DEE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1.门代号及洞口尺寸:电动门，DGM4825,2.5m高,4.8长,有防攀装置，最终样式由建设单位确定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2.表面网孔大小同飞行区围界要求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3.其他:综合单价包含防攀爬锯齿、安装电动装置、五金配件、满足安防要求的密集屏风网等，其他满足设计图纸、施工规范及招标文件要求。</w:t>
            </w:r>
          </w:p>
        </w:tc>
        <w:tc>
          <w:tcPr>
            <w:tcW w:w="386" w:type="pct"/>
            <w:shd w:val="clear" w:color="FFFFFF" w:fill="FFFFFF"/>
            <w:vAlign w:val="center"/>
          </w:tcPr>
          <w:p w14:paraId="1FF94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301" w:type="pct"/>
            <w:shd w:val="clear" w:color="FFFFFF" w:fill="FFFFFF"/>
            <w:vAlign w:val="center"/>
          </w:tcPr>
          <w:p w14:paraId="784634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1A27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84" w:type="pct"/>
            <w:shd w:val="clear" w:color="FFFFFF" w:fill="FFFFFF"/>
            <w:vAlign w:val="center"/>
          </w:tcPr>
          <w:p w14:paraId="69504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654" w:type="pct"/>
            <w:shd w:val="clear" w:color="FFFFFF" w:fill="FFFFFF"/>
            <w:vAlign w:val="center"/>
          </w:tcPr>
          <w:p w14:paraId="36A81B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航管楼-总图</w:t>
            </w:r>
          </w:p>
        </w:tc>
        <w:tc>
          <w:tcPr>
            <w:tcW w:w="529" w:type="pct"/>
            <w:shd w:val="clear" w:color="FFFFFF" w:fill="FFFFFF"/>
            <w:vAlign w:val="center"/>
          </w:tcPr>
          <w:p w14:paraId="1B827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电动锌钢平开门</w:t>
            </w:r>
          </w:p>
        </w:tc>
        <w:tc>
          <w:tcPr>
            <w:tcW w:w="2743" w:type="pct"/>
            <w:shd w:val="clear" w:color="FFFFFF" w:fill="FFFFFF"/>
            <w:vAlign w:val="center"/>
          </w:tcPr>
          <w:p w14:paraId="621DE8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1.门代号及洞口尺寸:电动门，DGM1225,2.5m高,4.8长,有防攀装置，最终样式由建设单位确定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2.表面网孔大小同飞行区围界要求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3.其他:综合单价包含防攀爬锯齿、安装电动装置、五金配件、满足安防要求的密集屏风网等，其他满足设计图纸、施工规范及招标文件要求。</w:t>
            </w:r>
          </w:p>
        </w:tc>
        <w:tc>
          <w:tcPr>
            <w:tcW w:w="386" w:type="pct"/>
            <w:shd w:val="clear" w:color="FFFFFF" w:fill="FFFFFF"/>
            <w:vAlign w:val="center"/>
          </w:tcPr>
          <w:p w14:paraId="28052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301" w:type="pct"/>
            <w:shd w:val="clear" w:color="FFFFFF" w:fill="FFFFFF"/>
            <w:vAlign w:val="center"/>
          </w:tcPr>
          <w:p w14:paraId="19749A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01FC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7885D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654" w:type="pct"/>
            <w:shd w:val="clear" w:color="FFFFFF" w:fill="FFFFFF"/>
            <w:vAlign w:val="center"/>
          </w:tcPr>
          <w:p w14:paraId="3F1A0D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auto" w:fill="auto"/>
            <w:noWrap/>
            <w:vAlign w:val="center"/>
          </w:tcPr>
          <w:p w14:paraId="7FC36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双孔信息插座</w:t>
            </w:r>
          </w:p>
        </w:tc>
        <w:tc>
          <w:tcPr>
            <w:tcW w:w="2743" w:type="pct"/>
            <w:shd w:val="clear" w:color="FFFFFF" w:fill="FFFFFF"/>
            <w:vAlign w:val="center"/>
          </w:tcPr>
          <w:p w14:paraId="4EF3D8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1.名称：双孔信息插座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2.规格、型号：RJ45 6 类非屏蔽，含模块及底盒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3.安装方式：墙面安装</w:t>
            </w:r>
          </w:p>
        </w:tc>
        <w:tc>
          <w:tcPr>
            <w:tcW w:w="386" w:type="pct"/>
            <w:shd w:val="clear" w:color="FFFFFF" w:fill="FFFFFF"/>
            <w:vAlign w:val="center"/>
          </w:tcPr>
          <w:p w14:paraId="1C786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3D230C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r>
      <w:tr w14:paraId="5029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48EB5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654" w:type="pct"/>
            <w:shd w:val="clear" w:color="FFFFFF" w:fill="FFFFFF"/>
            <w:vAlign w:val="center"/>
          </w:tcPr>
          <w:p w14:paraId="6DC178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91EF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0D9C68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2.规格：4对六类非屏蔽双绞线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3.线缆对数：4对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4.敷设方式：综合考虑</w:t>
            </w:r>
          </w:p>
        </w:tc>
        <w:tc>
          <w:tcPr>
            <w:tcW w:w="386" w:type="pct"/>
            <w:shd w:val="clear" w:color="FFFFFF" w:fill="FFFFFF"/>
            <w:vAlign w:val="center"/>
          </w:tcPr>
          <w:p w14:paraId="58B74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167297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8235</w:t>
            </w:r>
          </w:p>
        </w:tc>
      </w:tr>
      <w:tr w14:paraId="38F5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08FE1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654" w:type="pct"/>
            <w:shd w:val="clear" w:color="FFFFFF" w:fill="FFFFFF"/>
            <w:vAlign w:val="center"/>
          </w:tcPr>
          <w:p w14:paraId="6F6D51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2ABF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JDG金属穿线管</w:t>
            </w:r>
          </w:p>
        </w:tc>
        <w:tc>
          <w:tcPr>
            <w:tcW w:w="2743" w:type="pct"/>
            <w:shd w:val="clear" w:color="FFFFFF" w:fill="FFFFFF"/>
            <w:vAlign w:val="center"/>
          </w:tcPr>
          <w:p w14:paraId="7593AB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2.规格：镀锌钢管JDG25，详见招标文件技术标准及要求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5FA34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A3A6E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1140</w:t>
            </w:r>
          </w:p>
        </w:tc>
      </w:tr>
      <w:tr w14:paraId="44E9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C541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654" w:type="pct"/>
            <w:shd w:val="clear" w:color="FFFFFF" w:fill="FFFFFF"/>
            <w:vAlign w:val="center"/>
          </w:tcPr>
          <w:p w14:paraId="581F56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2E301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光缆</w:t>
            </w:r>
          </w:p>
        </w:tc>
        <w:tc>
          <w:tcPr>
            <w:tcW w:w="2743" w:type="pct"/>
            <w:shd w:val="clear" w:color="FFFFFF" w:fill="FFFFFF"/>
            <w:vAlign w:val="center"/>
          </w:tcPr>
          <w:p w14:paraId="730B28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2.规格：室内24芯松套单模单模 低烟无卤阻燃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36AED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708463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14:paraId="50E5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3D4AE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654" w:type="pct"/>
            <w:shd w:val="clear" w:color="FFFFFF" w:fill="FFFFFF"/>
            <w:vAlign w:val="center"/>
          </w:tcPr>
          <w:p w14:paraId="2BF705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5A0DC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2743" w:type="pct"/>
            <w:shd w:val="clear" w:color="FFFFFF" w:fill="FFFFFF"/>
            <w:vAlign w:val="center"/>
          </w:tcPr>
          <w:p w14:paraId="3081E7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1.名称：热镀锌桥架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2.规格、型号：200*150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3.含支吊架安装及防火封堵</w:t>
            </w:r>
          </w:p>
        </w:tc>
        <w:tc>
          <w:tcPr>
            <w:tcW w:w="386" w:type="pct"/>
            <w:shd w:val="clear" w:color="FFFFFF" w:fill="FFFFFF"/>
            <w:vAlign w:val="center"/>
          </w:tcPr>
          <w:p w14:paraId="6D5D7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1B24B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14:paraId="3973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062E8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654" w:type="pct"/>
            <w:shd w:val="clear" w:color="FFFFFF" w:fill="FFFFFF"/>
            <w:vAlign w:val="center"/>
          </w:tcPr>
          <w:p w14:paraId="2B3C0E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auto" w:fill="auto"/>
            <w:noWrap/>
            <w:vAlign w:val="center"/>
          </w:tcPr>
          <w:p w14:paraId="674AB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同轴电缆</w:t>
            </w:r>
          </w:p>
        </w:tc>
        <w:tc>
          <w:tcPr>
            <w:tcW w:w="2743" w:type="pct"/>
            <w:shd w:val="clear" w:color="FFFFFF" w:fill="FFFFFF"/>
            <w:vAlign w:val="center"/>
          </w:tcPr>
          <w:p w14:paraId="11B712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1.名称：大对数电缆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2.规格、型号：30 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4FC09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3BAC65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14:paraId="1EC6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84" w:type="pct"/>
            <w:shd w:val="clear" w:color="FFFFFF" w:fill="FFFFFF"/>
            <w:vAlign w:val="center"/>
          </w:tcPr>
          <w:p w14:paraId="7B68E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654" w:type="pct"/>
            <w:shd w:val="clear" w:color="FFFFFF" w:fill="FFFFFF"/>
            <w:vAlign w:val="center"/>
          </w:tcPr>
          <w:p w14:paraId="3C79ED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66AF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配线架</w:t>
            </w:r>
          </w:p>
        </w:tc>
        <w:tc>
          <w:tcPr>
            <w:tcW w:w="2743" w:type="pct"/>
            <w:shd w:val="clear" w:color="FFFFFF" w:fill="FFFFFF"/>
            <w:vAlign w:val="center"/>
          </w:tcPr>
          <w:p w14:paraId="47C4A9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1.名称：110 配线架</w:t>
            </w:r>
          </w:p>
        </w:tc>
        <w:tc>
          <w:tcPr>
            <w:tcW w:w="386" w:type="pct"/>
            <w:shd w:val="clear" w:color="FFFFFF" w:fill="FFFFFF"/>
            <w:vAlign w:val="center"/>
          </w:tcPr>
          <w:p w14:paraId="44911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18088A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2BEA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6720F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654" w:type="pct"/>
            <w:shd w:val="clear" w:color="FFFFFF" w:fill="FFFFFF"/>
            <w:vAlign w:val="center"/>
          </w:tcPr>
          <w:p w14:paraId="734001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B47F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配线架</w:t>
            </w:r>
          </w:p>
        </w:tc>
        <w:tc>
          <w:tcPr>
            <w:tcW w:w="2743" w:type="pct"/>
            <w:shd w:val="clear" w:color="FFFFFF" w:fill="FFFFFF"/>
            <w:vAlign w:val="center"/>
          </w:tcPr>
          <w:p w14:paraId="5B0066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1.名称：数据配线架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2.规格、型号：24 口，含配线模块、理线器</w:t>
            </w:r>
          </w:p>
        </w:tc>
        <w:tc>
          <w:tcPr>
            <w:tcW w:w="386" w:type="pct"/>
            <w:shd w:val="clear" w:color="FFFFFF" w:fill="FFFFFF"/>
            <w:vAlign w:val="center"/>
          </w:tcPr>
          <w:p w14:paraId="6A5B8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1EB595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14:paraId="6158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5F49E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654" w:type="pct"/>
            <w:shd w:val="clear" w:color="FFFFFF" w:fill="FFFFFF"/>
            <w:vAlign w:val="center"/>
          </w:tcPr>
          <w:p w14:paraId="5AAA73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2ADF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配线架</w:t>
            </w:r>
          </w:p>
        </w:tc>
        <w:tc>
          <w:tcPr>
            <w:tcW w:w="2743" w:type="pct"/>
            <w:shd w:val="clear" w:color="FFFFFF" w:fill="FFFFFF"/>
            <w:vAlign w:val="center"/>
          </w:tcPr>
          <w:p w14:paraId="730099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1.名称：光纤配线架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2.规格、型号：24 口，含耦合器、配线模块、理线器、光纤熔接</w:t>
            </w:r>
          </w:p>
        </w:tc>
        <w:tc>
          <w:tcPr>
            <w:tcW w:w="386" w:type="pct"/>
            <w:shd w:val="clear" w:color="FFFFFF" w:fill="FFFFFF"/>
            <w:vAlign w:val="center"/>
          </w:tcPr>
          <w:p w14:paraId="4DAAB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7C2A82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6A4B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7CC0F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654" w:type="pct"/>
            <w:shd w:val="clear" w:color="FFFFFF" w:fill="FFFFFF"/>
            <w:vAlign w:val="center"/>
          </w:tcPr>
          <w:p w14:paraId="239789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20552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双芯光纤跳线</w:t>
            </w:r>
          </w:p>
        </w:tc>
        <w:tc>
          <w:tcPr>
            <w:tcW w:w="2743" w:type="pct"/>
            <w:shd w:val="clear" w:color="FFFFFF" w:fill="FFFFFF"/>
            <w:vAlign w:val="center"/>
          </w:tcPr>
          <w:p w14:paraId="1BA1A2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1.名称：光纤尾纤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2.规格：LC 光纤耦合器 1m</w:t>
            </w:r>
          </w:p>
        </w:tc>
        <w:tc>
          <w:tcPr>
            <w:tcW w:w="386" w:type="pct"/>
            <w:shd w:val="clear" w:color="FFFFFF" w:fill="FFFFFF"/>
            <w:vAlign w:val="center"/>
          </w:tcPr>
          <w:p w14:paraId="12F4F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78361B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1BEF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20AD6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654" w:type="pct"/>
            <w:shd w:val="clear" w:color="FFFFFF" w:fill="FFFFFF"/>
            <w:vAlign w:val="center"/>
          </w:tcPr>
          <w:p w14:paraId="51747F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93E4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六类非屏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蔽跳线</w:t>
            </w:r>
          </w:p>
        </w:tc>
        <w:tc>
          <w:tcPr>
            <w:tcW w:w="2743" w:type="pct"/>
            <w:shd w:val="clear" w:color="FFFFFF" w:fill="FFFFFF"/>
            <w:vAlign w:val="center"/>
          </w:tcPr>
          <w:p w14:paraId="314D5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1.名称：数据跳线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2.规格：CAT6 RJ45 跳线 3m</w:t>
            </w:r>
          </w:p>
        </w:tc>
        <w:tc>
          <w:tcPr>
            <w:tcW w:w="386" w:type="pct"/>
            <w:shd w:val="clear" w:color="FFFFFF" w:fill="FFFFFF"/>
            <w:vAlign w:val="center"/>
          </w:tcPr>
          <w:p w14:paraId="2C16B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011EB9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14:paraId="5FA6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1D822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654" w:type="pct"/>
            <w:shd w:val="clear" w:color="FFFFFF" w:fill="FFFFFF"/>
            <w:vAlign w:val="center"/>
          </w:tcPr>
          <w:p w14:paraId="5E0748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13399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双芯光纤跳线</w:t>
            </w:r>
          </w:p>
        </w:tc>
        <w:tc>
          <w:tcPr>
            <w:tcW w:w="2743" w:type="pct"/>
            <w:shd w:val="clear" w:color="FFFFFF" w:fill="FFFFFF"/>
            <w:vAlign w:val="center"/>
          </w:tcPr>
          <w:p w14:paraId="3912D2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1.名称：光纤跳线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2.规格：LC 双芯单模万兆跳线 3m</w:t>
            </w:r>
          </w:p>
        </w:tc>
        <w:tc>
          <w:tcPr>
            <w:tcW w:w="386" w:type="pct"/>
            <w:shd w:val="clear" w:color="FFFFFF" w:fill="FFFFFF"/>
            <w:vAlign w:val="center"/>
          </w:tcPr>
          <w:p w14:paraId="39154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6C269DB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502E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384" w:type="pct"/>
            <w:shd w:val="clear" w:color="FFFFFF" w:fill="FFFFFF"/>
            <w:vAlign w:val="center"/>
          </w:tcPr>
          <w:p w14:paraId="03919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654" w:type="pct"/>
            <w:shd w:val="clear" w:color="FFFFFF" w:fill="FFFFFF"/>
            <w:vAlign w:val="center"/>
          </w:tcPr>
          <w:p w14:paraId="39B913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2CCE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2743" w:type="pct"/>
            <w:shd w:val="clear" w:color="FFFFFF" w:fill="FFFFFF"/>
            <w:vAlign w:val="center"/>
          </w:tcPr>
          <w:p w14:paraId="6A1A84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1.名称：接入交换机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2.设备基本参数：10G 光口：≥4个，1G 电口：≥24个，网管型，交换容量：交换容量≥670Gbps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包转发率：包转发率≥170Mpps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3.含光模块，详见招标文件技术标准及要求</w:t>
            </w:r>
          </w:p>
        </w:tc>
        <w:tc>
          <w:tcPr>
            <w:tcW w:w="386" w:type="pct"/>
            <w:shd w:val="clear" w:color="FFFFFF" w:fill="FFFFFF"/>
            <w:vAlign w:val="center"/>
          </w:tcPr>
          <w:p w14:paraId="58A49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9220E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14:paraId="3E44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C852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654" w:type="pct"/>
            <w:shd w:val="clear" w:color="FFFFFF" w:fill="FFFFFF"/>
            <w:vAlign w:val="center"/>
          </w:tcPr>
          <w:p w14:paraId="01EEC8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43093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743" w:type="pct"/>
            <w:shd w:val="clear" w:color="FFFFFF" w:fill="FFFFFF"/>
            <w:vAlign w:val="center"/>
          </w:tcPr>
          <w:p w14:paraId="21AC0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1.名称：机柜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2.规格：42U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3.基础形式：满足设计要求，含抗震支架</w:t>
            </w:r>
          </w:p>
        </w:tc>
        <w:tc>
          <w:tcPr>
            <w:tcW w:w="386" w:type="pct"/>
            <w:shd w:val="clear" w:color="FFFFFF" w:fill="FFFFFF"/>
            <w:vAlign w:val="center"/>
          </w:tcPr>
          <w:p w14:paraId="33D3B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95959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BBD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84" w:type="pct"/>
            <w:shd w:val="clear" w:color="FFFFFF" w:fill="FFFFFF"/>
            <w:vAlign w:val="center"/>
          </w:tcPr>
          <w:p w14:paraId="6F33C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654" w:type="pct"/>
            <w:shd w:val="clear" w:color="FFFFFF" w:fill="FFFFFF"/>
            <w:vAlign w:val="center"/>
          </w:tcPr>
          <w:p w14:paraId="1032F0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20747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网络摄像机</w:t>
            </w:r>
          </w:p>
        </w:tc>
        <w:tc>
          <w:tcPr>
            <w:tcW w:w="2743" w:type="pct"/>
            <w:shd w:val="clear" w:color="FFFFFF" w:fill="FFFFFF"/>
            <w:vAlign w:val="center"/>
          </w:tcPr>
          <w:p w14:paraId="60FAEC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1.名称:室内半球摄像机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 400 万像素;≥ 1/1.8' COMS ;≥ 10M/100M 自适应网口;宽动态范围:≥ 120dB ;支持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H.265 、 H.264 、 ONVIF 、 GB28181 、组播,支持 POE 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6390C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570A13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r>
      <w:tr w14:paraId="75EA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384" w:type="pct"/>
            <w:shd w:val="clear" w:color="FFFFFF" w:fill="FFFFFF"/>
            <w:vAlign w:val="center"/>
          </w:tcPr>
          <w:p w14:paraId="1B573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654" w:type="pct"/>
            <w:shd w:val="clear" w:color="FFFFFF" w:fill="FFFFFF"/>
            <w:vAlign w:val="center"/>
          </w:tcPr>
          <w:p w14:paraId="20DD3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auto" w:fill="auto"/>
            <w:noWrap/>
            <w:vAlign w:val="center"/>
          </w:tcPr>
          <w:p w14:paraId="6A7274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网络摄像机</w:t>
            </w:r>
          </w:p>
        </w:tc>
        <w:tc>
          <w:tcPr>
            <w:tcW w:w="2743" w:type="pct"/>
            <w:shd w:val="clear" w:color="FFFFFF" w:fill="FFFFFF"/>
            <w:vAlign w:val="center"/>
          </w:tcPr>
          <w:p w14:paraId="0C547F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1.名称:室内网络摄像机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 400 万像素;≥ 1/1.8' COMS ;≥ 10M/100M 自适应网口;宽动态范围:≥ 120dB ;支持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H.265 、 H.264 、 ONVIF 、 GB28181 、组播,支持 POE 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40C92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B6209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50A9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384" w:type="pct"/>
            <w:shd w:val="clear" w:color="FFFFFF" w:fill="FFFFFF"/>
            <w:vAlign w:val="center"/>
          </w:tcPr>
          <w:p w14:paraId="711D4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654" w:type="pct"/>
            <w:shd w:val="clear" w:color="FFFFFF" w:fill="FFFFFF"/>
            <w:vAlign w:val="center"/>
          </w:tcPr>
          <w:p w14:paraId="105B60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756D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拾音器</w:t>
            </w:r>
          </w:p>
        </w:tc>
        <w:tc>
          <w:tcPr>
            <w:tcW w:w="2743" w:type="pct"/>
            <w:shd w:val="clear" w:color="FFFFFF" w:fill="FFFFFF"/>
            <w:vAlign w:val="center"/>
          </w:tcPr>
          <w:p w14:paraId="241771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1.名称:拾音器</w:t>
            </w:r>
          </w:p>
        </w:tc>
        <w:tc>
          <w:tcPr>
            <w:tcW w:w="386" w:type="pct"/>
            <w:shd w:val="clear" w:color="FFFFFF" w:fill="FFFFFF"/>
            <w:vAlign w:val="center"/>
          </w:tcPr>
          <w:p w14:paraId="0F82A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27AE4C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171F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FF00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654" w:type="pct"/>
            <w:shd w:val="clear" w:color="FFFFFF" w:fill="FFFFFF"/>
            <w:vAlign w:val="center"/>
          </w:tcPr>
          <w:p w14:paraId="2E1D91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403EF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1783DE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1.名称:网线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2.规格、型号：4对六类非屏蔽双绞线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510CC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2E9AC4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1525</w:t>
            </w:r>
          </w:p>
        </w:tc>
      </w:tr>
      <w:tr w14:paraId="0377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0656D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654" w:type="pct"/>
            <w:shd w:val="clear" w:color="FFFFFF" w:fill="FFFFFF"/>
            <w:vAlign w:val="center"/>
          </w:tcPr>
          <w:p w14:paraId="107E7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9245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2DB9CA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2.规格:JDG25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3.配置形式:综合考虑</w:t>
            </w:r>
          </w:p>
        </w:tc>
        <w:tc>
          <w:tcPr>
            <w:tcW w:w="386" w:type="pct"/>
            <w:shd w:val="clear" w:color="FFFFFF" w:fill="FFFFFF"/>
            <w:vAlign w:val="center"/>
          </w:tcPr>
          <w:p w14:paraId="72D7B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331A11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2E36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132FD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654" w:type="pct"/>
            <w:shd w:val="clear" w:color="FFFFFF" w:fill="FFFFFF"/>
            <w:vAlign w:val="center"/>
          </w:tcPr>
          <w:p w14:paraId="0FE9B6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2358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配线架</w:t>
            </w:r>
          </w:p>
        </w:tc>
        <w:tc>
          <w:tcPr>
            <w:tcW w:w="2743" w:type="pct"/>
            <w:shd w:val="clear" w:color="FFFFFF" w:fill="FFFFFF"/>
            <w:vAlign w:val="center"/>
          </w:tcPr>
          <w:p w14:paraId="5F5678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1.名称：数据配线架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2.规格、型号：24 口，含配线模块、理线器</w:t>
            </w:r>
          </w:p>
        </w:tc>
        <w:tc>
          <w:tcPr>
            <w:tcW w:w="386" w:type="pct"/>
            <w:shd w:val="clear" w:color="FFFFFF" w:fill="FFFFFF"/>
            <w:vAlign w:val="center"/>
          </w:tcPr>
          <w:p w14:paraId="10BA3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52F4EF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684C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84" w:type="pct"/>
            <w:shd w:val="clear" w:color="FFFFFF" w:fill="FFFFFF"/>
            <w:vAlign w:val="center"/>
          </w:tcPr>
          <w:p w14:paraId="35AFC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654" w:type="pct"/>
            <w:shd w:val="clear" w:color="FFFFFF" w:fill="FFFFFF"/>
            <w:vAlign w:val="center"/>
          </w:tcPr>
          <w:p w14:paraId="1641A6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1A661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2743" w:type="pct"/>
            <w:shd w:val="clear" w:color="FFFFFF" w:fill="FFFFFF"/>
            <w:vAlign w:val="center"/>
          </w:tcPr>
          <w:p w14:paraId="48F4D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1.名称：接入交换机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2.设备基本参数：10G 光口：≥4个，1G 电口：≥24个，网管型，交换容量：交换容量≥670Gbps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包转发率：包转发率≥170Mpps,支持POE供电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3.含光模块，详见招标文件技术标准及要求</w:t>
            </w:r>
          </w:p>
        </w:tc>
        <w:tc>
          <w:tcPr>
            <w:tcW w:w="386" w:type="pct"/>
            <w:shd w:val="clear" w:color="FFFFFF" w:fill="FFFFFF"/>
            <w:vAlign w:val="center"/>
          </w:tcPr>
          <w:p w14:paraId="3C53B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94B8B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08F2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791C2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654" w:type="pct"/>
            <w:shd w:val="clear" w:color="FFFFFF" w:fill="FFFFFF"/>
            <w:vAlign w:val="center"/>
          </w:tcPr>
          <w:p w14:paraId="6D911F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E7D0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双芯光纤跳线</w:t>
            </w:r>
          </w:p>
        </w:tc>
        <w:tc>
          <w:tcPr>
            <w:tcW w:w="2743" w:type="pct"/>
            <w:shd w:val="clear" w:color="FFFFFF" w:fill="FFFFFF"/>
            <w:vAlign w:val="center"/>
          </w:tcPr>
          <w:p w14:paraId="22D35A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1.名称：光纤尾纤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2.规格：LC 光纤耦合器 1m</w:t>
            </w:r>
          </w:p>
        </w:tc>
        <w:tc>
          <w:tcPr>
            <w:tcW w:w="386" w:type="pct"/>
            <w:shd w:val="clear" w:color="FFFFFF" w:fill="FFFFFF"/>
            <w:vAlign w:val="center"/>
          </w:tcPr>
          <w:p w14:paraId="2B5DD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07EFFD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76B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5AA8B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654" w:type="pct"/>
            <w:shd w:val="clear" w:color="FFFFFF" w:fill="FFFFFF"/>
            <w:vAlign w:val="center"/>
          </w:tcPr>
          <w:p w14:paraId="544623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2BE2B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六类非屏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蔽跳线</w:t>
            </w:r>
          </w:p>
        </w:tc>
        <w:tc>
          <w:tcPr>
            <w:tcW w:w="2743" w:type="pct"/>
            <w:shd w:val="clear" w:color="FFFFFF" w:fill="FFFFFF"/>
            <w:vAlign w:val="center"/>
          </w:tcPr>
          <w:p w14:paraId="5285FF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1.名称：数据跳线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2.规格：CAT6 RJ45 跳线 3m</w:t>
            </w:r>
          </w:p>
        </w:tc>
        <w:tc>
          <w:tcPr>
            <w:tcW w:w="386" w:type="pct"/>
            <w:shd w:val="clear" w:color="FFFFFF" w:fill="FFFFFF"/>
            <w:vAlign w:val="center"/>
          </w:tcPr>
          <w:p w14:paraId="3858D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0B5CBB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544C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5265A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654" w:type="pct"/>
            <w:shd w:val="clear" w:color="FFFFFF" w:fill="FFFFFF"/>
            <w:vAlign w:val="center"/>
          </w:tcPr>
          <w:p w14:paraId="0A2F10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31EFA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双芯光纤跳线</w:t>
            </w:r>
          </w:p>
        </w:tc>
        <w:tc>
          <w:tcPr>
            <w:tcW w:w="2743" w:type="pct"/>
            <w:shd w:val="clear" w:color="FFFFFF" w:fill="FFFFFF"/>
            <w:vAlign w:val="center"/>
          </w:tcPr>
          <w:p w14:paraId="5A61EE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1.名称：光纤跳线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2.规格：LC 双芯单模万兆跳线 3m</w:t>
            </w:r>
          </w:p>
        </w:tc>
        <w:tc>
          <w:tcPr>
            <w:tcW w:w="386" w:type="pct"/>
            <w:shd w:val="clear" w:color="FFFFFF" w:fill="FFFFFF"/>
            <w:vAlign w:val="center"/>
          </w:tcPr>
          <w:p w14:paraId="42D1B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70CE9F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4E7A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10D3F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654" w:type="pct"/>
            <w:shd w:val="clear" w:color="FFFFFF" w:fill="FFFFFF"/>
            <w:vAlign w:val="center"/>
          </w:tcPr>
          <w:p w14:paraId="5E15F1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16B8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云存储系统</w:t>
            </w:r>
          </w:p>
        </w:tc>
        <w:tc>
          <w:tcPr>
            <w:tcW w:w="2743" w:type="pct"/>
            <w:shd w:val="clear" w:color="FFFFFF" w:fill="FFFFFF"/>
            <w:vAlign w:val="center"/>
          </w:tcPr>
          <w:p w14:paraId="2AD73D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1.名称：存储阵列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2.规格、型号：48 盘位</w:t>
            </w:r>
          </w:p>
        </w:tc>
        <w:tc>
          <w:tcPr>
            <w:tcW w:w="386" w:type="pct"/>
            <w:shd w:val="clear" w:color="FFFFFF" w:fill="FFFFFF"/>
            <w:vAlign w:val="center"/>
          </w:tcPr>
          <w:p w14:paraId="2523C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316F0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5AD3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1B9E6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654" w:type="pct"/>
            <w:shd w:val="clear" w:color="FFFFFF" w:fill="FFFFFF"/>
            <w:vAlign w:val="center"/>
          </w:tcPr>
          <w:p w14:paraId="637BB7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4746B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2743" w:type="pct"/>
            <w:shd w:val="clear" w:color="FFFFFF" w:fill="FFFFFF"/>
            <w:vAlign w:val="center"/>
          </w:tcPr>
          <w:p w14:paraId="0C8692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1.名称：存储硬盘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2.规格、型号：10T</w:t>
            </w:r>
          </w:p>
        </w:tc>
        <w:tc>
          <w:tcPr>
            <w:tcW w:w="386" w:type="pct"/>
            <w:shd w:val="clear" w:color="FFFFFF" w:fill="FFFFFF"/>
            <w:vAlign w:val="center"/>
          </w:tcPr>
          <w:p w14:paraId="137AD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5C08CD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66E2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4981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54" w:type="pct"/>
            <w:shd w:val="clear" w:color="FFFFFF" w:fill="FFFFFF"/>
            <w:vAlign w:val="center"/>
          </w:tcPr>
          <w:p w14:paraId="2A1F53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auto" w:fill="auto"/>
            <w:noWrap/>
            <w:vAlign w:val="center"/>
          </w:tcPr>
          <w:p w14:paraId="17D9C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6W音箱</w:t>
            </w:r>
          </w:p>
        </w:tc>
        <w:tc>
          <w:tcPr>
            <w:tcW w:w="2743" w:type="pct"/>
            <w:shd w:val="clear" w:color="FFFFFF" w:fill="FFFFFF"/>
            <w:vAlign w:val="center"/>
          </w:tcPr>
          <w:p w14:paraId="5F6D2E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1.名称：吸顶扬声器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2.规格、型号：6W ,声压级:≥ 103db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3.安装方式：吸顶</w:t>
            </w:r>
          </w:p>
        </w:tc>
        <w:tc>
          <w:tcPr>
            <w:tcW w:w="386" w:type="pct"/>
            <w:shd w:val="clear" w:color="FFFFFF" w:fill="FFFFFF"/>
            <w:vAlign w:val="center"/>
          </w:tcPr>
          <w:p w14:paraId="17022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301" w:type="pct"/>
            <w:shd w:val="clear" w:color="FFFFFF" w:fill="FFFFFF"/>
            <w:vAlign w:val="center"/>
          </w:tcPr>
          <w:p w14:paraId="6C0018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03F8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2F2C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654" w:type="pct"/>
            <w:shd w:val="clear" w:color="FFFFFF" w:fill="FFFFFF"/>
            <w:vAlign w:val="center"/>
          </w:tcPr>
          <w:p w14:paraId="3814B0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40141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53EF25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2.规格：SC25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3.配置形式:综合考虑</w:t>
            </w:r>
          </w:p>
        </w:tc>
        <w:tc>
          <w:tcPr>
            <w:tcW w:w="386" w:type="pct"/>
            <w:shd w:val="clear" w:color="FFFFFF" w:fill="FFFFFF"/>
            <w:vAlign w:val="center"/>
          </w:tcPr>
          <w:p w14:paraId="1282C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187D16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14:paraId="5F91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7F492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654" w:type="pct"/>
            <w:shd w:val="clear" w:color="FFFFFF" w:fill="FFFFFF"/>
            <w:vAlign w:val="center"/>
          </w:tcPr>
          <w:p w14:paraId="53E192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auto" w:fill="auto"/>
            <w:noWrap/>
            <w:vAlign w:val="center"/>
          </w:tcPr>
          <w:p w14:paraId="0B2E3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功率放大器</w:t>
            </w:r>
          </w:p>
        </w:tc>
        <w:tc>
          <w:tcPr>
            <w:tcW w:w="2743" w:type="pct"/>
            <w:shd w:val="clear" w:color="FFFFFF" w:fill="FFFFFF"/>
            <w:vAlign w:val="center"/>
          </w:tcPr>
          <w:p w14:paraId="340505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1.名称：功率放大器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2.规格、型号：100W</w:t>
            </w:r>
          </w:p>
        </w:tc>
        <w:tc>
          <w:tcPr>
            <w:tcW w:w="386" w:type="pct"/>
            <w:shd w:val="clear" w:color="FFFFFF" w:fill="FFFFFF"/>
            <w:vAlign w:val="center"/>
          </w:tcPr>
          <w:p w14:paraId="317B5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10FB1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31E3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60BA2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654" w:type="pct"/>
            <w:shd w:val="clear" w:color="FFFFFF" w:fill="FFFFFF"/>
            <w:vAlign w:val="center"/>
          </w:tcPr>
          <w:p w14:paraId="493DB1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5418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2743" w:type="pct"/>
            <w:shd w:val="clear" w:color="FFFFFF" w:fill="FFFFFF"/>
            <w:vAlign w:val="center"/>
          </w:tcPr>
          <w:p w14:paraId="145D14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1.名称：备用电池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2.规格、型号：含自动充电功能，满足一小时供电</w:t>
            </w:r>
          </w:p>
        </w:tc>
        <w:tc>
          <w:tcPr>
            <w:tcW w:w="386" w:type="pct"/>
            <w:shd w:val="clear" w:color="FFFFFF" w:fill="FFFFFF"/>
            <w:vAlign w:val="center"/>
          </w:tcPr>
          <w:p w14:paraId="51E357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31FFA9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1A9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9C8D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654" w:type="pct"/>
            <w:shd w:val="clear" w:color="FFFFFF" w:fill="FFFFFF"/>
            <w:vAlign w:val="center"/>
          </w:tcPr>
          <w:p w14:paraId="65B3E2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3700F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门禁控制器</w:t>
            </w:r>
          </w:p>
        </w:tc>
        <w:tc>
          <w:tcPr>
            <w:tcW w:w="2743" w:type="pct"/>
            <w:shd w:val="clear" w:color="FFFFFF" w:fill="FFFFFF"/>
            <w:vAlign w:val="center"/>
          </w:tcPr>
          <w:p w14:paraId="5806A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1.名称:单门控制器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2.规格、型号:32 位处理器,上行 TCP/IP 和 RS485 组网,下行 RS485 和 Wiegand 读卡器双通讯接口</w:t>
            </w:r>
          </w:p>
        </w:tc>
        <w:tc>
          <w:tcPr>
            <w:tcW w:w="386" w:type="pct"/>
            <w:shd w:val="clear" w:color="FFFFFF" w:fill="FFFFFF"/>
            <w:vAlign w:val="center"/>
          </w:tcPr>
          <w:p w14:paraId="250E5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ADBE9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49D1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5962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54" w:type="pct"/>
            <w:shd w:val="clear" w:color="FFFFFF" w:fill="FFFFFF"/>
            <w:vAlign w:val="center"/>
          </w:tcPr>
          <w:p w14:paraId="451513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683AD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电源箱</w:t>
            </w:r>
          </w:p>
        </w:tc>
        <w:tc>
          <w:tcPr>
            <w:tcW w:w="2743" w:type="pct"/>
            <w:shd w:val="clear" w:color="FFFFFF" w:fill="FFFFFF"/>
            <w:vAlign w:val="center"/>
          </w:tcPr>
          <w:p w14:paraId="1E2EB4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1.名称：门禁控制器电源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2.规格、型号：网络门禁控制器机箱,含一个 220VAC/12VDC 变压器,以及一块满足 48 小时供电电池</w:t>
            </w:r>
          </w:p>
        </w:tc>
        <w:tc>
          <w:tcPr>
            <w:tcW w:w="386" w:type="pct"/>
            <w:shd w:val="clear" w:color="FFFFFF" w:fill="FFFFFF"/>
            <w:vAlign w:val="center"/>
          </w:tcPr>
          <w:p w14:paraId="632A5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CF781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1B34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253B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654" w:type="pct"/>
            <w:shd w:val="clear" w:color="FFFFFF" w:fill="FFFFFF"/>
            <w:vAlign w:val="center"/>
          </w:tcPr>
          <w:p w14:paraId="2A92A4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2FEF3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空勤证验证一体机（含软件及授权）</w:t>
            </w:r>
          </w:p>
        </w:tc>
        <w:tc>
          <w:tcPr>
            <w:tcW w:w="2743" w:type="pct"/>
            <w:shd w:val="clear" w:color="FFFFFF" w:fill="FFFFFF"/>
            <w:vAlign w:val="center"/>
          </w:tcPr>
          <w:p w14:paraId="712C15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1.名称：空勤人员验证终端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2.规格、型号：定制</w:t>
            </w:r>
          </w:p>
        </w:tc>
        <w:tc>
          <w:tcPr>
            <w:tcW w:w="386" w:type="pct"/>
            <w:shd w:val="clear" w:color="FFFFFF" w:fill="FFFFFF"/>
            <w:vAlign w:val="center"/>
          </w:tcPr>
          <w:p w14:paraId="4EF02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6C8C8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98D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6F480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654" w:type="pct"/>
            <w:shd w:val="clear" w:color="FFFFFF" w:fill="FFFFFF"/>
            <w:vAlign w:val="center"/>
          </w:tcPr>
          <w:p w14:paraId="4D4CE3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79490D7">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工作站</w:t>
            </w:r>
          </w:p>
        </w:tc>
        <w:tc>
          <w:tcPr>
            <w:tcW w:w="2743" w:type="pct"/>
            <w:shd w:val="clear" w:color="FFFFFF" w:fill="FFFFFF"/>
            <w:vAlign w:val="center"/>
          </w:tcPr>
          <w:p w14:paraId="79BBE7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1.名称：工作人员验证终端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2.规格、型号：定制,含人员比对图像、比对情况等</w:t>
            </w:r>
          </w:p>
        </w:tc>
        <w:tc>
          <w:tcPr>
            <w:tcW w:w="386" w:type="pct"/>
            <w:shd w:val="clear" w:color="FFFFFF" w:fill="FFFFFF"/>
            <w:vAlign w:val="center"/>
          </w:tcPr>
          <w:p w14:paraId="08CD0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6E49F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2A1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44750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654" w:type="pct"/>
            <w:shd w:val="clear" w:color="FFFFFF" w:fill="FFFFFF"/>
            <w:vAlign w:val="center"/>
          </w:tcPr>
          <w:p w14:paraId="5EC11A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362F1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磁力锁</w:t>
            </w:r>
          </w:p>
        </w:tc>
        <w:tc>
          <w:tcPr>
            <w:tcW w:w="2743" w:type="pct"/>
            <w:shd w:val="clear" w:color="FFFFFF" w:fill="FFFFFF"/>
            <w:vAlign w:val="center"/>
          </w:tcPr>
          <w:p w14:paraId="1E24C9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1.名称:单门磁力锁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2.规格：支持门状态检测、锁状态,锁的抗拉力≥ 280KG</w:t>
            </w:r>
          </w:p>
        </w:tc>
        <w:tc>
          <w:tcPr>
            <w:tcW w:w="386" w:type="pct"/>
            <w:shd w:val="clear" w:color="FFFFFF" w:fill="FFFFFF"/>
            <w:vAlign w:val="center"/>
          </w:tcPr>
          <w:p w14:paraId="76A5C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4758AE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2D7C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64F3E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654" w:type="pct"/>
            <w:shd w:val="clear" w:color="FFFFFF" w:fill="FFFFFF"/>
            <w:vAlign w:val="center"/>
          </w:tcPr>
          <w:p w14:paraId="3EB9AB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2756B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磁力锁</w:t>
            </w:r>
          </w:p>
        </w:tc>
        <w:tc>
          <w:tcPr>
            <w:tcW w:w="2743" w:type="pct"/>
            <w:shd w:val="clear" w:color="FFFFFF" w:fill="FFFFFF"/>
            <w:vAlign w:val="center"/>
          </w:tcPr>
          <w:p w14:paraId="5FFF15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1.名称:双门磁力锁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2.规格：支持门状态检测、锁状态,锁的抗拉力≥ 280KG</w:t>
            </w:r>
          </w:p>
        </w:tc>
        <w:tc>
          <w:tcPr>
            <w:tcW w:w="386" w:type="pct"/>
            <w:shd w:val="clear" w:color="FFFFFF" w:fill="FFFFFF"/>
            <w:vAlign w:val="center"/>
          </w:tcPr>
          <w:p w14:paraId="25052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73110B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0C1A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09F5C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654" w:type="pct"/>
            <w:shd w:val="clear" w:color="FFFFFF" w:fill="FFFFFF"/>
            <w:vAlign w:val="center"/>
          </w:tcPr>
          <w:p w14:paraId="51BCB4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9013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读卡器</w:t>
            </w:r>
          </w:p>
        </w:tc>
        <w:tc>
          <w:tcPr>
            <w:tcW w:w="2743" w:type="pct"/>
            <w:shd w:val="clear" w:color="FFFFFF" w:fill="FFFFFF"/>
            <w:vAlign w:val="center"/>
          </w:tcPr>
          <w:p w14:paraId="2AD67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1.名称:非接触式读卡器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2.规格、型号:密码 + 刷卡 / 生物识别,智能卡读卡器, 32 位, 86 盒外形尺寸，含底盒</w:t>
            </w:r>
          </w:p>
        </w:tc>
        <w:tc>
          <w:tcPr>
            <w:tcW w:w="386" w:type="pct"/>
            <w:shd w:val="clear" w:color="FFFFFF" w:fill="FFFFFF"/>
            <w:vAlign w:val="center"/>
          </w:tcPr>
          <w:p w14:paraId="1B1E9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FF60B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2C71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30D80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654" w:type="pct"/>
            <w:shd w:val="clear" w:color="FFFFFF" w:fill="FFFFFF"/>
            <w:vAlign w:val="center"/>
          </w:tcPr>
          <w:p w14:paraId="73E222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5ED70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出门按钮</w:t>
            </w:r>
          </w:p>
        </w:tc>
        <w:tc>
          <w:tcPr>
            <w:tcW w:w="2743" w:type="pct"/>
            <w:shd w:val="clear" w:color="FFFFFF" w:fill="FFFFFF"/>
            <w:vAlign w:val="center"/>
          </w:tcPr>
          <w:p w14:paraId="244C27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1.名称:出门按钮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2.规格：86 型，含底盒</w:t>
            </w:r>
          </w:p>
        </w:tc>
        <w:tc>
          <w:tcPr>
            <w:tcW w:w="386" w:type="pct"/>
            <w:shd w:val="clear" w:color="FFFFFF" w:fill="FFFFFF"/>
            <w:vAlign w:val="center"/>
          </w:tcPr>
          <w:p w14:paraId="4AD35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746C13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4362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84" w:type="pct"/>
            <w:shd w:val="clear" w:color="FFFFFF" w:fill="FFFFFF"/>
            <w:vAlign w:val="center"/>
          </w:tcPr>
          <w:p w14:paraId="5F036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654" w:type="pct"/>
            <w:shd w:val="clear" w:color="FFFFFF" w:fill="FFFFFF"/>
            <w:vAlign w:val="center"/>
          </w:tcPr>
          <w:p w14:paraId="2C7507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D59C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破玻按钮</w:t>
            </w:r>
          </w:p>
        </w:tc>
        <w:tc>
          <w:tcPr>
            <w:tcW w:w="2743" w:type="pct"/>
            <w:shd w:val="clear" w:color="FFFFFF" w:fill="FFFFFF"/>
            <w:vAlign w:val="center"/>
          </w:tcPr>
          <w:p w14:paraId="37A2D0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1.名称:破玻按钮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2.规格：86 型，钥匙面板，含底盒</w:t>
            </w:r>
          </w:p>
        </w:tc>
        <w:tc>
          <w:tcPr>
            <w:tcW w:w="386" w:type="pct"/>
            <w:shd w:val="clear" w:color="FFFFFF" w:fill="FFFFFF"/>
            <w:vAlign w:val="center"/>
          </w:tcPr>
          <w:p w14:paraId="57625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6274C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1C14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409B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654" w:type="pct"/>
            <w:shd w:val="clear" w:color="FFFFFF" w:fill="FFFFFF"/>
            <w:vAlign w:val="center"/>
          </w:tcPr>
          <w:p w14:paraId="1D00D6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4FAF1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0A66D2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2.规格：JDG25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3.配置形式:综合考虑</w:t>
            </w:r>
          </w:p>
        </w:tc>
        <w:tc>
          <w:tcPr>
            <w:tcW w:w="386" w:type="pct"/>
            <w:shd w:val="clear" w:color="FFFFFF" w:fill="FFFFFF"/>
            <w:vAlign w:val="center"/>
          </w:tcPr>
          <w:p w14:paraId="7E96C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755968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41BC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4E686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654" w:type="pct"/>
            <w:shd w:val="clear" w:color="FFFFFF" w:fill="FFFFFF"/>
            <w:vAlign w:val="center"/>
          </w:tcPr>
          <w:p w14:paraId="07C441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30AC1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防爆罐</w:t>
            </w:r>
          </w:p>
        </w:tc>
        <w:tc>
          <w:tcPr>
            <w:tcW w:w="2743" w:type="pct"/>
            <w:shd w:val="clear" w:color="FFFFFF" w:fill="FFFFFF"/>
            <w:vAlign w:val="center"/>
          </w:tcPr>
          <w:p w14:paraId="014325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1.名称:防爆罐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2.设备基本参数/指标或设备配置要求:详见招标文件技术要求</w:t>
            </w:r>
          </w:p>
        </w:tc>
        <w:tc>
          <w:tcPr>
            <w:tcW w:w="386" w:type="pct"/>
            <w:shd w:val="clear" w:color="FFFFFF" w:fill="FFFFFF"/>
            <w:vAlign w:val="center"/>
          </w:tcPr>
          <w:p w14:paraId="179F8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07B46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3A4F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84" w:type="pct"/>
            <w:shd w:val="clear" w:color="FFFFFF" w:fill="FFFFFF"/>
            <w:vAlign w:val="center"/>
          </w:tcPr>
          <w:p w14:paraId="4A213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654" w:type="pct"/>
            <w:shd w:val="clear" w:color="FFFFFF" w:fill="FFFFFF"/>
            <w:vAlign w:val="center"/>
          </w:tcPr>
          <w:p w14:paraId="1312BD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航站楼-弱电</w:t>
            </w:r>
          </w:p>
        </w:tc>
        <w:tc>
          <w:tcPr>
            <w:tcW w:w="529" w:type="pct"/>
            <w:shd w:val="clear" w:color="FFFFFF" w:fill="FFFFFF"/>
            <w:vAlign w:val="center"/>
          </w:tcPr>
          <w:p w14:paraId="7307D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爆炸物探测仪</w:t>
            </w:r>
          </w:p>
        </w:tc>
        <w:tc>
          <w:tcPr>
            <w:tcW w:w="2743" w:type="pct"/>
            <w:shd w:val="clear" w:color="FFFFFF" w:fill="FFFFFF"/>
            <w:vAlign w:val="center"/>
          </w:tcPr>
          <w:p w14:paraId="21B348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1.名称:爆炸物探测仪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2.设备基本参数/指标或设备配置要求:详见招标文件技术要求</w:t>
            </w:r>
          </w:p>
        </w:tc>
        <w:tc>
          <w:tcPr>
            <w:tcW w:w="386" w:type="pct"/>
            <w:shd w:val="clear" w:color="FFFFFF" w:fill="FFFFFF"/>
            <w:vAlign w:val="center"/>
          </w:tcPr>
          <w:p w14:paraId="037DA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2F67C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FB6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1F8EF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654" w:type="pct"/>
            <w:shd w:val="clear" w:color="FFFFFF" w:fill="FFFFFF"/>
            <w:vAlign w:val="center"/>
          </w:tcPr>
          <w:p w14:paraId="60776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24F72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2743" w:type="pct"/>
            <w:shd w:val="clear" w:color="FFFFFF" w:fill="FFFFFF"/>
            <w:vAlign w:val="center"/>
          </w:tcPr>
          <w:p w14:paraId="228FCF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1.名称:应用服务器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2.规格、型号:处理器:CPU(≥8核,主频≥2.4GHz)×2; 内存:32GB DDR4×2; 硬盘:2×600GB SAS硬盘;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2486E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29F05C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3AC6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1A58F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654" w:type="pct"/>
            <w:shd w:val="clear" w:color="FFFFFF" w:fill="FFFFFF"/>
            <w:vAlign w:val="center"/>
          </w:tcPr>
          <w:p w14:paraId="67EEE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6D3FB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2743" w:type="pct"/>
            <w:shd w:val="clear" w:color="FFFFFF" w:fill="FFFFFF"/>
            <w:vAlign w:val="center"/>
          </w:tcPr>
          <w:p w14:paraId="747207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1.名称:数据库服务器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2.规格、型号:处理器:CPU(≥8核,主频≥2.4GHz)×2; 内存:32GB DDR4×2; 硬盘:2×600GB SAS硬盘;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73BAA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603119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1075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55B6E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654" w:type="pct"/>
            <w:shd w:val="clear" w:color="FFFFFF" w:fill="FFFFFF"/>
            <w:vAlign w:val="center"/>
          </w:tcPr>
          <w:p w14:paraId="79193A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3F6A4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2743" w:type="pct"/>
            <w:shd w:val="clear" w:color="FFFFFF" w:fill="FFFFFF"/>
            <w:vAlign w:val="center"/>
          </w:tcPr>
          <w:p w14:paraId="4C6EA4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1.名称:分析服务器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2.规格、型号:处理器:CPU(≥12核,主频≥2.4GHz)×2; 内存:32GB DDR4×2; 硬盘:2×600GB SAS硬盘;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666E7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18CCA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057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07145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654" w:type="pct"/>
            <w:shd w:val="clear" w:color="FFFFFF" w:fill="FFFFFF"/>
            <w:vAlign w:val="center"/>
          </w:tcPr>
          <w:p w14:paraId="4E64DD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33A2E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2743" w:type="pct"/>
            <w:shd w:val="clear" w:color="FFFFFF" w:fill="FFFFFF"/>
            <w:vAlign w:val="center"/>
          </w:tcPr>
          <w:p w14:paraId="7899DD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1.名称:流媒体服务器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2.规格、型号:处理器:CPU(≥8核,主频≥2.4GHz)×2; 内存:32GB DDR4×2; 硬盘:2×600GB SAS硬盘;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71451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203D4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3CA6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3E892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654" w:type="pct"/>
            <w:shd w:val="clear" w:color="FFFFFF" w:fill="FFFFFF"/>
            <w:vAlign w:val="center"/>
          </w:tcPr>
          <w:p w14:paraId="1AE6E6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4C5F1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2743" w:type="pct"/>
            <w:shd w:val="clear" w:color="FFFFFF" w:fill="FFFFFF"/>
            <w:vAlign w:val="center"/>
          </w:tcPr>
          <w:p w14:paraId="5E649D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1.名称:地图服务器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2.规格、型号:处理器:CPU(≥8核,主频≥2.4GHz)×2; 内存:32GB DDR4×2; 硬盘:2×600GB SAS硬盘;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4897D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627759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E6E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7CC2D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654" w:type="pct"/>
            <w:shd w:val="clear" w:color="FFFFFF" w:fill="FFFFFF"/>
            <w:vAlign w:val="center"/>
          </w:tcPr>
          <w:p w14:paraId="1C8258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5F589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w:t>
            </w:r>
          </w:p>
        </w:tc>
        <w:tc>
          <w:tcPr>
            <w:tcW w:w="2743" w:type="pct"/>
            <w:shd w:val="clear" w:color="FFFFFF" w:fill="FFFFFF"/>
            <w:vAlign w:val="center"/>
          </w:tcPr>
          <w:p w14:paraId="7F51D5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1.名称:接口服务器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2.规格、型号:处理器:CPU(≥8核,主频≥2.4GHz)×2; 内存:32GB DDR4×2; 硬盘:2×600GB SAS硬盘;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5746B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6006A6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248D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77D38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654" w:type="pct"/>
            <w:shd w:val="clear" w:color="FFFFFF" w:fill="FFFFFF"/>
            <w:vAlign w:val="center"/>
          </w:tcPr>
          <w:p w14:paraId="3B5EEC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5347F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智联安全可视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化综合安保集成管理软件</w:t>
            </w:r>
          </w:p>
        </w:tc>
        <w:tc>
          <w:tcPr>
            <w:tcW w:w="2743" w:type="pct"/>
            <w:shd w:val="clear" w:color="FFFFFF" w:fill="FFFFFF"/>
            <w:vAlign w:val="center"/>
          </w:tcPr>
          <w:p w14:paraId="37754F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1.名称:应用软件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2.配置要求:含各系统接入授权、接口及开发，详见招标文件技术标准和要求</w:t>
            </w:r>
          </w:p>
        </w:tc>
        <w:tc>
          <w:tcPr>
            <w:tcW w:w="386" w:type="pct"/>
            <w:shd w:val="clear" w:color="FFFFFF" w:fill="FFFFFF"/>
            <w:vAlign w:val="center"/>
          </w:tcPr>
          <w:p w14:paraId="4F204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19F937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0DE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384" w:type="pct"/>
            <w:shd w:val="clear" w:color="FFFFFF" w:fill="FFFFFF"/>
            <w:vAlign w:val="center"/>
          </w:tcPr>
          <w:p w14:paraId="365B8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654" w:type="pct"/>
            <w:shd w:val="clear" w:color="FFFFFF" w:fill="FFFFFF"/>
            <w:vAlign w:val="center"/>
          </w:tcPr>
          <w:p w14:paraId="571639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5D776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核心交换机</w:t>
            </w:r>
          </w:p>
        </w:tc>
        <w:tc>
          <w:tcPr>
            <w:tcW w:w="2743" w:type="pct"/>
            <w:shd w:val="clear" w:color="FFFFFF" w:fill="FFFFFF"/>
            <w:vAlign w:val="center"/>
          </w:tcPr>
          <w:p w14:paraId="163E7C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1.名称:核心交换机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2.规格、型号:主控引擎插槽数量≥ 2 个,业务插槽数量≥ 3 个,所有板卡、电源模块支持热插拔。 8 个万兆光口、 48 个千兆光口、 48 个千兆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电口,含 8 个万兆光模块, 48 个千兆光模块。交换容量≥ 68.2Tbps ,包转发率≥ 51200Mpps 。支持冗余交流电源,配置双电源模块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3F0DC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51A1F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C0D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25E30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654" w:type="pct"/>
            <w:shd w:val="clear" w:color="FFFFFF" w:fill="FFFFFF"/>
            <w:vAlign w:val="center"/>
          </w:tcPr>
          <w:p w14:paraId="396F71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5EA74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2743" w:type="pct"/>
            <w:shd w:val="clear" w:color="FFFFFF" w:fill="FFFFFF"/>
            <w:vAlign w:val="center"/>
          </w:tcPr>
          <w:p w14:paraId="4F6006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1.名称:接入交换机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2.端口形式、数量:千兆电口≥ 24 ,千兆光口≥ 2 ,配置 2 个千兆单模光模块;交换容量≥ 670Gbps ,包转发率≥ 170Mpps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2635C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FD4A6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6E43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771A8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654" w:type="pct"/>
            <w:shd w:val="clear" w:color="FFFFFF" w:fill="FFFFFF"/>
            <w:vAlign w:val="center"/>
          </w:tcPr>
          <w:p w14:paraId="13043C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76F6A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w:t>
            </w:r>
          </w:p>
        </w:tc>
        <w:tc>
          <w:tcPr>
            <w:tcW w:w="2743" w:type="pct"/>
            <w:shd w:val="clear" w:color="FFFFFF" w:fill="FFFFFF"/>
            <w:vAlign w:val="center"/>
          </w:tcPr>
          <w:p w14:paraId="39ACAE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1.名称:PC工作站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2.规格、型号:I7 处理器,主频≥ 2.8GHz/16G 内存 /1T 硬盘 /27 寸液晶显示屏 / 操作系统，详见招标文件技术标准和要求</w:t>
            </w:r>
          </w:p>
        </w:tc>
        <w:tc>
          <w:tcPr>
            <w:tcW w:w="386" w:type="pct"/>
            <w:shd w:val="clear" w:color="FFFFFF" w:fill="FFFFFF"/>
            <w:vAlign w:val="center"/>
          </w:tcPr>
          <w:p w14:paraId="21A86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65BE0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47FE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8AA9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654" w:type="pct"/>
            <w:shd w:val="clear" w:color="FFFFFF" w:fill="FFFFFF"/>
            <w:vAlign w:val="center"/>
          </w:tcPr>
          <w:p w14:paraId="388A2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集成平台</w:t>
            </w:r>
          </w:p>
        </w:tc>
        <w:tc>
          <w:tcPr>
            <w:tcW w:w="529" w:type="pct"/>
            <w:shd w:val="clear" w:color="FFFFFF" w:fill="FFFFFF"/>
            <w:vAlign w:val="center"/>
          </w:tcPr>
          <w:p w14:paraId="1769F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0.88拼接屏</w:t>
            </w:r>
          </w:p>
        </w:tc>
        <w:tc>
          <w:tcPr>
            <w:tcW w:w="2743" w:type="pct"/>
            <w:shd w:val="clear" w:color="FFFFFF" w:fill="FFFFFF"/>
            <w:vAlign w:val="center"/>
          </w:tcPr>
          <w:p w14:paraId="0EBEB2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1.名称:监视墙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2.规格、型号:55寸、拼缝≤0.88、6*3布置,含安装支架、解码器等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14F6F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9AE0D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CEB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EE87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654" w:type="pct"/>
            <w:shd w:val="clear" w:color="FFFFFF" w:fill="FFFFFF"/>
            <w:vAlign w:val="center"/>
          </w:tcPr>
          <w:p w14:paraId="1C97F5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28BBC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w:t>
            </w:r>
          </w:p>
        </w:tc>
        <w:tc>
          <w:tcPr>
            <w:tcW w:w="2743" w:type="pct"/>
            <w:shd w:val="clear" w:color="FFFFFF" w:fill="FFFFFF"/>
            <w:vAlign w:val="center"/>
          </w:tcPr>
          <w:p w14:paraId="1486D3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1.名称:双电源切换柜GY1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2.规格:详见图纸，带AST开关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3.安装方式:挂墙安装</w:t>
            </w:r>
          </w:p>
        </w:tc>
        <w:tc>
          <w:tcPr>
            <w:tcW w:w="386" w:type="pct"/>
            <w:shd w:val="clear" w:color="FFFFFF" w:fill="FFFFFF"/>
            <w:vAlign w:val="center"/>
          </w:tcPr>
          <w:p w14:paraId="56EFB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39843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762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1A402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654" w:type="pct"/>
            <w:shd w:val="clear" w:color="FFFFFF" w:fill="FFFFFF"/>
            <w:vAlign w:val="center"/>
          </w:tcPr>
          <w:p w14:paraId="6E04F4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5B233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w:t>
            </w:r>
          </w:p>
        </w:tc>
        <w:tc>
          <w:tcPr>
            <w:tcW w:w="2743" w:type="pct"/>
            <w:shd w:val="clear" w:color="FFFFFF" w:fill="FFFFFF"/>
            <w:vAlign w:val="center"/>
          </w:tcPr>
          <w:p w14:paraId="44DB94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1.名称:配电箱GY2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2.规格:详见图纸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3.安装方式:挂墙安装</w:t>
            </w:r>
          </w:p>
        </w:tc>
        <w:tc>
          <w:tcPr>
            <w:tcW w:w="386" w:type="pct"/>
            <w:shd w:val="clear" w:color="FFFFFF" w:fill="FFFFFF"/>
            <w:vAlign w:val="center"/>
          </w:tcPr>
          <w:p w14:paraId="27F56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67347A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ADE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BDBB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654" w:type="pct"/>
            <w:shd w:val="clear" w:color="FFFFFF" w:fill="FFFFFF"/>
            <w:vAlign w:val="center"/>
          </w:tcPr>
          <w:p w14:paraId="64A127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6AD59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w:t>
            </w:r>
          </w:p>
        </w:tc>
        <w:tc>
          <w:tcPr>
            <w:tcW w:w="2743" w:type="pct"/>
            <w:shd w:val="clear" w:color="FFFFFF" w:fill="FFFFFF"/>
            <w:vAlign w:val="center"/>
          </w:tcPr>
          <w:p w14:paraId="7DC499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1.名称:配电箱GY3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2.规格:详见图纸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3.安装方式:挂墙安装</w:t>
            </w:r>
          </w:p>
        </w:tc>
        <w:tc>
          <w:tcPr>
            <w:tcW w:w="386" w:type="pct"/>
            <w:shd w:val="clear" w:color="FFFFFF" w:fill="FFFFFF"/>
            <w:vAlign w:val="center"/>
          </w:tcPr>
          <w:p w14:paraId="7399E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FE61E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E74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6824D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654" w:type="pct"/>
            <w:shd w:val="clear" w:color="FFFFFF" w:fill="FFFFFF"/>
            <w:vAlign w:val="center"/>
          </w:tcPr>
          <w:p w14:paraId="536B8D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4AF01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138C87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26EFE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BFBF2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5E5C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26C04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654" w:type="pct"/>
            <w:shd w:val="clear" w:color="FFFFFF" w:fill="FFFFFF"/>
            <w:vAlign w:val="center"/>
          </w:tcPr>
          <w:p w14:paraId="2C1C3A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60EB0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5A112C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53F3C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5F7C1B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4674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3C3BC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654" w:type="pct"/>
            <w:shd w:val="clear" w:color="FFFFFF" w:fill="FFFFFF"/>
            <w:vAlign w:val="center"/>
          </w:tcPr>
          <w:p w14:paraId="4F9EA0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7F7BC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3B691C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3.规格:SC32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04243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570E34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3892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7101C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654" w:type="pct"/>
            <w:shd w:val="clear" w:color="FFFFFF" w:fill="FFFFFF"/>
            <w:vAlign w:val="center"/>
          </w:tcPr>
          <w:p w14:paraId="593C12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0FD9A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7B29D3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1845F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4E17F8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6F71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20BA4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654" w:type="pct"/>
            <w:shd w:val="clear" w:color="FFFFFF" w:fill="FFFFFF"/>
            <w:vAlign w:val="center"/>
          </w:tcPr>
          <w:p w14:paraId="584502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全向信标测距仪更新-电气工程</w:t>
            </w:r>
          </w:p>
        </w:tc>
        <w:tc>
          <w:tcPr>
            <w:tcW w:w="529" w:type="pct"/>
            <w:shd w:val="clear" w:color="FFFFFF" w:fill="FFFFFF"/>
            <w:vAlign w:val="center"/>
          </w:tcPr>
          <w:p w14:paraId="32611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4D7C3C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w:t>
            </w:r>
          </w:p>
        </w:tc>
        <w:tc>
          <w:tcPr>
            <w:tcW w:w="386" w:type="pct"/>
            <w:shd w:val="clear" w:color="FFFFFF" w:fill="FFFFFF"/>
            <w:vAlign w:val="center"/>
          </w:tcPr>
          <w:p w14:paraId="41183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4ECADD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18A2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7125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654" w:type="pct"/>
            <w:shd w:val="clear" w:color="FFFFFF" w:fill="FFFFFF"/>
            <w:vAlign w:val="center"/>
          </w:tcPr>
          <w:p w14:paraId="762A6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666A6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2743" w:type="pct"/>
            <w:shd w:val="clear" w:color="FFFFFF" w:fill="FFFFFF"/>
            <w:vAlign w:val="center"/>
          </w:tcPr>
          <w:p w14:paraId="7A4233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1.名称：工艺桥架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2.规格：铜梯式,200×50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3.含支吊架制作安装及防火封堵</w:t>
            </w:r>
          </w:p>
        </w:tc>
        <w:tc>
          <w:tcPr>
            <w:tcW w:w="386" w:type="pct"/>
            <w:shd w:val="clear" w:color="FFFFFF" w:fill="FFFFFF"/>
            <w:vAlign w:val="center"/>
          </w:tcPr>
          <w:p w14:paraId="7C65C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768C1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7CEE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424E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654" w:type="pct"/>
            <w:shd w:val="clear" w:color="FFFFFF" w:fill="FFFFFF"/>
            <w:vAlign w:val="center"/>
          </w:tcPr>
          <w:p w14:paraId="214E58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6D9F9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2743" w:type="pct"/>
            <w:shd w:val="clear" w:color="FFFFFF" w:fill="FFFFFF"/>
            <w:vAlign w:val="center"/>
          </w:tcPr>
          <w:p w14:paraId="5961C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1.名称：供电桥架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2.规格：铜梯式,200×50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3.含支吊架制作安装及防火封堵</w:t>
            </w:r>
          </w:p>
        </w:tc>
        <w:tc>
          <w:tcPr>
            <w:tcW w:w="386" w:type="pct"/>
            <w:shd w:val="clear" w:color="FFFFFF" w:fill="FFFFFF"/>
            <w:vAlign w:val="center"/>
          </w:tcPr>
          <w:p w14:paraId="081E9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2786E7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3128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B61A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654" w:type="pct"/>
            <w:shd w:val="clear" w:color="FFFFFF" w:fill="FFFFFF"/>
            <w:vAlign w:val="center"/>
          </w:tcPr>
          <w:p w14:paraId="0C5EF1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13D74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2743" w:type="pct"/>
            <w:shd w:val="clear" w:color="FFFFFF" w:fill="FFFFFF"/>
            <w:vAlign w:val="center"/>
          </w:tcPr>
          <w:p w14:paraId="0C1479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1.名称：馈线桥架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2.规格：热镀锌,200×100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3.含支吊架制作安装及防火封堵</w:t>
            </w:r>
          </w:p>
        </w:tc>
        <w:tc>
          <w:tcPr>
            <w:tcW w:w="386" w:type="pct"/>
            <w:shd w:val="clear" w:color="FFFFFF" w:fill="FFFFFF"/>
            <w:vAlign w:val="center"/>
          </w:tcPr>
          <w:p w14:paraId="0B0D5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3A6D32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9AB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01D7E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654" w:type="pct"/>
            <w:shd w:val="clear" w:color="FFFFFF" w:fill="FFFFFF"/>
            <w:vAlign w:val="center"/>
          </w:tcPr>
          <w:p w14:paraId="4C4E0F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6FE06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1170C8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4.敷设方式：综合考虑</w:t>
            </w:r>
          </w:p>
        </w:tc>
        <w:tc>
          <w:tcPr>
            <w:tcW w:w="386" w:type="pct"/>
            <w:shd w:val="clear" w:color="FFFFFF" w:fill="FFFFFF"/>
            <w:vAlign w:val="center"/>
          </w:tcPr>
          <w:p w14:paraId="222C0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0766A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r>
      <w:tr w14:paraId="137D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5936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654" w:type="pct"/>
            <w:shd w:val="clear" w:color="FFFFFF" w:fill="FFFFFF"/>
            <w:vAlign w:val="center"/>
          </w:tcPr>
          <w:p w14:paraId="198177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30D50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w:t>
            </w:r>
          </w:p>
        </w:tc>
        <w:tc>
          <w:tcPr>
            <w:tcW w:w="2743" w:type="pct"/>
            <w:shd w:val="clear" w:color="FFFFFF" w:fill="FFFFFF"/>
            <w:vAlign w:val="center"/>
          </w:tcPr>
          <w:p w14:paraId="30DDE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1.名称:管理终端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2.设备基本参数：I7/16G/1T/2G/23液晶</w:t>
            </w:r>
          </w:p>
        </w:tc>
        <w:tc>
          <w:tcPr>
            <w:tcW w:w="386" w:type="pct"/>
            <w:shd w:val="clear" w:color="FFFFFF" w:fill="FFFFFF"/>
            <w:vAlign w:val="center"/>
          </w:tcPr>
          <w:p w14:paraId="4F082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EFEA5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248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E29D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654" w:type="pct"/>
            <w:shd w:val="clear" w:color="FFFFFF" w:fill="FFFFFF"/>
            <w:vAlign w:val="center"/>
          </w:tcPr>
          <w:p w14:paraId="2A33DF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5C19A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数据采集器</w:t>
            </w:r>
          </w:p>
        </w:tc>
        <w:tc>
          <w:tcPr>
            <w:tcW w:w="2743" w:type="pct"/>
            <w:shd w:val="clear" w:color="FFFFFF" w:fill="FFFFFF"/>
            <w:vAlign w:val="center"/>
          </w:tcPr>
          <w:p w14:paraId="4D990C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1.名称:数据采集器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2.规格、型号:≥8路DI，4路DO；≥8路串口，其中2路RS232,6路RS485；2路10/100M以太网口；</w:t>
            </w:r>
          </w:p>
        </w:tc>
        <w:tc>
          <w:tcPr>
            <w:tcW w:w="386" w:type="pct"/>
            <w:shd w:val="clear" w:color="FFFFFF" w:fill="FFFFFF"/>
            <w:vAlign w:val="center"/>
          </w:tcPr>
          <w:p w14:paraId="007F2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0C4DE4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051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B210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654" w:type="pct"/>
            <w:shd w:val="clear" w:color="FFFFFF" w:fill="FFFFFF"/>
            <w:vAlign w:val="center"/>
          </w:tcPr>
          <w:p w14:paraId="3770D7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57291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温湿度传感器</w:t>
            </w:r>
          </w:p>
        </w:tc>
        <w:tc>
          <w:tcPr>
            <w:tcW w:w="2743" w:type="pct"/>
            <w:shd w:val="clear" w:color="FFFFFF" w:fill="FFFFFF"/>
            <w:vAlign w:val="center"/>
          </w:tcPr>
          <w:p w14:paraId="5703C5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1.名称:温湿度传感器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2.规格、型号:精度：≤±3%RH；精度：≤±0.3℃</w:t>
            </w:r>
          </w:p>
        </w:tc>
        <w:tc>
          <w:tcPr>
            <w:tcW w:w="386" w:type="pct"/>
            <w:shd w:val="clear" w:color="FFFFFF" w:fill="FFFFFF"/>
            <w:vAlign w:val="center"/>
          </w:tcPr>
          <w:p w14:paraId="036FC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AE419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1CE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72A66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654" w:type="pct"/>
            <w:shd w:val="clear" w:color="FFFFFF" w:fill="FFFFFF"/>
            <w:vAlign w:val="center"/>
          </w:tcPr>
          <w:p w14:paraId="749FE0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51473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烟雾传感器</w:t>
            </w:r>
          </w:p>
        </w:tc>
        <w:tc>
          <w:tcPr>
            <w:tcW w:w="2743" w:type="pct"/>
            <w:shd w:val="clear" w:color="FFFFFF" w:fill="FFFFFF"/>
            <w:vAlign w:val="center"/>
          </w:tcPr>
          <w:p w14:paraId="2D8709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1.名称:烟雾传感器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2.规格、型号:报警浓度：0.65～15.5%FT</w:t>
            </w:r>
          </w:p>
        </w:tc>
        <w:tc>
          <w:tcPr>
            <w:tcW w:w="386" w:type="pct"/>
            <w:shd w:val="clear" w:color="FFFFFF" w:fill="FFFFFF"/>
            <w:vAlign w:val="center"/>
          </w:tcPr>
          <w:p w14:paraId="18203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5D1F1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DCE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43616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654" w:type="pct"/>
            <w:shd w:val="clear" w:color="FFFFFF" w:fill="FFFFFF"/>
            <w:vAlign w:val="center"/>
          </w:tcPr>
          <w:p w14:paraId="5880B7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6CD26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智能仪表探测器</w:t>
            </w:r>
          </w:p>
        </w:tc>
        <w:tc>
          <w:tcPr>
            <w:tcW w:w="2743" w:type="pct"/>
            <w:shd w:val="clear" w:color="FFFFFF" w:fill="FFFFFF"/>
            <w:vAlign w:val="center"/>
          </w:tcPr>
          <w:p w14:paraId="62AAF8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1.名称:智能仪表探测器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2.规格、型号:电压测量范围：3*220/380V；电压精度：0.2%</w:t>
            </w:r>
          </w:p>
        </w:tc>
        <w:tc>
          <w:tcPr>
            <w:tcW w:w="386" w:type="pct"/>
            <w:shd w:val="clear" w:color="FFFFFF" w:fill="FFFFFF"/>
            <w:vAlign w:val="center"/>
          </w:tcPr>
          <w:p w14:paraId="12F09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0D5DE0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1321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75B44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654" w:type="pct"/>
            <w:shd w:val="clear" w:color="FFFFFF" w:fill="FFFFFF"/>
            <w:vAlign w:val="center"/>
          </w:tcPr>
          <w:p w14:paraId="15078C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6313B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机房空调通讯器</w:t>
            </w:r>
          </w:p>
        </w:tc>
        <w:tc>
          <w:tcPr>
            <w:tcW w:w="2743" w:type="pct"/>
            <w:shd w:val="clear" w:color="FFFFFF" w:fill="FFFFFF"/>
            <w:vAlign w:val="center"/>
          </w:tcPr>
          <w:p w14:paraId="322DE1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1.名称:机房空调通讯器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2.规格、型号:载波频率：30KHz～50KHz可设定；空调运行状态：实时检测空调工作状态；测量范围 ：-20℃～70℃</w:t>
            </w:r>
          </w:p>
        </w:tc>
        <w:tc>
          <w:tcPr>
            <w:tcW w:w="386" w:type="pct"/>
            <w:shd w:val="clear" w:color="FFFFFF" w:fill="FFFFFF"/>
            <w:vAlign w:val="center"/>
          </w:tcPr>
          <w:p w14:paraId="5BD18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FE239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FA3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3A7E0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654" w:type="pct"/>
            <w:shd w:val="clear" w:color="FFFFFF" w:fill="FFFFFF"/>
            <w:vAlign w:val="center"/>
          </w:tcPr>
          <w:p w14:paraId="702FB5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6414F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JITON智能监控管理平台V7.0</w:t>
            </w:r>
          </w:p>
        </w:tc>
        <w:tc>
          <w:tcPr>
            <w:tcW w:w="2743" w:type="pct"/>
            <w:shd w:val="clear" w:color="FFFFFF" w:fill="FFFFFF"/>
            <w:vAlign w:val="center"/>
          </w:tcPr>
          <w:p w14:paraId="678BA8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1.名称:环境监控系统应用软件</w:t>
            </w:r>
          </w:p>
        </w:tc>
        <w:tc>
          <w:tcPr>
            <w:tcW w:w="386" w:type="pct"/>
            <w:shd w:val="clear" w:color="FFFFFF" w:fill="FFFFFF"/>
            <w:vAlign w:val="center"/>
          </w:tcPr>
          <w:p w14:paraId="672E2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0DCF6D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01A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1AB10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654" w:type="pct"/>
            <w:shd w:val="clear" w:color="FFFFFF" w:fill="FFFFFF"/>
            <w:vAlign w:val="center"/>
          </w:tcPr>
          <w:p w14:paraId="454F40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30FD0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w:t>
            </w:r>
          </w:p>
        </w:tc>
        <w:tc>
          <w:tcPr>
            <w:tcW w:w="2743" w:type="pct"/>
            <w:shd w:val="clear" w:color="FFFFFF" w:fill="FFFFFF"/>
            <w:vAlign w:val="center"/>
          </w:tcPr>
          <w:p w14:paraId="1637DF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1.名称：监控终端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2.设备基本参数：I7处理器，主频≥2.8GHz/16G内存/1T硬盘/27寸液晶显示屏/操作系统</w:t>
            </w:r>
          </w:p>
        </w:tc>
        <w:tc>
          <w:tcPr>
            <w:tcW w:w="386" w:type="pct"/>
            <w:shd w:val="clear" w:color="FFFFFF" w:fill="FFFFFF"/>
            <w:vAlign w:val="center"/>
          </w:tcPr>
          <w:p w14:paraId="406C9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4B32F2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36CC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EAA9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654" w:type="pct"/>
            <w:shd w:val="clear" w:color="FFFFFF" w:fill="FFFFFF"/>
            <w:vAlign w:val="center"/>
          </w:tcPr>
          <w:p w14:paraId="42BC70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7B139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网络球型摄像机</w:t>
            </w:r>
          </w:p>
        </w:tc>
        <w:tc>
          <w:tcPr>
            <w:tcW w:w="2743" w:type="pct"/>
            <w:shd w:val="clear" w:color="FFFFFF" w:fill="FFFFFF"/>
            <w:vAlign w:val="center"/>
          </w:tcPr>
          <w:p w14:paraId="0A4283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1.名称：室外云台摄像机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2.设备基本参数：400W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3.含电源、支架、保护罩等</w:t>
            </w:r>
          </w:p>
        </w:tc>
        <w:tc>
          <w:tcPr>
            <w:tcW w:w="386" w:type="pct"/>
            <w:shd w:val="clear" w:color="FFFFFF" w:fill="FFFFFF"/>
            <w:vAlign w:val="center"/>
          </w:tcPr>
          <w:p w14:paraId="66BCD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4FF8D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1044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3E06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654" w:type="pct"/>
            <w:shd w:val="clear" w:color="FFFFFF" w:fill="FFFFFF"/>
            <w:vAlign w:val="center"/>
          </w:tcPr>
          <w:p w14:paraId="23E567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0DF78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网络球型摄像机</w:t>
            </w:r>
          </w:p>
        </w:tc>
        <w:tc>
          <w:tcPr>
            <w:tcW w:w="2743" w:type="pct"/>
            <w:shd w:val="clear" w:color="FFFFFF" w:fill="FFFFFF"/>
            <w:vAlign w:val="center"/>
          </w:tcPr>
          <w:p w14:paraId="0B9F9C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1.名称：室内云台摄像机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2.设备基本参数：400W，详见招标文件技术要求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3.含电源、支架、保护罩等</w:t>
            </w:r>
          </w:p>
        </w:tc>
        <w:tc>
          <w:tcPr>
            <w:tcW w:w="386" w:type="pct"/>
            <w:shd w:val="clear" w:color="FFFFFF" w:fill="FFFFFF"/>
            <w:vAlign w:val="center"/>
          </w:tcPr>
          <w:p w14:paraId="33CCC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D49EA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66B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0A3E7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654" w:type="pct"/>
            <w:shd w:val="clear" w:color="FFFFFF" w:fill="FFFFFF"/>
            <w:vAlign w:val="center"/>
          </w:tcPr>
          <w:p w14:paraId="261345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4655E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信号防雷器</w:t>
            </w:r>
          </w:p>
        </w:tc>
        <w:tc>
          <w:tcPr>
            <w:tcW w:w="2743" w:type="pct"/>
            <w:shd w:val="clear" w:color="FFFFFF" w:fill="FFFFFF"/>
            <w:vAlign w:val="center"/>
          </w:tcPr>
          <w:p w14:paraId="42A437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1.名称：二合一防雷器</w:t>
            </w:r>
          </w:p>
        </w:tc>
        <w:tc>
          <w:tcPr>
            <w:tcW w:w="386" w:type="pct"/>
            <w:shd w:val="clear" w:color="FFFFFF" w:fill="FFFFFF"/>
            <w:vAlign w:val="center"/>
          </w:tcPr>
          <w:p w14:paraId="739B7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7878C8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51F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1244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654" w:type="pct"/>
            <w:shd w:val="clear" w:color="FFFFFF" w:fill="FFFFFF"/>
            <w:vAlign w:val="center"/>
          </w:tcPr>
          <w:p w14:paraId="7B9D76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37C54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743" w:type="pct"/>
            <w:shd w:val="clear" w:color="FFFFFF" w:fill="FFFFFF"/>
            <w:vAlign w:val="center"/>
          </w:tcPr>
          <w:p w14:paraId="57DD0B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1.名称：综合机柜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2.规格：42U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3.含型钢基础</w:t>
            </w:r>
          </w:p>
        </w:tc>
        <w:tc>
          <w:tcPr>
            <w:tcW w:w="386" w:type="pct"/>
            <w:shd w:val="clear" w:color="FFFFFF" w:fill="FFFFFF"/>
            <w:vAlign w:val="center"/>
          </w:tcPr>
          <w:p w14:paraId="522EF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4754CA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595B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36DF8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654" w:type="pct"/>
            <w:shd w:val="clear" w:color="FFFFFF" w:fill="FFFFFF"/>
            <w:vAlign w:val="center"/>
          </w:tcPr>
          <w:p w14:paraId="2D842A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0A388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770A89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1.名称：信号电缆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2.对数：4对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3.规格：六类非屏蔽双绞线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4.敷设方式：综合考虑</w:t>
            </w:r>
          </w:p>
        </w:tc>
        <w:tc>
          <w:tcPr>
            <w:tcW w:w="386" w:type="pct"/>
            <w:shd w:val="clear" w:color="FFFFFF" w:fill="FFFFFF"/>
            <w:vAlign w:val="center"/>
          </w:tcPr>
          <w:p w14:paraId="7C84C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7AC2A9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199C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774FB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654" w:type="pct"/>
            <w:shd w:val="clear" w:color="FFFFFF" w:fill="FFFFFF"/>
            <w:vAlign w:val="center"/>
          </w:tcPr>
          <w:p w14:paraId="0D7362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19993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JDG金属穿线管</w:t>
            </w:r>
          </w:p>
        </w:tc>
        <w:tc>
          <w:tcPr>
            <w:tcW w:w="2743" w:type="pct"/>
            <w:shd w:val="clear" w:color="FFFFFF" w:fill="FFFFFF"/>
            <w:vAlign w:val="center"/>
          </w:tcPr>
          <w:p w14:paraId="04EAD9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2.材质：JDG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4.敷设方式：综合考虑</w:t>
            </w:r>
          </w:p>
        </w:tc>
        <w:tc>
          <w:tcPr>
            <w:tcW w:w="386" w:type="pct"/>
            <w:shd w:val="clear" w:color="FFFFFF" w:fill="FFFFFF"/>
            <w:vAlign w:val="center"/>
          </w:tcPr>
          <w:p w14:paraId="08936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4E2FD8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r>
      <w:tr w14:paraId="036A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1524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654" w:type="pct"/>
            <w:shd w:val="clear" w:color="FFFFFF" w:fill="FFFFFF"/>
            <w:vAlign w:val="center"/>
          </w:tcPr>
          <w:p w14:paraId="3D9AFB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3B2E9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桌椅</w:t>
            </w:r>
          </w:p>
        </w:tc>
        <w:tc>
          <w:tcPr>
            <w:tcW w:w="2743" w:type="pct"/>
            <w:shd w:val="clear" w:color="FFFFFF" w:fill="FFFFFF"/>
            <w:vAlign w:val="center"/>
          </w:tcPr>
          <w:p w14:paraId="2B843C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1.名称：维修桌椅</w:t>
            </w:r>
          </w:p>
        </w:tc>
        <w:tc>
          <w:tcPr>
            <w:tcW w:w="386" w:type="pct"/>
            <w:shd w:val="clear" w:color="FFFFFF" w:fill="FFFFFF"/>
            <w:vAlign w:val="center"/>
          </w:tcPr>
          <w:p w14:paraId="40100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418746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13E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7695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654" w:type="pct"/>
            <w:shd w:val="clear" w:color="FFFFFF" w:fill="FFFFFF"/>
            <w:vAlign w:val="center"/>
          </w:tcPr>
          <w:p w14:paraId="156D31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37FCA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小推车</w:t>
            </w:r>
          </w:p>
        </w:tc>
        <w:tc>
          <w:tcPr>
            <w:tcW w:w="2743" w:type="pct"/>
            <w:shd w:val="clear" w:color="FFFFFF" w:fill="FFFFFF"/>
            <w:vAlign w:val="center"/>
          </w:tcPr>
          <w:p w14:paraId="69E900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1.名称：维修用小推车</w:t>
            </w:r>
          </w:p>
        </w:tc>
        <w:tc>
          <w:tcPr>
            <w:tcW w:w="386" w:type="pct"/>
            <w:shd w:val="clear" w:color="FFFFFF" w:fill="FFFFFF"/>
            <w:vAlign w:val="center"/>
          </w:tcPr>
          <w:p w14:paraId="0E8D4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301" w:type="pct"/>
            <w:shd w:val="clear" w:color="FFFFFF" w:fill="FFFFFF"/>
            <w:vAlign w:val="center"/>
          </w:tcPr>
          <w:p w14:paraId="0DDEDA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5CF3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723BD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654" w:type="pct"/>
            <w:shd w:val="clear" w:color="FFFFFF" w:fill="FFFFFF"/>
            <w:vAlign w:val="center"/>
          </w:tcPr>
          <w:p w14:paraId="2C3BFB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3F82A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电话机</w:t>
            </w:r>
          </w:p>
        </w:tc>
        <w:tc>
          <w:tcPr>
            <w:tcW w:w="2743" w:type="pct"/>
            <w:shd w:val="clear" w:color="FFFFFF" w:fill="FFFFFF"/>
            <w:vAlign w:val="center"/>
          </w:tcPr>
          <w:p w14:paraId="03049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1.名称：电话机</w:t>
            </w:r>
          </w:p>
        </w:tc>
        <w:tc>
          <w:tcPr>
            <w:tcW w:w="386" w:type="pct"/>
            <w:shd w:val="clear" w:color="FFFFFF" w:fill="FFFFFF"/>
            <w:vAlign w:val="center"/>
          </w:tcPr>
          <w:p w14:paraId="55571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w:t>
            </w:r>
          </w:p>
        </w:tc>
        <w:tc>
          <w:tcPr>
            <w:tcW w:w="301" w:type="pct"/>
            <w:shd w:val="clear" w:color="FFFFFF" w:fill="FFFFFF"/>
            <w:vAlign w:val="center"/>
          </w:tcPr>
          <w:p w14:paraId="182A0A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118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AB80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654" w:type="pct"/>
            <w:shd w:val="clear" w:color="FFFFFF" w:fill="FFFFFF"/>
            <w:vAlign w:val="center"/>
          </w:tcPr>
          <w:p w14:paraId="1621E9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206A6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资料柜</w:t>
            </w:r>
          </w:p>
        </w:tc>
        <w:tc>
          <w:tcPr>
            <w:tcW w:w="2743" w:type="pct"/>
            <w:shd w:val="clear" w:color="FFFFFF" w:fill="FFFFFF"/>
            <w:vAlign w:val="center"/>
          </w:tcPr>
          <w:p w14:paraId="534752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1.名称：资料柜</w:t>
            </w:r>
          </w:p>
        </w:tc>
        <w:tc>
          <w:tcPr>
            <w:tcW w:w="386" w:type="pct"/>
            <w:shd w:val="clear" w:color="FFFFFF" w:fill="FFFFFF"/>
            <w:vAlign w:val="center"/>
          </w:tcPr>
          <w:p w14:paraId="7C590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301" w:type="pct"/>
            <w:shd w:val="clear" w:color="FFFFFF" w:fill="FFFFFF"/>
            <w:vAlign w:val="center"/>
          </w:tcPr>
          <w:p w14:paraId="1813FC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040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5CF31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654" w:type="pct"/>
            <w:shd w:val="clear" w:color="FFFFFF" w:fill="FFFFFF"/>
            <w:vAlign w:val="center"/>
          </w:tcPr>
          <w:p w14:paraId="679A69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70C6C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示波器</w:t>
            </w:r>
          </w:p>
        </w:tc>
        <w:tc>
          <w:tcPr>
            <w:tcW w:w="2743" w:type="pct"/>
            <w:shd w:val="clear" w:color="FFFFFF" w:fill="FFFFFF"/>
            <w:vAlign w:val="center"/>
          </w:tcPr>
          <w:p w14:paraId="0BAC0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1.名称：测试仪表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2.包含内容：示波器</w:t>
            </w:r>
          </w:p>
        </w:tc>
        <w:tc>
          <w:tcPr>
            <w:tcW w:w="386" w:type="pct"/>
            <w:shd w:val="clear" w:color="FFFFFF" w:fill="FFFFFF"/>
            <w:vAlign w:val="center"/>
          </w:tcPr>
          <w:p w14:paraId="6291F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AF3C4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58F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65CC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654" w:type="pct"/>
            <w:shd w:val="clear" w:color="FFFFFF" w:fill="FFFFFF"/>
            <w:vAlign w:val="center"/>
          </w:tcPr>
          <w:p w14:paraId="39429E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58CCB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数字频率计</w:t>
            </w:r>
          </w:p>
        </w:tc>
        <w:tc>
          <w:tcPr>
            <w:tcW w:w="2743" w:type="pct"/>
            <w:shd w:val="clear" w:color="FFFFFF" w:fill="FFFFFF"/>
            <w:vAlign w:val="center"/>
          </w:tcPr>
          <w:p w14:paraId="18CA4D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1.名称：测试仪表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2.包含内容：数字频率计</w:t>
            </w:r>
          </w:p>
        </w:tc>
        <w:tc>
          <w:tcPr>
            <w:tcW w:w="386" w:type="pct"/>
            <w:shd w:val="clear" w:color="FFFFFF" w:fill="FFFFFF"/>
            <w:vAlign w:val="center"/>
          </w:tcPr>
          <w:p w14:paraId="27EAC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50F2E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B6A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0B41E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654" w:type="pct"/>
            <w:shd w:val="clear" w:color="FFFFFF" w:fill="FFFFFF"/>
            <w:vAlign w:val="center"/>
          </w:tcPr>
          <w:p w14:paraId="1F095D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2C91C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假负载</w:t>
            </w:r>
          </w:p>
        </w:tc>
        <w:tc>
          <w:tcPr>
            <w:tcW w:w="2743" w:type="pct"/>
            <w:shd w:val="clear" w:color="FFFFFF" w:fill="FFFFFF"/>
            <w:vAlign w:val="center"/>
          </w:tcPr>
          <w:p w14:paraId="15BE77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1.名称：测试仪表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2.包含内容：假负载</w:t>
            </w:r>
          </w:p>
        </w:tc>
        <w:tc>
          <w:tcPr>
            <w:tcW w:w="386" w:type="pct"/>
            <w:shd w:val="clear" w:color="FFFFFF" w:fill="FFFFFF"/>
            <w:vAlign w:val="center"/>
          </w:tcPr>
          <w:p w14:paraId="4443B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171CD5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5A9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E3D4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654" w:type="pct"/>
            <w:shd w:val="clear" w:color="FFFFFF" w:fill="FFFFFF"/>
            <w:vAlign w:val="center"/>
          </w:tcPr>
          <w:p w14:paraId="02D1D7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22AFB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功率计</w:t>
            </w:r>
          </w:p>
        </w:tc>
        <w:tc>
          <w:tcPr>
            <w:tcW w:w="2743" w:type="pct"/>
            <w:shd w:val="clear" w:color="FFFFFF" w:fill="FFFFFF"/>
            <w:vAlign w:val="center"/>
          </w:tcPr>
          <w:p w14:paraId="2FEB1C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1.名称：测试仪表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2.包含内容：功率计</w:t>
            </w:r>
          </w:p>
        </w:tc>
        <w:tc>
          <w:tcPr>
            <w:tcW w:w="386" w:type="pct"/>
            <w:shd w:val="clear" w:color="FFFFFF" w:fill="FFFFFF"/>
            <w:vAlign w:val="center"/>
          </w:tcPr>
          <w:p w14:paraId="7ACB4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A8DFE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27F5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4A83F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654" w:type="pct"/>
            <w:shd w:val="clear" w:color="FFFFFF" w:fill="FFFFFF"/>
            <w:vAlign w:val="center"/>
          </w:tcPr>
          <w:p w14:paraId="2E67F2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全向信标测距仪更新-工艺安装</w:t>
            </w:r>
          </w:p>
        </w:tc>
        <w:tc>
          <w:tcPr>
            <w:tcW w:w="529" w:type="pct"/>
            <w:shd w:val="clear" w:color="FFFFFF" w:fill="FFFFFF"/>
            <w:vAlign w:val="center"/>
          </w:tcPr>
          <w:p w14:paraId="2F00D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数字万用表</w:t>
            </w:r>
          </w:p>
        </w:tc>
        <w:tc>
          <w:tcPr>
            <w:tcW w:w="2743" w:type="pct"/>
            <w:shd w:val="clear" w:color="FFFFFF" w:fill="FFFFFF"/>
            <w:vAlign w:val="center"/>
          </w:tcPr>
          <w:p w14:paraId="4D9090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1.名称：测试仪表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2.包含内容：数字万用表</w:t>
            </w:r>
          </w:p>
        </w:tc>
        <w:tc>
          <w:tcPr>
            <w:tcW w:w="386" w:type="pct"/>
            <w:shd w:val="clear" w:color="FFFFFF" w:fill="FFFFFF"/>
            <w:vAlign w:val="center"/>
          </w:tcPr>
          <w:p w14:paraId="245A8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309E5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322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384" w:type="pct"/>
            <w:shd w:val="clear" w:color="FFFFFF" w:fill="FFFFFF"/>
            <w:vAlign w:val="center"/>
          </w:tcPr>
          <w:p w14:paraId="66B61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654" w:type="pct"/>
            <w:shd w:val="clear" w:color="FFFFFF" w:fill="FFFFFF"/>
            <w:vAlign w:val="center"/>
          </w:tcPr>
          <w:p w14:paraId="2A36CA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全向信标测距仪更新-暖通工程</w:t>
            </w:r>
          </w:p>
        </w:tc>
        <w:tc>
          <w:tcPr>
            <w:tcW w:w="529" w:type="pct"/>
            <w:shd w:val="clear" w:color="FFFFFF" w:fill="FFFFFF"/>
            <w:vAlign w:val="center"/>
          </w:tcPr>
          <w:p w14:paraId="28A48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精密空调</w:t>
            </w:r>
          </w:p>
        </w:tc>
        <w:tc>
          <w:tcPr>
            <w:tcW w:w="2743" w:type="pct"/>
            <w:shd w:val="clear" w:color="FFFFFF" w:fill="FFFFFF"/>
            <w:vAlign w:val="center"/>
          </w:tcPr>
          <w:p w14:paraId="7F854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1.名称:基站式空调器 3P柜机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2.规格:制冷量:7.2kW  制冷功率:2.07kW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制热量:9.1kW  制热功率:2.15kW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3.安装形式:符合设计及规范要求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4.质量:符合设计及规范要求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5.隔振垫（器）、支架形式、材质:符合设计及规范要求</w:t>
            </w:r>
          </w:p>
        </w:tc>
        <w:tc>
          <w:tcPr>
            <w:tcW w:w="386" w:type="pct"/>
            <w:shd w:val="clear" w:color="FFFFFF" w:fill="FFFFFF"/>
            <w:vAlign w:val="center"/>
          </w:tcPr>
          <w:p w14:paraId="15ABA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78C13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762A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25E76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654" w:type="pct"/>
            <w:shd w:val="clear" w:color="FFFFFF" w:fill="FFFFFF"/>
            <w:vAlign w:val="center"/>
          </w:tcPr>
          <w:p w14:paraId="3CD4A7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全向信标测距仪更新-土建工程</w:t>
            </w:r>
          </w:p>
        </w:tc>
        <w:tc>
          <w:tcPr>
            <w:tcW w:w="529" w:type="pct"/>
            <w:shd w:val="clear" w:color="FFFFFF" w:fill="FFFFFF"/>
            <w:vAlign w:val="center"/>
          </w:tcPr>
          <w:p w14:paraId="60BEB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钢质防火门</w:t>
            </w:r>
          </w:p>
        </w:tc>
        <w:tc>
          <w:tcPr>
            <w:tcW w:w="2743" w:type="pct"/>
            <w:shd w:val="clear" w:color="FFFFFF" w:fill="FFFFFF"/>
            <w:vAlign w:val="center"/>
          </w:tcPr>
          <w:p w14:paraId="4D02D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1.门代号及洞口尺寸:FM甲1121，1200*2150mm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2.门框、扇材质:A1.50钢制甲级防火门(A类隔热;自动关闭)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3.其他:满足设计及施工规范要求，综合单价包含门框与墙体之间的缝隙封堵、闭门器、顺序器、锁具、拉手等费用</w:t>
            </w:r>
          </w:p>
        </w:tc>
        <w:tc>
          <w:tcPr>
            <w:tcW w:w="386" w:type="pct"/>
            <w:shd w:val="clear" w:color="FFFFFF" w:fill="FFFFFF"/>
            <w:vAlign w:val="center"/>
          </w:tcPr>
          <w:p w14:paraId="58821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301" w:type="pct"/>
            <w:shd w:val="clear" w:color="FFFFFF" w:fill="FFFFFF"/>
            <w:vAlign w:val="center"/>
          </w:tcPr>
          <w:p w14:paraId="2BB950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r>
      <w:tr w14:paraId="23D8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6F10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654" w:type="pct"/>
            <w:shd w:val="clear" w:color="FFFFFF" w:fill="FFFFFF"/>
            <w:vAlign w:val="center"/>
          </w:tcPr>
          <w:p w14:paraId="77352B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围界安防工程-围界安防-电气工程</w:t>
            </w:r>
          </w:p>
        </w:tc>
        <w:tc>
          <w:tcPr>
            <w:tcW w:w="529" w:type="pct"/>
            <w:shd w:val="clear" w:color="FFFFFF" w:fill="FFFFFF"/>
            <w:vAlign w:val="center"/>
          </w:tcPr>
          <w:p w14:paraId="055D1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北配电柜改造</w:t>
            </w:r>
          </w:p>
        </w:tc>
        <w:tc>
          <w:tcPr>
            <w:tcW w:w="2743" w:type="pct"/>
            <w:shd w:val="clear" w:color="FFFFFF" w:fill="FFFFFF"/>
            <w:vAlign w:val="center"/>
          </w:tcPr>
          <w:p w14:paraId="65C316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1.名称:箱式变电站1出线开关改造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2.改造内容详见设计图纸 电施-03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3.包含原有箱变元器件拆除、改造元器件更换，配线等所有工作内容</w:t>
            </w:r>
          </w:p>
        </w:tc>
        <w:tc>
          <w:tcPr>
            <w:tcW w:w="386" w:type="pct"/>
            <w:shd w:val="clear" w:color="FFFFFF" w:fill="FFFFFF"/>
            <w:vAlign w:val="center"/>
          </w:tcPr>
          <w:p w14:paraId="04ECF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DDC0D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EB5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BA06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654" w:type="pct"/>
            <w:shd w:val="clear" w:color="FFFFFF" w:fill="FFFFFF"/>
            <w:vAlign w:val="center"/>
          </w:tcPr>
          <w:p w14:paraId="037717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围界安防工程-围界安防-电气工程</w:t>
            </w:r>
          </w:p>
        </w:tc>
        <w:tc>
          <w:tcPr>
            <w:tcW w:w="529" w:type="pct"/>
            <w:shd w:val="clear" w:color="FFFFFF" w:fill="FFFFFF"/>
            <w:vAlign w:val="center"/>
          </w:tcPr>
          <w:p w14:paraId="5FA54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南配电柜改造</w:t>
            </w:r>
          </w:p>
        </w:tc>
        <w:tc>
          <w:tcPr>
            <w:tcW w:w="2743" w:type="pct"/>
            <w:shd w:val="clear" w:color="FFFFFF" w:fill="FFFFFF"/>
            <w:vAlign w:val="center"/>
          </w:tcPr>
          <w:p w14:paraId="006DE0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1.名称:箱式变电站2出线开关改造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2.改造内容详见设计图纸 电施-03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3.包含原有箱变元器件拆除、改造元器件更换，配线等所有工作内容</w:t>
            </w:r>
          </w:p>
        </w:tc>
        <w:tc>
          <w:tcPr>
            <w:tcW w:w="386" w:type="pct"/>
            <w:shd w:val="clear" w:color="FFFFFF" w:fill="FFFFFF"/>
            <w:vAlign w:val="center"/>
          </w:tcPr>
          <w:p w14:paraId="67464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0D91EB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EFA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5C427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654" w:type="pct"/>
            <w:shd w:val="clear" w:color="FFFFFF" w:fill="FFFFFF"/>
            <w:vAlign w:val="center"/>
          </w:tcPr>
          <w:p w14:paraId="23F5B2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围界安防工程-围界安防-电气工程</w:t>
            </w:r>
          </w:p>
        </w:tc>
        <w:tc>
          <w:tcPr>
            <w:tcW w:w="529" w:type="pct"/>
            <w:shd w:val="clear" w:color="FFFFFF" w:fill="FFFFFF"/>
            <w:vAlign w:val="center"/>
          </w:tcPr>
          <w:p w14:paraId="735CB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2743" w:type="pct"/>
            <w:shd w:val="clear" w:color="FFFFFF" w:fill="FFFFFF"/>
            <w:vAlign w:val="center"/>
          </w:tcPr>
          <w:p w14:paraId="157DDC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1.名称:防水桥架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2.规格:300*100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3.材质:热镀锌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4.含支吊架制作安装及防火封堵</w:t>
            </w:r>
          </w:p>
        </w:tc>
        <w:tc>
          <w:tcPr>
            <w:tcW w:w="386" w:type="pct"/>
            <w:shd w:val="clear" w:color="FFFFFF" w:fill="FFFFFF"/>
            <w:vAlign w:val="center"/>
          </w:tcPr>
          <w:p w14:paraId="2B079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757584C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7A1B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7EEAB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654" w:type="pct"/>
            <w:shd w:val="clear" w:color="FFFFFF" w:fill="FFFFFF"/>
            <w:vAlign w:val="center"/>
          </w:tcPr>
          <w:p w14:paraId="0F0009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围界安防工程-围界安防-电气工程</w:t>
            </w:r>
          </w:p>
        </w:tc>
        <w:tc>
          <w:tcPr>
            <w:tcW w:w="529" w:type="pct"/>
            <w:shd w:val="clear" w:color="FFFFFF" w:fill="FFFFFF"/>
            <w:vAlign w:val="center"/>
          </w:tcPr>
          <w:p w14:paraId="48C2F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投光灯</w:t>
            </w:r>
          </w:p>
        </w:tc>
        <w:tc>
          <w:tcPr>
            <w:tcW w:w="2743" w:type="pct"/>
            <w:shd w:val="clear" w:color="FFFFFF" w:fill="FFFFFF"/>
            <w:vAlign w:val="center"/>
          </w:tcPr>
          <w:p w14:paraId="6A0089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1.名称:围界照明灯具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2.规格:LED 50w，含立杆及支架，杆高3米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3.具体做法详见电施-11</w:t>
            </w:r>
          </w:p>
        </w:tc>
        <w:tc>
          <w:tcPr>
            <w:tcW w:w="386" w:type="pct"/>
            <w:shd w:val="clear" w:color="FFFFFF" w:fill="FFFFFF"/>
            <w:vAlign w:val="center"/>
          </w:tcPr>
          <w:p w14:paraId="18C97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651CFD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r>
      <w:tr w14:paraId="0864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35F17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654" w:type="pct"/>
            <w:shd w:val="clear" w:color="FFFFFF" w:fill="FFFFFF"/>
            <w:vAlign w:val="center"/>
          </w:tcPr>
          <w:p w14:paraId="5D50C5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640D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34B6C4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1.名称:入侵报警服务器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2.规格、型号:处理器: CPU (≥ 16 核,主频≥ 2.4GHz )× 2 ; 内存: 32GB DDR4 × 2 ; 硬盘: 2 × 600GB SAS 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3DB5A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56C5FD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0D78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6543F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654" w:type="pct"/>
            <w:shd w:val="clear" w:color="FFFFFF" w:fill="FFFFFF"/>
            <w:vAlign w:val="center"/>
          </w:tcPr>
          <w:p w14:paraId="41129F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4E010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58EF30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1.名称:视频应用服务器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2.规格、型号:处理器: CPU (≥ 16 核,主频≥ 2.4GHz )× 2 ; 内存: 32GB DDR4 × 2 ; 硬盘: 2 × 600GB SAS 硬盘;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42A02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D5A5F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0563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61147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654" w:type="pct"/>
            <w:shd w:val="clear" w:color="FFFFFF" w:fill="FFFFFF"/>
            <w:vAlign w:val="center"/>
          </w:tcPr>
          <w:p w14:paraId="07629D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6450E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2ABA0E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1.名称:流媒体服务器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2.规格、型号:处理器: CPU (≥ 8 核,主频≥ 2.4GHz )× 2 ; 内存: 32GB DDR4 × 2 ; 硬盘: 2 × 600GB SAS 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04E1B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76C38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79CA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2C668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654" w:type="pct"/>
            <w:shd w:val="clear" w:color="FFFFFF" w:fill="FFFFFF"/>
            <w:vAlign w:val="center"/>
          </w:tcPr>
          <w:p w14:paraId="56874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3E137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7236B6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1.名称:接口服务器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2.规格、型号:处理器: CPU (≥ 8 核,主频≥ 2.4GHz )× 2 ; 内存: 32GB DDR4 × 2 ; 硬盘: 2 × 600GB SAS 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6CCC2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53C9FE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720C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6EC97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654" w:type="pct"/>
            <w:shd w:val="clear" w:color="FFFFFF" w:fill="FFFFFF"/>
            <w:vAlign w:val="center"/>
          </w:tcPr>
          <w:p w14:paraId="7140C0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5AFC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70C970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1.名称:地图服务器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2.规格、型号:处理器: CPU (≥ 8 核,主频≥ 2.4GHz )× 2 ; 内存: 32GB DDR4 × 2 ; 硬盘: 2 × 600GB SAS 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35183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494CD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15BE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0940A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654" w:type="pct"/>
            <w:shd w:val="clear" w:color="FFFFFF" w:fill="FFFFFF"/>
            <w:vAlign w:val="center"/>
          </w:tcPr>
          <w:p w14:paraId="6CBC33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4434E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7C45D0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1.名称:广播服务器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2.规格、型号:处理器: CPU (≥ 8 核,主频≥ 2.4GHz )× 2 ; 内存: 32GB DDR4 × 2 ; 硬盘: 2 × 600GB SAS 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3F3C3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5CA3A6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50E4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1F14E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654" w:type="pct"/>
            <w:shd w:val="clear" w:color="FFFFFF" w:fill="FFFFFF"/>
            <w:vAlign w:val="center"/>
          </w:tcPr>
          <w:p w14:paraId="3C12EC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38A18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648B95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1.名称:云存储运维服务器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2.规格、型号:处理器: CPU (≥ 8 核,主频≥ 2.4GHz )× 2 ; 内存: 32GB DDR4 × 2 ; 硬盘: 2 × 600GB SAS 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1C1A5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CAADE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4AA8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46E00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654" w:type="pct"/>
            <w:shd w:val="clear" w:color="FFFFFF" w:fill="FFFFFF"/>
            <w:vAlign w:val="center"/>
          </w:tcPr>
          <w:p w14:paraId="49F33F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0FC44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智慧文旅综合管理平台(企业版服务器)</w:t>
            </w:r>
          </w:p>
        </w:tc>
        <w:tc>
          <w:tcPr>
            <w:tcW w:w="2743" w:type="pct"/>
            <w:shd w:val="clear" w:color="FFFFFF" w:fill="FFFFFF"/>
            <w:vAlign w:val="center"/>
          </w:tcPr>
          <w:p w14:paraId="2C79AD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1.名称:云存储管理服务器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2.规格、型号:处理器: CPU (≥ 8 核,主频≥ 2.4GHz )× 2 ; 内存: 32GB DDR4 × 2 ; 硬盘: 2 × 600GB SAS 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3.详见招标文件技术标准和要求</w:t>
            </w:r>
          </w:p>
        </w:tc>
        <w:tc>
          <w:tcPr>
            <w:tcW w:w="386" w:type="pct"/>
            <w:shd w:val="clear" w:color="FFFFFF" w:fill="FFFFFF"/>
            <w:vAlign w:val="center"/>
          </w:tcPr>
          <w:p w14:paraId="7C5B2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392DE9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5F07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5C88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654" w:type="pct"/>
            <w:shd w:val="clear" w:color="FFFFFF" w:fill="FFFFFF"/>
            <w:vAlign w:val="center"/>
          </w:tcPr>
          <w:p w14:paraId="422E8B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1EC73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双机热备系统</w:t>
            </w:r>
          </w:p>
        </w:tc>
        <w:tc>
          <w:tcPr>
            <w:tcW w:w="2743" w:type="pct"/>
            <w:shd w:val="clear" w:color="FFFFFF" w:fill="FFFFFF"/>
            <w:vAlign w:val="center"/>
          </w:tcPr>
          <w:p w14:paraId="1BA5A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1.名称:双机热备软件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2.配置要求:关系型，详见招标文件技术标准和要求</w:t>
            </w:r>
          </w:p>
        </w:tc>
        <w:tc>
          <w:tcPr>
            <w:tcW w:w="386" w:type="pct"/>
            <w:shd w:val="clear" w:color="FFFFFF" w:fill="FFFFFF"/>
            <w:vAlign w:val="center"/>
          </w:tcPr>
          <w:p w14:paraId="0A0B2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7DDBE0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230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451E2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654" w:type="pct"/>
            <w:shd w:val="clear" w:color="FFFFFF" w:fill="FFFFFF"/>
            <w:vAlign w:val="center"/>
          </w:tcPr>
          <w:p w14:paraId="055189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36A8C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智能物联综合管理平台</w:t>
            </w:r>
          </w:p>
        </w:tc>
        <w:tc>
          <w:tcPr>
            <w:tcW w:w="2743" w:type="pct"/>
            <w:shd w:val="clear" w:color="FFFFFF" w:fill="FFFFFF"/>
            <w:vAlign w:val="center"/>
          </w:tcPr>
          <w:p w14:paraId="1292C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1.名称:平台管理软件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2.配置要求:定制，详见招标文件技术标准和要求</w:t>
            </w:r>
          </w:p>
        </w:tc>
        <w:tc>
          <w:tcPr>
            <w:tcW w:w="386" w:type="pct"/>
            <w:shd w:val="clear" w:color="FFFFFF" w:fill="FFFFFF"/>
            <w:vAlign w:val="center"/>
          </w:tcPr>
          <w:p w14:paraId="2B9A7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0BD81A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328C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9D56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654" w:type="pct"/>
            <w:shd w:val="clear" w:color="FFFFFF" w:fill="FFFFFF"/>
            <w:vAlign w:val="center"/>
          </w:tcPr>
          <w:p w14:paraId="62EC43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62D3E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BD9600智能周界防入侵系统V1.0</w:t>
            </w:r>
          </w:p>
        </w:tc>
        <w:tc>
          <w:tcPr>
            <w:tcW w:w="2743" w:type="pct"/>
            <w:shd w:val="clear" w:color="FFFFFF" w:fill="FFFFFF"/>
            <w:vAlign w:val="center"/>
          </w:tcPr>
          <w:p w14:paraId="2B2355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1.名称:入侵报警软件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2.配置要求:定制，详见招标文件技术标准和要求</w:t>
            </w:r>
          </w:p>
        </w:tc>
        <w:tc>
          <w:tcPr>
            <w:tcW w:w="386" w:type="pct"/>
            <w:shd w:val="clear" w:color="FFFFFF" w:fill="FFFFFF"/>
            <w:vAlign w:val="center"/>
          </w:tcPr>
          <w:p w14:paraId="1D4D8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7E8A9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6EBE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2F6C7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654" w:type="pct"/>
            <w:shd w:val="clear" w:color="FFFFFF" w:fill="FFFFFF"/>
            <w:vAlign w:val="center"/>
          </w:tcPr>
          <w:p w14:paraId="276C10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2C3CB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智能物联综合管理平台--视频业务系统</w:t>
            </w:r>
          </w:p>
        </w:tc>
        <w:tc>
          <w:tcPr>
            <w:tcW w:w="2743" w:type="pct"/>
            <w:shd w:val="clear" w:color="FFFFFF" w:fill="FFFFFF"/>
            <w:vAlign w:val="center"/>
          </w:tcPr>
          <w:p w14:paraId="515E33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1.名称:视频管理软件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2.配置要求:定制，详见招标文件技术标准和要求</w:t>
            </w:r>
          </w:p>
        </w:tc>
        <w:tc>
          <w:tcPr>
            <w:tcW w:w="386" w:type="pct"/>
            <w:shd w:val="clear" w:color="FFFFFF" w:fill="FFFFFF"/>
            <w:vAlign w:val="center"/>
          </w:tcPr>
          <w:p w14:paraId="7B537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44177C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14:paraId="0FFF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7D4B5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654" w:type="pct"/>
            <w:shd w:val="clear" w:color="FFFFFF" w:fill="FFFFFF"/>
            <w:vAlign w:val="center"/>
          </w:tcPr>
          <w:p w14:paraId="5014C5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017C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w:t>
            </w:r>
          </w:p>
        </w:tc>
        <w:tc>
          <w:tcPr>
            <w:tcW w:w="2743" w:type="pct"/>
            <w:shd w:val="clear" w:color="FFFFFF" w:fill="FFFFFF"/>
            <w:vAlign w:val="center"/>
          </w:tcPr>
          <w:p w14:paraId="256877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1.名称:PC工作站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2.规格、型号:I7 处理器,主频≥ 2.8GHz/16G 内存 /1T 硬盘 /27 寸液晶显示屏 / 操作系统，详见招标文件技术标准和要求</w:t>
            </w:r>
          </w:p>
        </w:tc>
        <w:tc>
          <w:tcPr>
            <w:tcW w:w="386" w:type="pct"/>
            <w:shd w:val="clear" w:color="FFFFFF" w:fill="FFFFFF"/>
            <w:vAlign w:val="center"/>
          </w:tcPr>
          <w:p w14:paraId="3BAA0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6C8CB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38E9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08F4D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654" w:type="pct"/>
            <w:shd w:val="clear" w:color="FFFFFF" w:fill="FFFFFF"/>
            <w:vAlign w:val="center"/>
          </w:tcPr>
          <w:p w14:paraId="77F24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5704A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探测主机</w:t>
            </w:r>
          </w:p>
        </w:tc>
        <w:tc>
          <w:tcPr>
            <w:tcW w:w="2743" w:type="pct"/>
            <w:shd w:val="clear" w:color="FFFFFF" w:fill="FFFFFF"/>
            <w:vAlign w:val="center"/>
          </w:tcPr>
          <w:p w14:paraId="435AC5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1.名称：处理单元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2.含支架等固定需要的切辅材</w:t>
            </w:r>
          </w:p>
        </w:tc>
        <w:tc>
          <w:tcPr>
            <w:tcW w:w="386" w:type="pct"/>
            <w:shd w:val="clear" w:color="FFFFFF" w:fill="FFFFFF"/>
            <w:vAlign w:val="center"/>
          </w:tcPr>
          <w:p w14:paraId="26DB4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A04A2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r>
      <w:tr w14:paraId="5AD2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E25F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654" w:type="pct"/>
            <w:shd w:val="clear" w:color="FFFFFF" w:fill="FFFFFF"/>
            <w:vAlign w:val="center"/>
          </w:tcPr>
          <w:p w14:paraId="4393E6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299F3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连接器</w:t>
            </w:r>
          </w:p>
        </w:tc>
        <w:tc>
          <w:tcPr>
            <w:tcW w:w="2743" w:type="pct"/>
            <w:shd w:val="clear" w:color="FFFFFF" w:fill="FFFFFF"/>
            <w:vAlign w:val="center"/>
          </w:tcPr>
          <w:p w14:paraId="7F53CA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1.名称：连接单元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2.含支架等固定需要的切辅材</w:t>
            </w:r>
          </w:p>
        </w:tc>
        <w:tc>
          <w:tcPr>
            <w:tcW w:w="386" w:type="pct"/>
            <w:shd w:val="clear" w:color="FFFFFF" w:fill="FFFFFF"/>
            <w:vAlign w:val="center"/>
          </w:tcPr>
          <w:p w14:paraId="33152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5CAA7E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7C97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3C45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654" w:type="pct"/>
            <w:shd w:val="clear" w:color="FFFFFF" w:fill="FFFFFF"/>
            <w:vAlign w:val="center"/>
          </w:tcPr>
          <w:p w14:paraId="6CCC68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4BAA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终端器</w:t>
            </w:r>
          </w:p>
        </w:tc>
        <w:tc>
          <w:tcPr>
            <w:tcW w:w="2743" w:type="pct"/>
            <w:shd w:val="clear" w:color="FFFFFF" w:fill="FFFFFF"/>
            <w:vAlign w:val="center"/>
          </w:tcPr>
          <w:p w14:paraId="61F1FE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1.名称：终止单元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2.含支架等固定需要的切辅材</w:t>
            </w:r>
          </w:p>
        </w:tc>
        <w:tc>
          <w:tcPr>
            <w:tcW w:w="386" w:type="pct"/>
            <w:shd w:val="clear" w:color="FFFFFF" w:fill="FFFFFF"/>
            <w:vAlign w:val="center"/>
          </w:tcPr>
          <w:p w14:paraId="1BE0B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51F02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r>
      <w:tr w14:paraId="63C6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04B3F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654" w:type="pct"/>
            <w:shd w:val="clear" w:color="FFFFFF" w:fill="FFFFFF"/>
            <w:vAlign w:val="center"/>
          </w:tcPr>
          <w:p w14:paraId="318143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419FC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IO控制器</w:t>
            </w:r>
          </w:p>
        </w:tc>
        <w:tc>
          <w:tcPr>
            <w:tcW w:w="2743" w:type="pct"/>
            <w:shd w:val="clear" w:color="FFFFFF" w:fill="FFFFFF"/>
            <w:vAlign w:val="center"/>
          </w:tcPr>
          <w:p w14:paraId="7A52D6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1.名称：继电器模块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2.含支架等固定需要的切辅材</w:t>
            </w:r>
          </w:p>
        </w:tc>
        <w:tc>
          <w:tcPr>
            <w:tcW w:w="386" w:type="pct"/>
            <w:shd w:val="clear" w:color="FFFFFF" w:fill="FFFFFF"/>
            <w:vAlign w:val="center"/>
          </w:tcPr>
          <w:p w14:paraId="125DE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4AEBF8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r>
      <w:tr w14:paraId="69A1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2BB5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654" w:type="pct"/>
            <w:shd w:val="clear" w:color="FFFFFF" w:fill="FFFFFF"/>
            <w:vAlign w:val="center"/>
          </w:tcPr>
          <w:p w14:paraId="1AF3DF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31CB3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振动电缆</w:t>
            </w:r>
          </w:p>
        </w:tc>
        <w:tc>
          <w:tcPr>
            <w:tcW w:w="2743" w:type="pct"/>
            <w:shd w:val="clear" w:color="FFFFFF" w:fill="FFFFFF"/>
            <w:vAlign w:val="center"/>
          </w:tcPr>
          <w:p w14:paraId="4C8892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1.名称：振动电缆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2.含防紫外线扎带</w:t>
            </w:r>
          </w:p>
        </w:tc>
        <w:tc>
          <w:tcPr>
            <w:tcW w:w="386" w:type="pct"/>
            <w:shd w:val="clear" w:color="FFFFFF" w:fill="FFFFFF"/>
            <w:vAlign w:val="center"/>
          </w:tcPr>
          <w:p w14:paraId="22523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04FD3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r>
      <w:tr w14:paraId="3DF0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42788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654" w:type="pct"/>
            <w:shd w:val="clear" w:color="FFFFFF" w:fill="FFFFFF"/>
            <w:vAlign w:val="center"/>
          </w:tcPr>
          <w:p w14:paraId="5830C1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674BD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协议转换器</w:t>
            </w:r>
          </w:p>
        </w:tc>
        <w:tc>
          <w:tcPr>
            <w:tcW w:w="2743" w:type="pct"/>
            <w:shd w:val="clear" w:color="FFFFFF" w:fill="FFFFFF"/>
            <w:vAlign w:val="center"/>
          </w:tcPr>
          <w:p w14:paraId="4FDDA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1.名称：串口服务器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2.规格：422转网</w:t>
            </w:r>
          </w:p>
        </w:tc>
        <w:tc>
          <w:tcPr>
            <w:tcW w:w="386" w:type="pct"/>
            <w:shd w:val="clear" w:color="FFFFFF" w:fill="FFFFFF"/>
            <w:vAlign w:val="center"/>
          </w:tcPr>
          <w:p w14:paraId="5CC6A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333F1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r>
      <w:tr w14:paraId="01CF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84" w:type="pct"/>
            <w:shd w:val="clear" w:color="FFFFFF" w:fill="FFFFFF"/>
            <w:vAlign w:val="center"/>
          </w:tcPr>
          <w:p w14:paraId="77C47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654" w:type="pct"/>
            <w:shd w:val="clear" w:color="FFFFFF" w:fill="FFFFFF"/>
            <w:vAlign w:val="center"/>
          </w:tcPr>
          <w:p w14:paraId="595FE3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D4D0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第七代基本型不锈钢三光束激光对射报警系统</w:t>
            </w:r>
          </w:p>
        </w:tc>
        <w:tc>
          <w:tcPr>
            <w:tcW w:w="2743" w:type="pct"/>
            <w:shd w:val="clear" w:color="FFFFFF" w:fill="FFFFFF"/>
            <w:vAlign w:val="center"/>
          </w:tcPr>
          <w:p w14:paraId="31F539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1.名称：道口激光对射器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2.规格：三光束</w:t>
            </w:r>
          </w:p>
        </w:tc>
        <w:tc>
          <w:tcPr>
            <w:tcW w:w="386" w:type="pct"/>
            <w:shd w:val="clear" w:color="FFFFFF" w:fill="FFFFFF"/>
            <w:vAlign w:val="center"/>
          </w:tcPr>
          <w:p w14:paraId="690F3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23E9A6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EEC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67B81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654" w:type="pct"/>
            <w:shd w:val="clear" w:color="FFFFFF" w:fill="FFFFFF"/>
            <w:vAlign w:val="center"/>
          </w:tcPr>
          <w:p w14:paraId="12C960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5C3ED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730F5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2.材质：热镀锌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3.规格：SC20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4.配置形式：综合考虑，含接头，支架等固定所需要的一切辅材</w:t>
            </w:r>
          </w:p>
        </w:tc>
        <w:tc>
          <w:tcPr>
            <w:tcW w:w="386" w:type="pct"/>
            <w:shd w:val="clear" w:color="FFFFFF" w:fill="FFFFFF"/>
            <w:vAlign w:val="center"/>
          </w:tcPr>
          <w:p w14:paraId="790A8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F6699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14:paraId="236F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4C730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654" w:type="pct"/>
            <w:shd w:val="clear" w:color="FFFFFF" w:fill="FFFFFF"/>
            <w:vAlign w:val="center"/>
          </w:tcPr>
          <w:p w14:paraId="3B6A99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04E72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电源防雷器</w:t>
            </w:r>
          </w:p>
        </w:tc>
        <w:tc>
          <w:tcPr>
            <w:tcW w:w="2743" w:type="pct"/>
            <w:shd w:val="clear" w:color="FFFFFF" w:fill="FFFFFF"/>
            <w:vAlign w:val="center"/>
          </w:tcPr>
          <w:p w14:paraId="1195E1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1.名称:电源防雷模块</w:t>
            </w:r>
          </w:p>
        </w:tc>
        <w:tc>
          <w:tcPr>
            <w:tcW w:w="386" w:type="pct"/>
            <w:shd w:val="clear" w:color="FFFFFF" w:fill="FFFFFF"/>
            <w:vAlign w:val="center"/>
          </w:tcPr>
          <w:p w14:paraId="6ED64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6AA9D0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r>
      <w:tr w14:paraId="3A60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00147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654" w:type="pct"/>
            <w:shd w:val="clear" w:color="FFFFFF" w:fill="FFFFFF"/>
            <w:vAlign w:val="center"/>
          </w:tcPr>
          <w:p w14:paraId="60917D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64A78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信号防雷器</w:t>
            </w:r>
          </w:p>
        </w:tc>
        <w:tc>
          <w:tcPr>
            <w:tcW w:w="2743" w:type="pct"/>
            <w:shd w:val="clear" w:color="FFFFFF" w:fill="FFFFFF"/>
            <w:vAlign w:val="center"/>
          </w:tcPr>
          <w:p w14:paraId="04CC64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1.名称:通讯防雷模块</w:t>
            </w:r>
          </w:p>
        </w:tc>
        <w:tc>
          <w:tcPr>
            <w:tcW w:w="386" w:type="pct"/>
            <w:shd w:val="clear" w:color="FFFFFF" w:fill="FFFFFF"/>
            <w:vAlign w:val="center"/>
          </w:tcPr>
          <w:p w14:paraId="21486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595B7B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r>
      <w:tr w14:paraId="412E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807B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654" w:type="pct"/>
            <w:shd w:val="clear" w:color="FFFFFF" w:fill="FFFFFF"/>
            <w:vAlign w:val="center"/>
          </w:tcPr>
          <w:p w14:paraId="0E50F0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67F61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信号防雷器</w:t>
            </w:r>
          </w:p>
        </w:tc>
        <w:tc>
          <w:tcPr>
            <w:tcW w:w="2743" w:type="pct"/>
            <w:shd w:val="clear" w:color="FFFFFF" w:fill="FFFFFF"/>
            <w:vAlign w:val="center"/>
          </w:tcPr>
          <w:p w14:paraId="57F144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1.名称：音频防雷器</w:t>
            </w:r>
          </w:p>
        </w:tc>
        <w:tc>
          <w:tcPr>
            <w:tcW w:w="386" w:type="pct"/>
            <w:shd w:val="clear" w:color="FFFFFF" w:fill="FFFFFF"/>
            <w:vAlign w:val="center"/>
          </w:tcPr>
          <w:p w14:paraId="1928E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46F422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r>
      <w:tr w14:paraId="779A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6E03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654" w:type="pct"/>
            <w:shd w:val="clear" w:color="FFFFFF" w:fill="FFFFFF"/>
            <w:vAlign w:val="center"/>
          </w:tcPr>
          <w:p w14:paraId="501AED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2A0A1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4CD63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1.名称：防水型六类线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2.规格、型号：UTP-6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3.敷设方式：穿管</w:t>
            </w:r>
          </w:p>
        </w:tc>
        <w:tc>
          <w:tcPr>
            <w:tcW w:w="386" w:type="pct"/>
            <w:shd w:val="clear" w:color="FFFFFF" w:fill="FFFFFF"/>
            <w:vAlign w:val="center"/>
          </w:tcPr>
          <w:p w14:paraId="6297C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519E65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7842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5114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654" w:type="pct"/>
            <w:shd w:val="clear" w:color="FFFFFF" w:fill="FFFFFF"/>
            <w:vAlign w:val="center"/>
          </w:tcPr>
          <w:p w14:paraId="7973B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2F542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中间继电器</w:t>
            </w:r>
          </w:p>
        </w:tc>
        <w:tc>
          <w:tcPr>
            <w:tcW w:w="2743" w:type="pct"/>
            <w:shd w:val="clear" w:color="FFFFFF" w:fill="FFFFFF"/>
            <w:vAlign w:val="center"/>
          </w:tcPr>
          <w:p w14:paraId="1C4674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1.名称：中间继电器</w:t>
            </w:r>
          </w:p>
        </w:tc>
        <w:tc>
          <w:tcPr>
            <w:tcW w:w="386" w:type="pct"/>
            <w:shd w:val="clear" w:color="FFFFFF" w:fill="FFFFFF"/>
            <w:vAlign w:val="center"/>
          </w:tcPr>
          <w:p w14:paraId="660AA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4DB285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203B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1EAF8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654" w:type="pct"/>
            <w:shd w:val="clear" w:color="FFFFFF" w:fill="FFFFFF"/>
            <w:vAlign w:val="center"/>
          </w:tcPr>
          <w:p w14:paraId="660E2C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35FB0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云存储系统</w:t>
            </w:r>
          </w:p>
        </w:tc>
        <w:tc>
          <w:tcPr>
            <w:tcW w:w="2743" w:type="pct"/>
            <w:shd w:val="clear" w:color="FFFFFF" w:fill="FFFFFF"/>
            <w:vAlign w:val="center"/>
          </w:tcPr>
          <w:p w14:paraId="3C38EB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1.名称：存储阵列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2.规格、型号：48 盘位</w:t>
            </w:r>
          </w:p>
        </w:tc>
        <w:tc>
          <w:tcPr>
            <w:tcW w:w="386" w:type="pct"/>
            <w:shd w:val="clear" w:color="FFFFFF" w:fill="FFFFFF"/>
            <w:vAlign w:val="center"/>
          </w:tcPr>
          <w:p w14:paraId="3A2F8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BA367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3C4D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790B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654" w:type="pct"/>
            <w:shd w:val="clear" w:color="FFFFFF" w:fill="FFFFFF"/>
            <w:vAlign w:val="center"/>
          </w:tcPr>
          <w:p w14:paraId="2AE845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2A6D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2743" w:type="pct"/>
            <w:shd w:val="clear" w:color="FFFFFF" w:fill="FFFFFF"/>
            <w:vAlign w:val="center"/>
          </w:tcPr>
          <w:p w14:paraId="7B56F0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1.名称：存储硬盘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2.规格、型号：≥7200rpm，10T</w:t>
            </w:r>
          </w:p>
        </w:tc>
        <w:tc>
          <w:tcPr>
            <w:tcW w:w="386" w:type="pct"/>
            <w:shd w:val="clear" w:color="FFFFFF" w:fill="FFFFFF"/>
            <w:vAlign w:val="center"/>
          </w:tcPr>
          <w:p w14:paraId="7FC42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301" w:type="pct"/>
            <w:shd w:val="clear" w:color="FFFFFF" w:fill="FFFFFF"/>
            <w:vAlign w:val="center"/>
          </w:tcPr>
          <w:p w14:paraId="4BEF52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r>
      <w:tr w14:paraId="2E92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384" w:type="pct"/>
            <w:shd w:val="clear" w:color="FFFFFF" w:fill="FFFFFF"/>
            <w:vAlign w:val="center"/>
          </w:tcPr>
          <w:p w14:paraId="44550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654" w:type="pct"/>
            <w:shd w:val="clear" w:color="FFFFFF" w:fill="FFFFFF"/>
            <w:vAlign w:val="center"/>
          </w:tcPr>
          <w:p w14:paraId="082C70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0A561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2743" w:type="pct"/>
            <w:shd w:val="clear" w:color="FFFFFF" w:fill="FFFFFF"/>
            <w:vAlign w:val="center"/>
          </w:tcPr>
          <w:p w14:paraId="64CD4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1.名称：汇聚交换机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2.设备基本参数：24 个 10/100/1000BASE-T 自适应以太网接口 , 支持 PoE/PoE+/PoE++ , 4 个 1GE/10GE SFP+ 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提供端口保护,过温保护;外壳: IP40 防护等级;工作温度: -40 ℃ ~65 ℃ ;工作湿度: 10%~90% ( 无凝露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3.含光模块，详见招标文件技术标准及要求</w:t>
            </w:r>
          </w:p>
        </w:tc>
        <w:tc>
          <w:tcPr>
            <w:tcW w:w="386" w:type="pct"/>
            <w:shd w:val="clear" w:color="FFFFFF" w:fill="FFFFFF"/>
            <w:vAlign w:val="center"/>
          </w:tcPr>
          <w:p w14:paraId="31080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2BA3D5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753C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384" w:type="pct"/>
            <w:shd w:val="clear" w:color="FFFFFF" w:fill="FFFFFF"/>
            <w:vAlign w:val="center"/>
          </w:tcPr>
          <w:p w14:paraId="490FD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654" w:type="pct"/>
            <w:shd w:val="clear" w:color="FFFFFF" w:fill="FFFFFF"/>
            <w:vAlign w:val="center"/>
          </w:tcPr>
          <w:p w14:paraId="70D17B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B018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接入交换机</w:t>
            </w:r>
          </w:p>
        </w:tc>
        <w:tc>
          <w:tcPr>
            <w:tcW w:w="2743" w:type="pct"/>
            <w:shd w:val="clear" w:color="FFFFFF" w:fill="FFFFFF"/>
            <w:vAlign w:val="center"/>
          </w:tcPr>
          <w:p w14:paraId="190F35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1.名称：工业交换机(管理型二级)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2.设备基本参数：至少 4 个上行 1GE/10GE SFP+ 接口,不少于 8 个千兆电口,含 2 个光模块;提供端口保护,过温保护;外壳:金属,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IP41 防护等级;工作温度: -40 ℃ ~65 ℃ ;工作湿度: 10%~90% ( 无凝露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3.含光模块，详见招标文件技术标准及要求</w:t>
            </w:r>
          </w:p>
        </w:tc>
        <w:tc>
          <w:tcPr>
            <w:tcW w:w="386" w:type="pct"/>
            <w:shd w:val="clear" w:color="FFFFFF" w:fill="FFFFFF"/>
            <w:vAlign w:val="center"/>
          </w:tcPr>
          <w:p w14:paraId="3127D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1A7242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793D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384" w:type="pct"/>
            <w:shd w:val="clear" w:color="FFFFFF" w:fill="FFFFFF"/>
            <w:vAlign w:val="center"/>
          </w:tcPr>
          <w:p w14:paraId="2B607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654" w:type="pct"/>
            <w:shd w:val="clear" w:color="FFFFFF" w:fill="FFFFFF"/>
            <w:vAlign w:val="center"/>
          </w:tcPr>
          <w:p w14:paraId="2594C3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5C7D7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网络摄像机</w:t>
            </w:r>
          </w:p>
        </w:tc>
        <w:tc>
          <w:tcPr>
            <w:tcW w:w="2743" w:type="pct"/>
            <w:shd w:val="clear" w:color="FFFFFF" w:fill="FFFFFF"/>
            <w:vAlign w:val="center"/>
          </w:tcPr>
          <w:p w14:paraId="0943B0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1.名称:室外枪式摄像机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 400 万像素;≥ 1/1.8' COMS ;≥ 10M/100M 自适应网口;宽动态范围:≥ 120dB ;支持 H.265 、 H.264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ONVIF 、 GB28181 、组播,支持 POE 供电。含定制支架、电源;防护等级≥ IP67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31ED8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22C329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r>
      <w:tr w14:paraId="5AF8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trPr>
        <w:tc>
          <w:tcPr>
            <w:tcW w:w="384" w:type="pct"/>
            <w:shd w:val="clear" w:color="FFFFFF" w:fill="FFFFFF"/>
            <w:vAlign w:val="center"/>
          </w:tcPr>
          <w:p w14:paraId="5016E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654" w:type="pct"/>
            <w:shd w:val="clear" w:color="FFFFFF" w:fill="FFFFFF"/>
            <w:vAlign w:val="center"/>
          </w:tcPr>
          <w:p w14:paraId="1C8A56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5891D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网络球型摄像机</w:t>
            </w:r>
          </w:p>
        </w:tc>
        <w:tc>
          <w:tcPr>
            <w:tcW w:w="2743" w:type="pct"/>
            <w:shd w:val="clear" w:color="FFFFFF" w:fill="FFFFFF"/>
            <w:vAlign w:val="center"/>
          </w:tcPr>
          <w:p w14:paraId="37304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1.名称:室外云台摄像机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 400 万像素;≥ 1/1.8' COMS ;≥ 10M/100M 自适应网口;宽动态范围:≥ 120dB ;支持 H.265 、 H.264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ONVIF 、 GB28181 、组播,支持 POE 供电。含定制支架、电源;防护等级≥ IP67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63E5E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5398F0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r>
      <w:tr w14:paraId="6CDF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84" w:type="pct"/>
            <w:shd w:val="clear" w:color="FFFFFF" w:fill="FFFFFF"/>
            <w:vAlign w:val="center"/>
          </w:tcPr>
          <w:p w14:paraId="29FC6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654" w:type="pct"/>
            <w:shd w:val="clear" w:color="FFFFFF" w:fill="FFFFFF"/>
            <w:vAlign w:val="center"/>
          </w:tcPr>
          <w:p w14:paraId="7AC569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11C6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热成像双光谱网络智能测温球型摄像机</w:t>
            </w:r>
          </w:p>
        </w:tc>
        <w:tc>
          <w:tcPr>
            <w:tcW w:w="2743" w:type="pct"/>
            <w:shd w:val="clear" w:color="FFFFFF" w:fill="FFFFFF"/>
            <w:vAlign w:val="center"/>
          </w:tcPr>
          <w:p w14:paraId="631370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1.名称:热成像摄像机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2.规格、型号:具备智能分析功能,支持区域入侵检测、拌线检测等功能。含定制支架、电源。防腐蚀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3.含安装支架、电源、护罩及安装附件</w:t>
            </w:r>
          </w:p>
        </w:tc>
        <w:tc>
          <w:tcPr>
            <w:tcW w:w="386" w:type="pct"/>
            <w:shd w:val="clear" w:color="FFFFFF" w:fill="FFFFFF"/>
            <w:vAlign w:val="center"/>
          </w:tcPr>
          <w:p w14:paraId="58F04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0FCCFA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4C00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10C27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654" w:type="pct"/>
            <w:shd w:val="clear" w:color="FFFFFF" w:fill="FFFFFF"/>
            <w:vAlign w:val="center"/>
          </w:tcPr>
          <w:p w14:paraId="515A55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0C2A1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信号防雷器</w:t>
            </w:r>
          </w:p>
        </w:tc>
        <w:tc>
          <w:tcPr>
            <w:tcW w:w="2743" w:type="pct"/>
            <w:shd w:val="clear" w:color="FFFFFF" w:fill="FFFFFF"/>
            <w:vAlign w:val="center"/>
          </w:tcPr>
          <w:p w14:paraId="7FC266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1.名称：二合一保护器</w:t>
            </w:r>
          </w:p>
        </w:tc>
        <w:tc>
          <w:tcPr>
            <w:tcW w:w="386" w:type="pct"/>
            <w:shd w:val="clear" w:color="FFFFFF" w:fill="FFFFFF"/>
            <w:vAlign w:val="center"/>
          </w:tcPr>
          <w:p w14:paraId="2C81F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DC3DE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r>
      <w:tr w14:paraId="714D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E19D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654" w:type="pct"/>
            <w:shd w:val="clear" w:color="FFFFFF" w:fill="FFFFFF"/>
            <w:vAlign w:val="center"/>
          </w:tcPr>
          <w:p w14:paraId="417232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29FD0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信号防雷器</w:t>
            </w:r>
          </w:p>
        </w:tc>
        <w:tc>
          <w:tcPr>
            <w:tcW w:w="2743" w:type="pct"/>
            <w:shd w:val="clear" w:color="FFFFFF" w:fill="FFFFFF"/>
            <w:vAlign w:val="center"/>
          </w:tcPr>
          <w:p w14:paraId="3A4395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1.名称：电源避雷器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2.规格：1 级 SPD , Limp ≥ 25kA</w:t>
            </w:r>
          </w:p>
        </w:tc>
        <w:tc>
          <w:tcPr>
            <w:tcW w:w="386" w:type="pct"/>
            <w:shd w:val="clear" w:color="FFFFFF" w:fill="FFFFFF"/>
            <w:vAlign w:val="center"/>
          </w:tcPr>
          <w:p w14:paraId="22728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01" w:type="pct"/>
            <w:shd w:val="clear" w:color="FFFFFF" w:fill="FFFFFF"/>
            <w:vAlign w:val="center"/>
          </w:tcPr>
          <w:p w14:paraId="70C3CE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786D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25D5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654" w:type="pct"/>
            <w:shd w:val="clear" w:color="FFFFFF" w:fill="FFFFFF"/>
            <w:vAlign w:val="center"/>
          </w:tcPr>
          <w:p w14:paraId="2F2158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056A5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弱电电缆</w:t>
            </w:r>
          </w:p>
        </w:tc>
        <w:tc>
          <w:tcPr>
            <w:tcW w:w="2743" w:type="pct"/>
            <w:shd w:val="clear" w:color="FFFFFF" w:fill="FFFFFF"/>
            <w:vAlign w:val="center"/>
          </w:tcPr>
          <w:p w14:paraId="4262A9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1.名称:网线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2.规格、型号:防水型、UTP6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1F5E7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05CF9A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r>
      <w:tr w14:paraId="21F2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4448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654" w:type="pct"/>
            <w:shd w:val="clear" w:color="FFFFFF" w:fill="FFFFFF"/>
            <w:vAlign w:val="center"/>
          </w:tcPr>
          <w:p w14:paraId="517F77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51CC9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配线架</w:t>
            </w:r>
          </w:p>
        </w:tc>
        <w:tc>
          <w:tcPr>
            <w:tcW w:w="2743" w:type="pct"/>
            <w:shd w:val="clear" w:color="FFFFFF" w:fill="FFFFFF"/>
            <w:vAlign w:val="center"/>
          </w:tcPr>
          <w:p w14:paraId="62CCF2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1.名称：光纤配线架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2.规格、型号：24 口，含耦合器、配线模块、理线器、光纤熔接、跳线、尾纤</w:t>
            </w:r>
          </w:p>
        </w:tc>
        <w:tc>
          <w:tcPr>
            <w:tcW w:w="386" w:type="pct"/>
            <w:shd w:val="clear" w:color="FFFFFF" w:fill="FFFFFF"/>
            <w:vAlign w:val="center"/>
          </w:tcPr>
          <w:p w14:paraId="16ABF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01" w:type="pct"/>
            <w:shd w:val="clear" w:color="FFFFFF" w:fill="FFFFFF"/>
            <w:vAlign w:val="center"/>
          </w:tcPr>
          <w:p w14:paraId="7175FC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5C52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5FAEC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654" w:type="pct"/>
            <w:shd w:val="clear" w:color="FFFFFF" w:fill="FFFFFF"/>
            <w:vAlign w:val="center"/>
          </w:tcPr>
          <w:p w14:paraId="44FA51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auto" w:fill="auto"/>
            <w:noWrap/>
            <w:vAlign w:val="center"/>
          </w:tcPr>
          <w:p w14:paraId="07264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立杆</w:t>
            </w:r>
          </w:p>
        </w:tc>
        <w:tc>
          <w:tcPr>
            <w:tcW w:w="2743" w:type="pct"/>
            <w:shd w:val="clear" w:color="FFFFFF" w:fill="FFFFFF"/>
            <w:vAlign w:val="center"/>
          </w:tcPr>
          <w:p w14:paraId="49D310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1.名称：摄像机立杆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2.规格、杆高：2m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3.含基础及土方挖填、避雷针</w:t>
            </w:r>
          </w:p>
        </w:tc>
        <w:tc>
          <w:tcPr>
            <w:tcW w:w="386" w:type="pct"/>
            <w:shd w:val="clear" w:color="FFFFFF" w:fill="FFFFFF"/>
            <w:vAlign w:val="center"/>
          </w:tcPr>
          <w:p w14:paraId="6FB27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47EB02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14:paraId="546A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4ECB6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654" w:type="pct"/>
            <w:shd w:val="clear" w:color="FFFFFF" w:fill="FFFFFF"/>
            <w:vAlign w:val="center"/>
          </w:tcPr>
          <w:p w14:paraId="181FA3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auto" w:fill="auto"/>
            <w:noWrap/>
            <w:vAlign w:val="center"/>
          </w:tcPr>
          <w:p w14:paraId="575DF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立杆</w:t>
            </w:r>
          </w:p>
        </w:tc>
        <w:tc>
          <w:tcPr>
            <w:tcW w:w="2743" w:type="pct"/>
            <w:shd w:val="clear" w:color="FFFFFF" w:fill="FFFFFF"/>
            <w:vAlign w:val="center"/>
          </w:tcPr>
          <w:p w14:paraId="7AABBC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1.名称：摄像机立杆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2.规格、杆高：3m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3.含基础及土方挖填、避雷针</w:t>
            </w:r>
          </w:p>
        </w:tc>
        <w:tc>
          <w:tcPr>
            <w:tcW w:w="386" w:type="pct"/>
            <w:shd w:val="clear" w:color="FFFFFF" w:fill="FFFFFF"/>
            <w:vAlign w:val="center"/>
          </w:tcPr>
          <w:p w14:paraId="580BB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3D117A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r>
      <w:tr w14:paraId="07E8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4D826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654" w:type="pct"/>
            <w:shd w:val="clear" w:color="FFFFFF" w:fill="FFFFFF"/>
            <w:vAlign w:val="center"/>
          </w:tcPr>
          <w:p w14:paraId="66D40E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auto" w:fill="auto"/>
            <w:noWrap/>
            <w:vAlign w:val="center"/>
          </w:tcPr>
          <w:p w14:paraId="330C9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立杆</w:t>
            </w:r>
          </w:p>
        </w:tc>
        <w:tc>
          <w:tcPr>
            <w:tcW w:w="2743" w:type="pct"/>
            <w:shd w:val="clear" w:color="FFFFFF" w:fill="FFFFFF"/>
            <w:vAlign w:val="center"/>
          </w:tcPr>
          <w:p w14:paraId="62A041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1.名称：摄像机立杆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2.规格、杆高：4m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3.含基础及土方挖填、避雷针</w:t>
            </w:r>
          </w:p>
        </w:tc>
        <w:tc>
          <w:tcPr>
            <w:tcW w:w="386" w:type="pct"/>
            <w:shd w:val="clear" w:color="FFFFFF" w:fill="FFFFFF"/>
            <w:vAlign w:val="center"/>
          </w:tcPr>
          <w:p w14:paraId="032AA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5D3A46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r>
      <w:tr w14:paraId="7A61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3BAD8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654" w:type="pct"/>
            <w:shd w:val="clear" w:color="FFFFFF" w:fill="FFFFFF"/>
            <w:vAlign w:val="center"/>
          </w:tcPr>
          <w:p w14:paraId="07376D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auto" w:fill="auto"/>
            <w:noWrap/>
            <w:vAlign w:val="center"/>
          </w:tcPr>
          <w:p w14:paraId="1E907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立杆</w:t>
            </w:r>
          </w:p>
        </w:tc>
        <w:tc>
          <w:tcPr>
            <w:tcW w:w="2743" w:type="pct"/>
            <w:shd w:val="clear" w:color="FFFFFF" w:fill="FFFFFF"/>
            <w:vAlign w:val="center"/>
          </w:tcPr>
          <w:p w14:paraId="01412A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1.名称：摄像机立杆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2.规格、杆高：4.5m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3.含基础及土方挖填、避雷针</w:t>
            </w:r>
          </w:p>
        </w:tc>
        <w:tc>
          <w:tcPr>
            <w:tcW w:w="386" w:type="pct"/>
            <w:shd w:val="clear" w:color="FFFFFF" w:fill="FFFFFF"/>
            <w:vAlign w:val="center"/>
          </w:tcPr>
          <w:p w14:paraId="1476F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301" w:type="pct"/>
            <w:shd w:val="clear" w:color="FFFFFF" w:fill="FFFFFF"/>
            <w:vAlign w:val="center"/>
          </w:tcPr>
          <w:p w14:paraId="52D36B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7EBA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2F54E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654" w:type="pct"/>
            <w:shd w:val="clear" w:color="FFFFFF" w:fill="FFFFFF"/>
            <w:vAlign w:val="center"/>
          </w:tcPr>
          <w:p w14:paraId="196BBF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1767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w:t>
            </w:r>
          </w:p>
        </w:tc>
        <w:tc>
          <w:tcPr>
            <w:tcW w:w="2743" w:type="pct"/>
            <w:shd w:val="clear" w:color="FFFFFF" w:fill="FFFFFF"/>
            <w:vAlign w:val="center"/>
          </w:tcPr>
          <w:p w14:paraId="0BBE12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1.名称：室外弱电箱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2.规格：1000(H)x800(W)x600(D) ≥ IP65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3.安装方式：落地基础上安装</w:t>
            </w:r>
          </w:p>
        </w:tc>
        <w:tc>
          <w:tcPr>
            <w:tcW w:w="386" w:type="pct"/>
            <w:shd w:val="clear" w:color="FFFFFF" w:fill="FFFFFF"/>
            <w:vAlign w:val="center"/>
          </w:tcPr>
          <w:p w14:paraId="0A32B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01" w:type="pct"/>
            <w:shd w:val="clear" w:color="FFFFFF" w:fill="FFFFFF"/>
            <w:vAlign w:val="center"/>
          </w:tcPr>
          <w:p w14:paraId="31C5F4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7974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3F76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654" w:type="pct"/>
            <w:shd w:val="clear" w:color="FFFFFF" w:fill="FFFFFF"/>
            <w:vAlign w:val="center"/>
          </w:tcPr>
          <w:p w14:paraId="236EC0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744AF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5730E0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1.名称：保护管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2.规格：热镀锌钢管SC50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7C28F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AADDF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r>
      <w:tr w14:paraId="07EE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417AA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654" w:type="pct"/>
            <w:shd w:val="clear" w:color="FFFFFF" w:fill="FFFFFF"/>
            <w:vAlign w:val="center"/>
          </w:tcPr>
          <w:p w14:paraId="79DBE0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3AD73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热镀锌钢管</w:t>
            </w:r>
          </w:p>
        </w:tc>
        <w:tc>
          <w:tcPr>
            <w:tcW w:w="2743" w:type="pct"/>
            <w:shd w:val="clear" w:color="FFFFFF" w:fill="FFFFFF"/>
            <w:vAlign w:val="center"/>
          </w:tcPr>
          <w:p w14:paraId="2CD8E1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1.名称：保护管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2.规格：热镀锌钢管SC25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73FAA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6EBF23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14:paraId="6E98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27CF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654" w:type="pct"/>
            <w:shd w:val="clear" w:color="FFFFFF" w:fill="FFFFFF"/>
            <w:vAlign w:val="center"/>
          </w:tcPr>
          <w:p w14:paraId="342304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6439D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光缆</w:t>
            </w:r>
          </w:p>
        </w:tc>
        <w:tc>
          <w:tcPr>
            <w:tcW w:w="2743" w:type="pct"/>
            <w:shd w:val="clear" w:color="FFFFFF" w:fill="FFFFFF"/>
            <w:vAlign w:val="center"/>
          </w:tcPr>
          <w:p w14:paraId="25F8D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1.名称：室外单模光纤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2.规格：GYTA-24，含光纤熔接及测试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3.敷设方式：综合考虑</w:t>
            </w:r>
          </w:p>
        </w:tc>
        <w:tc>
          <w:tcPr>
            <w:tcW w:w="386" w:type="pct"/>
            <w:shd w:val="clear" w:color="FFFFFF" w:fill="FFFFFF"/>
            <w:vAlign w:val="center"/>
          </w:tcPr>
          <w:p w14:paraId="6F8F2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2102CB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r>
      <w:tr w14:paraId="0E19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4" w:type="pct"/>
            <w:shd w:val="clear" w:color="FFFFFF" w:fill="FFFFFF"/>
            <w:vAlign w:val="center"/>
          </w:tcPr>
          <w:p w14:paraId="673EE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654" w:type="pct"/>
            <w:shd w:val="clear" w:color="FFFFFF" w:fill="FFFFFF"/>
            <w:vAlign w:val="center"/>
          </w:tcPr>
          <w:p w14:paraId="0AB5B8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围界安防工程-围界安防-弱电工程</w:t>
            </w:r>
          </w:p>
        </w:tc>
        <w:tc>
          <w:tcPr>
            <w:tcW w:w="529" w:type="pct"/>
            <w:shd w:val="clear" w:color="FFFFFF" w:fill="FFFFFF"/>
            <w:vAlign w:val="center"/>
          </w:tcPr>
          <w:p w14:paraId="2AD71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桥架</w:t>
            </w:r>
          </w:p>
        </w:tc>
        <w:tc>
          <w:tcPr>
            <w:tcW w:w="2743" w:type="pct"/>
            <w:shd w:val="clear" w:color="FFFFFF" w:fill="FFFFFF"/>
            <w:vAlign w:val="center"/>
          </w:tcPr>
          <w:p w14:paraId="6397AF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1.名称：热镀锌桥架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2.规格、型号：150*100mm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3.含固定支架制作安装</w:t>
            </w:r>
          </w:p>
        </w:tc>
        <w:tc>
          <w:tcPr>
            <w:tcW w:w="386" w:type="pct"/>
            <w:shd w:val="clear" w:color="FFFFFF" w:fill="FFFFFF"/>
            <w:vAlign w:val="center"/>
          </w:tcPr>
          <w:p w14:paraId="4CD68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41EAB5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14:paraId="1FC1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0" w:hRule="atLeast"/>
        </w:trPr>
        <w:tc>
          <w:tcPr>
            <w:tcW w:w="384" w:type="pct"/>
            <w:shd w:val="clear" w:color="FFFFFF" w:fill="FFFFFF"/>
            <w:vAlign w:val="center"/>
          </w:tcPr>
          <w:p w14:paraId="45A75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654" w:type="pct"/>
            <w:shd w:val="clear" w:color="FFFFFF" w:fill="FFFFFF"/>
            <w:vAlign w:val="center"/>
          </w:tcPr>
          <w:p w14:paraId="4B130A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围界更新改造-围界更新改造工程</w:t>
            </w:r>
          </w:p>
        </w:tc>
        <w:tc>
          <w:tcPr>
            <w:tcW w:w="529" w:type="pct"/>
            <w:shd w:val="clear" w:color="FFFFFF" w:fill="FFFFFF"/>
            <w:vAlign w:val="center"/>
          </w:tcPr>
          <w:p w14:paraId="2B311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钢筋围界网</w:t>
            </w:r>
          </w:p>
        </w:tc>
        <w:tc>
          <w:tcPr>
            <w:tcW w:w="2743" w:type="pct"/>
            <w:shd w:val="clear" w:color="FFFFFF" w:fill="FFFFFF"/>
            <w:vAlign w:val="center"/>
          </w:tcPr>
          <w:p w14:paraId="0F88E5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1.原有地梁上部钢筋网围界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2.原有地梁钻孔，新建钢筋网围界与现有地梁灌浆连接，采用C20细石混凝土灌实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3.钢筋网与刺铁丝高度、规格:筋网片网格尺寸为100mm×50mm(中到中),刺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刀圈直径不小于600mm。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4.型钢立柱规格:立柱截面尺寸为80mm×60mm×2.5mm,斜撑和延伸臂截面尺寸为50mm×50mm×2.0mm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5.边框采用最小边不小于5mm的角钢,且与支撑柱联接牢固;上下边框之间有加强肋或采取其他加强措施。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6.立柱顶部应加盖柱帽,立柱与钢筋网、立柱与斜撑及立柱与延伸臂的连接采用防盗形式并经防腐处理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7.网片、立柱、斜撑及延伸臂的防腐处理要求采用金属保护层结合涂塑保护层的复合保护方式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8.其他:满足设计图纸、施工规范及招标文件要求</w:t>
            </w:r>
          </w:p>
        </w:tc>
        <w:tc>
          <w:tcPr>
            <w:tcW w:w="386" w:type="pct"/>
            <w:shd w:val="clear" w:color="FFFFFF" w:fill="FFFFFF"/>
            <w:vAlign w:val="center"/>
          </w:tcPr>
          <w:p w14:paraId="4D489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55908B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3800</w:t>
            </w:r>
          </w:p>
        </w:tc>
      </w:tr>
      <w:tr w14:paraId="73E3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84" w:type="pct"/>
            <w:shd w:val="clear" w:color="FFFFFF" w:fill="FFFFFF"/>
            <w:vAlign w:val="center"/>
          </w:tcPr>
          <w:p w14:paraId="6735C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654" w:type="pct"/>
            <w:shd w:val="clear" w:color="FFFFFF" w:fill="FFFFFF"/>
            <w:vAlign w:val="center"/>
          </w:tcPr>
          <w:p w14:paraId="519381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围界更新改造-围界更新改造工程</w:t>
            </w:r>
          </w:p>
        </w:tc>
        <w:tc>
          <w:tcPr>
            <w:tcW w:w="529" w:type="pct"/>
            <w:shd w:val="clear" w:color="FFFFFF" w:fill="FFFFFF"/>
            <w:vAlign w:val="center"/>
          </w:tcPr>
          <w:p w14:paraId="58CD9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围墙Y型支架、滚笼和刺丝</w:t>
            </w:r>
          </w:p>
        </w:tc>
        <w:tc>
          <w:tcPr>
            <w:tcW w:w="2743" w:type="pct"/>
            <w:shd w:val="clear" w:color="FFFFFF" w:fill="FFFFFF"/>
            <w:vAlign w:val="center"/>
          </w:tcPr>
          <w:p w14:paraId="21589B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1.拆除全场砖围界更换刺丝笼和Y型支撑柱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2.规格、间距:新刺丝笼和Y型支撑柱同飞行区围界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3.其他:满足设计图纸、施工规范及招标文件要求</w:t>
            </w:r>
          </w:p>
        </w:tc>
        <w:tc>
          <w:tcPr>
            <w:tcW w:w="386" w:type="pct"/>
            <w:shd w:val="clear" w:color="FFFFFF" w:fill="FFFFFF"/>
            <w:vAlign w:val="center"/>
          </w:tcPr>
          <w:p w14:paraId="676C9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301" w:type="pct"/>
            <w:shd w:val="clear" w:color="FFFFFF" w:fill="FFFFFF"/>
            <w:vAlign w:val="center"/>
          </w:tcPr>
          <w:p w14:paraId="70E23C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4870</w:t>
            </w:r>
          </w:p>
        </w:tc>
      </w:tr>
    </w:tbl>
    <w:p w14:paraId="61974C43">
      <w:pPr>
        <w:rPr>
          <w:rFonts w:hint="eastAsia" w:eastAsia="宋体"/>
          <w:b/>
          <w:bCs/>
          <w:lang w:val="en-US" w:eastAsia="zh-CN"/>
        </w:rPr>
      </w:pPr>
    </w:p>
    <w:p w14:paraId="66F92D21">
      <w:pPr>
        <w:rPr>
          <w:rFonts w:hint="default" w:eastAsia="宋体"/>
          <w:b/>
          <w:bCs/>
          <w:lang w:val="en-US" w:eastAsia="zh-CN"/>
        </w:rPr>
        <w:sectPr>
          <w:pgSz w:w="16838" w:h="11906" w:orient="landscape"/>
          <w:pgMar w:top="1293" w:right="1440" w:bottom="1519"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565E8755">
      <w:pPr>
        <w:rPr>
          <w:rFonts w:hint="eastAsia" w:ascii="黑体" w:hAnsi="黑体" w:eastAsia="黑体" w:cs="宋体"/>
          <w:b w:val="0"/>
          <w:bCs w:val="0"/>
          <w:color w:val="auto"/>
          <w:position w:val="-3"/>
          <w:sz w:val="22"/>
          <w:szCs w:val="22"/>
          <w:lang w:val="en-US" w:eastAsia="zh-CN"/>
        </w:rPr>
      </w:pPr>
      <w:r>
        <w:rPr>
          <w:rFonts w:hint="eastAsia" w:ascii="黑体" w:hAnsi="黑体" w:eastAsia="黑体" w:cs="宋体"/>
          <w:b w:val="0"/>
          <w:bCs w:val="0"/>
          <w:color w:val="auto"/>
          <w:position w:val="-3"/>
          <w:sz w:val="22"/>
          <w:szCs w:val="22"/>
          <w:lang w:val="en-US" w:eastAsia="zh-CN"/>
        </w:rPr>
        <w:t>附件：合同模板</w:t>
      </w:r>
    </w:p>
    <w:p w14:paraId="567399FE">
      <w:pPr>
        <w:rPr>
          <w:rFonts w:hint="default" w:ascii="黑体" w:hAnsi="黑体" w:eastAsia="黑体" w:cs="宋体"/>
          <w:b w:val="0"/>
          <w:bCs w:val="0"/>
          <w:color w:val="auto"/>
          <w:position w:val="-3"/>
          <w:sz w:val="22"/>
          <w:szCs w:val="22"/>
          <w:lang w:val="en-US" w:eastAsia="zh-CN"/>
        </w:rPr>
      </w:pPr>
    </w:p>
    <w:p w14:paraId="2280D43F">
      <w:pPr>
        <w:rPr>
          <w:rFonts w:hint="default" w:ascii="宋体" w:hAnsi="宋体" w:eastAsia="宋体" w:cs="宋体"/>
          <w:b/>
          <w:bCs/>
          <w:position w:val="-3"/>
          <w:sz w:val="32"/>
          <w:szCs w:val="32"/>
          <w:lang w:val="en-US" w:eastAsia="zh-CN"/>
        </w:rPr>
      </w:pPr>
      <w:r>
        <w:rPr>
          <w:rFonts w:hint="eastAsia" w:ascii="宋体" w:hAnsi="宋体" w:cs="宋体"/>
          <w:b/>
          <w:bCs/>
          <w:position w:val="-3"/>
          <w:sz w:val="28"/>
          <w:szCs w:val="28"/>
        </w:rPr>
        <w:t>合同编号：</w:t>
      </w:r>
      <w:permStart w:id="0"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0"/>
    </w:p>
    <w:p w14:paraId="57539F74">
      <w:pPr>
        <w:jc w:val="center"/>
        <w:rPr>
          <w:rFonts w:hint="eastAsia" w:ascii="宋体" w:hAnsi="宋体" w:cs="宋体"/>
          <w:b/>
          <w:bCs/>
          <w:position w:val="-3"/>
          <w:sz w:val="72"/>
          <w:szCs w:val="72"/>
        </w:rPr>
      </w:pPr>
    </w:p>
    <w:p w14:paraId="7A04CF40">
      <w:pPr>
        <w:jc w:val="center"/>
        <w:rPr>
          <w:rFonts w:hint="eastAsia" w:ascii="宋体" w:hAnsi="宋体" w:cs="宋体"/>
          <w:b/>
          <w:bCs/>
          <w:w w:val="99"/>
          <w:sz w:val="72"/>
          <w:szCs w:val="72"/>
        </w:rPr>
      </w:pPr>
      <w:permStart w:id="1" w:edGrp="everyone"/>
      <w:r>
        <w:rPr>
          <w:rFonts w:hint="eastAsia" w:ascii="宋体" w:hAnsi="宋体"/>
          <w:sz w:val="72"/>
          <w:szCs w:val="72"/>
          <w:u w:val="single"/>
        </w:rPr>
        <w:t xml:space="preserve"> </w:t>
      </w:r>
      <w:r>
        <w:rPr>
          <w:rFonts w:hint="eastAsia" w:ascii="宋体" w:hAnsi="宋体"/>
          <w:sz w:val="72"/>
          <w:szCs w:val="72"/>
          <w:u w:val="single"/>
          <w:lang w:val="en-US" w:eastAsia="zh-CN"/>
        </w:rPr>
        <w:t xml:space="preserve">项目名称：    </w:t>
      </w:r>
      <w:r>
        <w:rPr>
          <w:rFonts w:hint="eastAsia" w:ascii="宋体" w:hAnsi="宋体"/>
          <w:szCs w:val="21"/>
          <w:u w:val="single"/>
        </w:rPr>
        <w:t xml:space="preserve"> </w:t>
      </w:r>
      <w:permEnd w:id="1"/>
    </w:p>
    <w:p w14:paraId="1E95DA2A">
      <w:pPr>
        <w:jc w:val="center"/>
        <w:rPr>
          <w:rFonts w:hint="eastAsia" w:ascii="宋体" w:hAnsi="宋体" w:cs="宋体"/>
          <w:b/>
          <w:bCs/>
          <w:w w:val="99"/>
          <w:sz w:val="72"/>
          <w:szCs w:val="72"/>
        </w:rPr>
      </w:pPr>
    </w:p>
    <w:p w14:paraId="4D64A10D">
      <w:pPr>
        <w:jc w:val="center"/>
        <w:rPr>
          <w:rFonts w:hint="eastAsia" w:ascii="宋体" w:hAnsi="宋体" w:cs="宋体"/>
          <w:b/>
          <w:bCs/>
          <w:w w:val="99"/>
          <w:sz w:val="72"/>
          <w:szCs w:val="72"/>
        </w:rPr>
      </w:pPr>
    </w:p>
    <w:p w14:paraId="0ED1D2EE">
      <w:pPr>
        <w:jc w:val="center"/>
        <w:rPr>
          <w:rFonts w:ascii="宋体" w:hAnsi="宋体" w:cs="宋体"/>
          <w:b/>
          <w:bCs/>
          <w:w w:val="99"/>
          <w:sz w:val="72"/>
          <w:szCs w:val="72"/>
        </w:rPr>
      </w:pPr>
      <w:r>
        <w:rPr>
          <w:rFonts w:hint="eastAsia" w:ascii="宋体" w:hAnsi="宋体" w:cs="宋体"/>
          <w:b/>
          <w:bCs/>
          <w:w w:val="99"/>
          <w:sz w:val="72"/>
          <w:szCs w:val="72"/>
        </w:rPr>
        <w:t>采</w:t>
      </w:r>
    </w:p>
    <w:p w14:paraId="58292708">
      <w:pPr>
        <w:jc w:val="center"/>
        <w:rPr>
          <w:rFonts w:ascii="宋体" w:hAnsi="宋体" w:cs="宋体"/>
          <w:b/>
          <w:bCs/>
          <w:w w:val="99"/>
          <w:sz w:val="72"/>
          <w:szCs w:val="72"/>
        </w:rPr>
      </w:pPr>
      <w:r>
        <w:rPr>
          <w:rFonts w:hint="eastAsia" w:ascii="宋体" w:hAnsi="宋体" w:cs="宋体"/>
          <w:b/>
          <w:bCs/>
          <w:w w:val="99"/>
          <w:sz w:val="72"/>
          <w:szCs w:val="72"/>
        </w:rPr>
        <w:t>购</w:t>
      </w:r>
    </w:p>
    <w:p w14:paraId="0B37A370">
      <w:pPr>
        <w:jc w:val="center"/>
        <w:rPr>
          <w:rFonts w:ascii="宋体" w:hAnsi="宋体" w:cs="宋体"/>
          <w:b/>
          <w:bCs/>
          <w:w w:val="99"/>
          <w:sz w:val="72"/>
          <w:szCs w:val="72"/>
        </w:rPr>
      </w:pPr>
      <w:r>
        <w:rPr>
          <w:rFonts w:hint="eastAsia" w:ascii="宋体" w:hAnsi="宋体" w:cs="宋体"/>
          <w:b/>
          <w:bCs/>
          <w:w w:val="99"/>
          <w:sz w:val="72"/>
          <w:szCs w:val="72"/>
        </w:rPr>
        <w:t>合</w:t>
      </w:r>
    </w:p>
    <w:p w14:paraId="38BBBF9C">
      <w:pPr>
        <w:jc w:val="center"/>
        <w:rPr>
          <w:rFonts w:ascii="宋体" w:hAnsi="宋体" w:cs="宋体"/>
          <w:b/>
          <w:bCs/>
          <w:w w:val="99"/>
          <w:sz w:val="72"/>
          <w:szCs w:val="72"/>
        </w:rPr>
      </w:pPr>
      <w:r>
        <w:rPr>
          <w:rFonts w:hint="eastAsia" w:ascii="宋体" w:hAnsi="宋体" w:cs="宋体"/>
          <w:b/>
          <w:bCs/>
          <w:w w:val="99"/>
          <w:sz w:val="72"/>
          <w:szCs w:val="72"/>
        </w:rPr>
        <w:t>同</w:t>
      </w:r>
    </w:p>
    <w:p w14:paraId="2513CD1E">
      <w:pPr>
        <w:jc w:val="center"/>
        <w:rPr>
          <w:rFonts w:ascii="宋体" w:hAnsi="宋体" w:cs="宋体"/>
          <w:b/>
          <w:bCs/>
          <w:w w:val="99"/>
          <w:sz w:val="84"/>
          <w:szCs w:val="84"/>
        </w:rPr>
      </w:pPr>
    </w:p>
    <w:p w14:paraId="79B3287D">
      <w:pPr>
        <w:rPr>
          <w:rFonts w:ascii="仿宋_GB2312" w:hAnsi="宋体" w:eastAsia="仿宋_GB2312" w:cs="宋体"/>
          <w:b/>
          <w:bCs/>
          <w:position w:val="-3"/>
          <w:sz w:val="32"/>
          <w:szCs w:val="32"/>
        </w:rPr>
      </w:pPr>
    </w:p>
    <w:p w14:paraId="698A6242">
      <w:pPr>
        <w:rPr>
          <w:rFonts w:ascii="仿宋_GB2312" w:hAnsi="宋体" w:eastAsia="仿宋_GB2312" w:cs="宋体"/>
          <w:b/>
          <w:bCs/>
          <w:position w:val="-3"/>
          <w:sz w:val="32"/>
          <w:szCs w:val="32"/>
        </w:rPr>
      </w:pPr>
    </w:p>
    <w:p w14:paraId="27237438">
      <w:pPr>
        <w:pStyle w:val="8"/>
        <w:spacing w:before="0" w:after="0"/>
        <w:jc w:val="left"/>
        <w:rPr>
          <w:rFonts w:ascii="黑体" w:hAnsi="黑体" w:eastAsia="黑体"/>
          <w:color w:val="000000"/>
        </w:rPr>
      </w:pPr>
      <w:r>
        <w:rPr>
          <w:rFonts w:hint="eastAsia" w:ascii="黑体" w:hAnsi="黑体" w:eastAsia="黑体"/>
          <w:color w:val="000000"/>
        </w:rPr>
        <w:t>买方（甲方）：</w:t>
      </w:r>
      <w:r>
        <w:rPr>
          <w:rFonts w:hint="eastAsia" w:ascii="黑体" w:hAnsi="黑体" w:eastAsia="黑体"/>
          <w:color w:val="000000"/>
          <w:u w:val="single"/>
        </w:rPr>
        <w:t>南京禄口国际机场空港科技有限公司</w:t>
      </w:r>
    </w:p>
    <w:p w14:paraId="0FEE73C5">
      <w:pPr>
        <w:pStyle w:val="8"/>
        <w:spacing w:before="0" w:after="0"/>
        <w:jc w:val="left"/>
        <w:rPr>
          <w:rFonts w:ascii="黑体" w:hAnsi="黑体" w:eastAsia="黑体"/>
          <w:color w:val="000000"/>
        </w:rPr>
      </w:pPr>
      <w:r>
        <w:rPr>
          <w:rFonts w:hint="eastAsia" w:ascii="黑体" w:hAnsi="黑体" w:eastAsia="黑体"/>
          <w:color w:val="000000"/>
        </w:rPr>
        <w:t>卖方（乙方）：</w:t>
      </w:r>
      <w:permStart w:id="2"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2"/>
      <w:r>
        <w:rPr>
          <w:rFonts w:ascii="黑体" w:hAnsi="黑体" w:eastAsia="黑体"/>
          <w:color w:val="000000"/>
        </w:rPr>
        <w:t xml:space="preserve"> </w:t>
      </w:r>
    </w:p>
    <w:p w14:paraId="69D6113B">
      <w:pPr>
        <w:tabs>
          <w:tab w:val="center" w:pos="4215"/>
          <w:tab w:val="left" w:pos="7413"/>
        </w:tabs>
        <w:spacing w:line="360" w:lineRule="auto"/>
        <w:jc w:val="center"/>
        <w:rPr>
          <w:rFonts w:hint="eastAsia" w:ascii="宋体" w:hAnsi="宋体" w:cs="宋体"/>
          <w:b/>
          <w:sz w:val="72"/>
          <w:szCs w:val="72"/>
        </w:rPr>
      </w:pPr>
    </w:p>
    <w:p w14:paraId="3BA74C4F">
      <w:pPr>
        <w:tabs>
          <w:tab w:val="center" w:pos="4215"/>
          <w:tab w:val="left" w:pos="7413"/>
        </w:tabs>
        <w:spacing w:line="360" w:lineRule="auto"/>
        <w:jc w:val="center"/>
        <w:rPr>
          <w:rFonts w:hint="eastAsia" w:ascii="宋体" w:hAnsi="宋体" w:cs="宋体"/>
          <w:b/>
          <w:sz w:val="72"/>
          <w:szCs w:val="72"/>
        </w:rPr>
      </w:pPr>
      <w:r>
        <w:rPr>
          <w:rFonts w:hint="eastAsia" w:ascii="宋体" w:hAnsi="宋体"/>
          <w:b/>
          <w:bCs/>
          <w:sz w:val="24"/>
          <w:szCs w:val="24"/>
        </w:rPr>
        <w:t xml:space="preserve"> </w:t>
      </w:r>
      <w:r>
        <w:rPr>
          <w:rFonts w:hint="eastAsia" w:ascii="黑体" w:hAnsi="黑体" w:eastAsia="黑体" w:cs="Times New Roman"/>
          <w:b/>
          <w:bCs/>
          <w:sz w:val="24"/>
          <w:szCs w:val="24"/>
          <w:lang w:val="en-US" w:eastAsia="zh-CN"/>
        </w:rPr>
        <w:t xml:space="preserve">  </w:t>
      </w:r>
      <w:permStart w:id="3"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3"/>
      <w:r>
        <w:rPr>
          <w:rFonts w:hint="eastAsia" w:ascii="黑体" w:hAnsi="黑体" w:eastAsia="黑体"/>
          <w:b/>
          <w:bCs/>
          <w:sz w:val="24"/>
          <w:szCs w:val="24"/>
        </w:rPr>
        <w:t>年</w:t>
      </w:r>
      <w:permStart w:id="4"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permEnd w:id="4"/>
      <w:r>
        <w:rPr>
          <w:rFonts w:hint="eastAsia" w:ascii="黑体" w:hAnsi="黑体" w:eastAsia="黑体"/>
          <w:b/>
          <w:bCs/>
          <w:sz w:val="24"/>
          <w:szCs w:val="24"/>
        </w:rPr>
        <w:t>月</w:t>
      </w:r>
      <w:permStart w:id="5"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permEnd w:id="5"/>
      <w:r>
        <w:rPr>
          <w:rFonts w:hint="eastAsia" w:ascii="黑体" w:hAnsi="黑体" w:eastAsia="黑体"/>
          <w:b/>
          <w:bCs/>
          <w:sz w:val="24"/>
          <w:szCs w:val="24"/>
        </w:rPr>
        <w:t>日</w:t>
      </w:r>
    </w:p>
    <w:p w14:paraId="2FEE5614">
      <w:pPr>
        <w:pageBreakBefore/>
        <w:tabs>
          <w:tab w:val="center" w:pos="4215"/>
          <w:tab w:val="left" w:pos="7413"/>
        </w:tabs>
        <w:spacing w:line="360" w:lineRule="auto"/>
        <w:jc w:val="center"/>
        <w:rPr>
          <w:rFonts w:ascii="宋体" w:hAnsi="宋体" w:cs="黑体"/>
          <w:b/>
          <w:sz w:val="24"/>
          <w:szCs w:val="24"/>
        </w:rPr>
      </w:pPr>
      <w:r>
        <w:rPr>
          <w:rFonts w:hint="eastAsia" w:ascii="宋体" w:hAnsi="宋体" w:cs="宋体"/>
          <w:b/>
          <w:sz w:val="72"/>
          <w:szCs w:val="72"/>
        </w:rPr>
        <w:t xml:space="preserve">采  购  </w:t>
      </w:r>
      <w:r>
        <w:rPr>
          <w:rFonts w:ascii="宋体" w:hAnsi="宋体" w:cs="宋体"/>
          <w:b/>
          <w:sz w:val="72"/>
          <w:szCs w:val="72"/>
        </w:rPr>
        <w:t>合</w:t>
      </w:r>
      <w:r>
        <w:rPr>
          <w:rFonts w:ascii="宋体" w:hAnsi="宋体" w:cs="华文行楷"/>
          <w:b/>
          <w:sz w:val="72"/>
          <w:szCs w:val="72"/>
        </w:rPr>
        <w:t xml:space="preserve">  </w:t>
      </w:r>
      <w:r>
        <w:rPr>
          <w:rFonts w:ascii="宋体" w:hAnsi="宋体" w:cs="宋体"/>
          <w:b/>
          <w:sz w:val="72"/>
          <w:szCs w:val="72"/>
        </w:rPr>
        <w:t>同</w:t>
      </w:r>
    </w:p>
    <w:p w14:paraId="051E6767">
      <w:pPr>
        <w:spacing w:line="360" w:lineRule="auto"/>
        <w:rPr>
          <w:rFonts w:ascii="黑体" w:hAnsi="黑体" w:eastAsia="黑体" w:cs="Arial"/>
          <w:b/>
          <w:sz w:val="24"/>
          <w:szCs w:val="24"/>
        </w:rPr>
      </w:pPr>
      <w:r>
        <w:rPr>
          <w:rFonts w:hint="eastAsia" w:ascii="宋体" w:hAnsi="宋体" w:cs="黑体"/>
          <w:b/>
          <w:sz w:val="24"/>
          <w:szCs w:val="24"/>
        </w:rPr>
        <w:t xml:space="preserve"> </w:t>
      </w:r>
      <w:r>
        <w:rPr>
          <w:rFonts w:ascii="黑体" w:hAnsi="黑体" w:eastAsia="黑体" w:cs="黑体"/>
          <w:b/>
          <w:sz w:val="24"/>
          <w:szCs w:val="24"/>
        </w:rPr>
        <w:t>购货单位：</w:t>
      </w:r>
      <w:r>
        <w:rPr>
          <w:rFonts w:hint="eastAsia" w:ascii="黑体" w:hAnsi="黑体" w:eastAsia="黑体"/>
          <w:b/>
          <w:sz w:val="24"/>
          <w:szCs w:val="24"/>
          <w:u w:val="single"/>
        </w:rPr>
        <w:t>南京禄口国际机场空港科技有限公司</w:t>
      </w:r>
      <w:r>
        <w:rPr>
          <w:rFonts w:hint="eastAsia" w:ascii="黑体" w:hAnsi="黑体" w:eastAsia="黑体"/>
          <w:b/>
          <w:sz w:val="24"/>
          <w:szCs w:val="24"/>
        </w:rPr>
        <w:t xml:space="preserve">  （以下简称甲方）</w:t>
      </w:r>
    </w:p>
    <w:p w14:paraId="4D911FB6">
      <w:pPr>
        <w:spacing w:line="360" w:lineRule="auto"/>
        <w:rPr>
          <w:rFonts w:ascii="黑体" w:hAnsi="黑体" w:eastAsia="黑体"/>
          <w:b/>
          <w:sz w:val="24"/>
          <w:szCs w:val="24"/>
        </w:rPr>
      </w:pPr>
      <w:r>
        <w:rPr>
          <w:rFonts w:ascii="黑体" w:hAnsi="黑体" w:eastAsia="黑体" w:cs="黑体"/>
          <w:b/>
          <w:sz w:val="24"/>
          <w:szCs w:val="24"/>
        </w:rPr>
        <w:t xml:space="preserve"> 供货单位：</w:t>
      </w:r>
      <w:permStart w:id="6"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6"/>
      <w:r>
        <w:rPr>
          <w:rFonts w:hint="eastAsia" w:ascii="黑体" w:hAnsi="黑体" w:eastAsia="黑体"/>
          <w:b/>
          <w:sz w:val="24"/>
          <w:szCs w:val="24"/>
        </w:rPr>
        <w:t xml:space="preserve">          </w:t>
      </w:r>
      <w:r>
        <w:rPr>
          <w:rFonts w:ascii="黑体" w:hAnsi="黑体" w:eastAsia="黑体"/>
          <w:b/>
          <w:sz w:val="24"/>
          <w:szCs w:val="24"/>
        </w:rPr>
        <w:t>（以下简称乙方）</w:t>
      </w:r>
    </w:p>
    <w:p w14:paraId="49849BA9">
      <w:pPr>
        <w:spacing w:line="360" w:lineRule="auto"/>
        <w:ind w:firstLine="720" w:firstLineChars="300"/>
        <w:rPr>
          <w:rFonts w:hint="eastAsia" w:ascii="宋体" w:hAnsi="宋体"/>
          <w:sz w:val="24"/>
          <w:szCs w:val="24"/>
        </w:rPr>
      </w:pPr>
      <w:r>
        <w:rPr>
          <w:rFonts w:ascii="宋体" w:hAnsi="宋体"/>
          <w:bCs/>
          <w:sz w:val="24"/>
          <w:szCs w:val="24"/>
        </w:rPr>
        <w:t>根据《中华人民共和国</w:t>
      </w:r>
      <w:r>
        <w:rPr>
          <w:rFonts w:hint="eastAsia" w:ascii="宋体" w:hAnsi="宋体"/>
          <w:bCs/>
          <w:sz w:val="24"/>
          <w:szCs w:val="24"/>
          <w:lang w:val="en-US" w:eastAsia="zh-CN"/>
        </w:rPr>
        <w:t>民法典</w:t>
      </w:r>
      <w:r>
        <w:rPr>
          <w:rFonts w:ascii="宋体" w:hAnsi="宋体"/>
          <w:bCs/>
          <w:sz w:val="24"/>
          <w:szCs w:val="24"/>
        </w:rPr>
        <w:t>》，经甲乙双方协商一致</w:t>
      </w:r>
      <w:r>
        <w:rPr>
          <w:rFonts w:hint="eastAsia" w:ascii="宋体" w:hAnsi="宋体"/>
          <w:bCs/>
          <w:sz w:val="24"/>
          <w:szCs w:val="24"/>
        </w:rPr>
        <w:t>，</w:t>
      </w:r>
      <w:r>
        <w:rPr>
          <w:rFonts w:ascii="宋体" w:hAnsi="宋体"/>
          <w:bCs/>
          <w:sz w:val="24"/>
          <w:szCs w:val="24"/>
        </w:rPr>
        <w:t>在公平自愿的基础上签定本合同</w:t>
      </w:r>
      <w:r>
        <w:rPr>
          <w:rFonts w:ascii="宋体" w:hAnsi="宋体"/>
          <w:sz w:val="24"/>
          <w:szCs w:val="24"/>
        </w:rPr>
        <w:t xml:space="preserve"> </w:t>
      </w:r>
      <w:r>
        <w:rPr>
          <w:rFonts w:hint="eastAsia" w:ascii="宋体" w:hAnsi="宋体"/>
          <w:sz w:val="24"/>
          <w:szCs w:val="24"/>
        </w:rPr>
        <w:t>，</w:t>
      </w:r>
      <w:r>
        <w:rPr>
          <w:rFonts w:hint="eastAsia" w:ascii="宋体" w:hAnsi="宋体" w:cs="Arial"/>
          <w:sz w:val="24"/>
          <w:szCs w:val="24"/>
        </w:rPr>
        <w:t>就所购产品拟订以下条款，以资共同信守。</w:t>
      </w:r>
    </w:p>
    <w:p w14:paraId="282A5326">
      <w:pPr>
        <w:tabs>
          <w:tab w:val="left" w:pos="8669"/>
        </w:tabs>
        <w:spacing w:line="360" w:lineRule="auto"/>
        <w:ind w:firstLine="482" w:firstLineChars="200"/>
        <w:rPr>
          <w:rFonts w:ascii="黑体" w:hAnsi="黑体" w:eastAsia="黑体" w:cs="Arial"/>
          <w:b/>
          <w:bCs/>
          <w:sz w:val="24"/>
          <w:szCs w:val="24"/>
        </w:rPr>
      </w:pPr>
      <w:r>
        <w:rPr>
          <w:rFonts w:hint="eastAsia" w:ascii="黑体" w:hAnsi="黑体" w:eastAsia="黑体" w:cs="Arial"/>
          <w:b/>
          <w:bCs/>
          <w:sz w:val="24"/>
          <w:szCs w:val="24"/>
        </w:rPr>
        <w:t>一、产品采购清单：</w:t>
      </w:r>
    </w:p>
    <w:p w14:paraId="43692445">
      <w:pPr>
        <w:spacing w:line="360" w:lineRule="auto"/>
        <w:ind w:right="211"/>
        <w:jc w:val="right"/>
        <w:rPr>
          <w:rFonts w:hint="eastAsia" w:ascii="黑体" w:hAnsi="黑体" w:eastAsia="黑体" w:cs="Arial"/>
          <w:b/>
          <w:bCs/>
          <w:szCs w:val="21"/>
        </w:rPr>
      </w:pPr>
      <w:r>
        <w:rPr>
          <w:rFonts w:hint="eastAsia" w:ascii="黑体" w:hAnsi="黑体" w:eastAsia="黑体" w:cs="Arial"/>
          <w:b/>
          <w:bCs/>
          <w:szCs w:val="21"/>
        </w:rPr>
        <w:t>单位：人民币/元</w:t>
      </w:r>
    </w:p>
    <w:tbl>
      <w:tblPr>
        <w:tblStyle w:val="10"/>
        <w:tblW w:w="10080" w:type="dxa"/>
        <w:tblInd w:w="93" w:type="dxa"/>
        <w:tblLayout w:type="fixed"/>
        <w:tblCellMar>
          <w:top w:w="0" w:type="dxa"/>
          <w:left w:w="108" w:type="dxa"/>
          <w:bottom w:w="0" w:type="dxa"/>
          <w:right w:w="108" w:type="dxa"/>
        </w:tblCellMar>
      </w:tblPr>
      <w:tblGrid>
        <w:gridCol w:w="640"/>
        <w:gridCol w:w="1751"/>
        <w:gridCol w:w="2142"/>
        <w:gridCol w:w="918"/>
        <w:gridCol w:w="749"/>
        <w:gridCol w:w="781"/>
        <w:gridCol w:w="939"/>
        <w:gridCol w:w="876"/>
        <w:gridCol w:w="1284"/>
      </w:tblGrid>
      <w:tr w14:paraId="7E1991D3">
        <w:tblPrEx>
          <w:tblCellMar>
            <w:top w:w="0" w:type="dxa"/>
            <w:left w:w="108" w:type="dxa"/>
            <w:bottom w:w="0" w:type="dxa"/>
            <w:right w:w="108" w:type="dxa"/>
          </w:tblCellMar>
        </w:tblPrEx>
        <w:trPr>
          <w:trHeight w:val="540" w:hRule="atLeast"/>
        </w:trPr>
        <w:tc>
          <w:tcPr>
            <w:tcW w:w="640" w:type="dxa"/>
            <w:tcBorders>
              <w:top w:val="single" w:color="auto" w:sz="4" w:space="0"/>
              <w:left w:val="single" w:color="auto" w:sz="4" w:space="0"/>
              <w:bottom w:val="single" w:color="auto" w:sz="4" w:space="0"/>
              <w:right w:val="single" w:color="auto" w:sz="4" w:space="0"/>
            </w:tcBorders>
            <w:shd w:val="clear" w:color="000000" w:fill="C0C0C0"/>
            <w:noWrap w:val="0"/>
            <w:vAlign w:val="bottom"/>
          </w:tcPr>
          <w:p w14:paraId="6672416E">
            <w:pPr>
              <w:jc w:val="center"/>
              <w:rPr>
                <w:rFonts w:ascii="黑体" w:hAnsi="黑体" w:eastAsia="黑体" w:cs="宋体"/>
                <w:b/>
                <w:bCs/>
                <w:kern w:val="0"/>
                <w:sz w:val="22"/>
                <w:szCs w:val="22"/>
              </w:rPr>
            </w:pPr>
            <w:r>
              <w:rPr>
                <w:rFonts w:hint="eastAsia" w:ascii="黑体" w:hAnsi="黑体" w:eastAsia="黑体" w:cs="宋体"/>
                <w:b/>
                <w:bCs/>
                <w:kern w:val="0"/>
                <w:sz w:val="22"/>
                <w:szCs w:val="22"/>
              </w:rPr>
              <w:t>序号</w:t>
            </w:r>
          </w:p>
        </w:tc>
        <w:tc>
          <w:tcPr>
            <w:tcW w:w="1751" w:type="dxa"/>
            <w:tcBorders>
              <w:top w:val="single" w:color="auto" w:sz="4" w:space="0"/>
              <w:left w:val="nil"/>
              <w:bottom w:val="single" w:color="auto" w:sz="4" w:space="0"/>
              <w:right w:val="single" w:color="auto" w:sz="4" w:space="0"/>
            </w:tcBorders>
            <w:shd w:val="clear" w:color="000000" w:fill="C0C0C0"/>
            <w:noWrap w:val="0"/>
            <w:vAlign w:val="bottom"/>
          </w:tcPr>
          <w:p w14:paraId="5A2027D9">
            <w:pPr>
              <w:jc w:val="center"/>
              <w:rPr>
                <w:rFonts w:ascii="黑体" w:hAnsi="黑体" w:eastAsia="黑体" w:cs="宋体"/>
                <w:b/>
                <w:bCs/>
                <w:kern w:val="0"/>
                <w:sz w:val="22"/>
                <w:szCs w:val="22"/>
              </w:rPr>
            </w:pPr>
            <w:r>
              <w:rPr>
                <w:rFonts w:hint="eastAsia" w:ascii="黑体" w:hAnsi="黑体" w:eastAsia="黑体" w:cs="宋体"/>
                <w:b/>
                <w:bCs/>
                <w:kern w:val="0"/>
                <w:sz w:val="22"/>
                <w:szCs w:val="22"/>
              </w:rPr>
              <w:t>设备名称</w:t>
            </w:r>
          </w:p>
        </w:tc>
        <w:tc>
          <w:tcPr>
            <w:tcW w:w="2142" w:type="dxa"/>
            <w:tcBorders>
              <w:top w:val="single" w:color="auto" w:sz="4" w:space="0"/>
              <w:left w:val="nil"/>
              <w:bottom w:val="single" w:color="auto" w:sz="4" w:space="0"/>
              <w:right w:val="single" w:color="auto" w:sz="4" w:space="0"/>
            </w:tcBorders>
            <w:shd w:val="clear" w:color="000000" w:fill="C0C0C0"/>
            <w:noWrap w:val="0"/>
            <w:vAlign w:val="bottom"/>
          </w:tcPr>
          <w:p w14:paraId="624BF743">
            <w:pPr>
              <w:jc w:val="center"/>
              <w:rPr>
                <w:rFonts w:ascii="黑体" w:hAnsi="黑体" w:eastAsia="黑体" w:cs="宋体"/>
                <w:b/>
                <w:bCs/>
                <w:kern w:val="0"/>
                <w:sz w:val="22"/>
                <w:szCs w:val="22"/>
              </w:rPr>
            </w:pPr>
            <w:r>
              <w:rPr>
                <w:rFonts w:hint="eastAsia" w:ascii="黑体" w:hAnsi="黑体" w:eastAsia="黑体" w:cs="宋体"/>
                <w:b/>
                <w:bCs/>
                <w:kern w:val="0"/>
                <w:sz w:val="22"/>
                <w:szCs w:val="22"/>
              </w:rPr>
              <w:t>规格型号</w:t>
            </w:r>
          </w:p>
        </w:tc>
        <w:tc>
          <w:tcPr>
            <w:tcW w:w="918" w:type="dxa"/>
            <w:tcBorders>
              <w:top w:val="single" w:color="auto" w:sz="4" w:space="0"/>
              <w:left w:val="nil"/>
              <w:bottom w:val="single" w:color="auto" w:sz="4" w:space="0"/>
              <w:right w:val="single" w:color="auto" w:sz="4" w:space="0"/>
            </w:tcBorders>
            <w:shd w:val="clear" w:color="000000" w:fill="C0C0C0"/>
            <w:noWrap w:val="0"/>
            <w:vAlign w:val="bottom"/>
          </w:tcPr>
          <w:p w14:paraId="17A7014F">
            <w:pPr>
              <w:jc w:val="center"/>
              <w:rPr>
                <w:rFonts w:ascii="黑体" w:hAnsi="黑体" w:eastAsia="黑体" w:cs="宋体"/>
                <w:b/>
                <w:bCs/>
                <w:kern w:val="0"/>
                <w:sz w:val="22"/>
                <w:szCs w:val="22"/>
              </w:rPr>
            </w:pPr>
            <w:r>
              <w:rPr>
                <w:rFonts w:hint="eastAsia" w:ascii="黑体" w:hAnsi="黑体" w:eastAsia="黑体" w:cs="宋体"/>
                <w:b/>
                <w:bCs/>
                <w:kern w:val="0"/>
                <w:sz w:val="22"/>
                <w:szCs w:val="22"/>
              </w:rPr>
              <w:t>品牌</w:t>
            </w:r>
          </w:p>
        </w:tc>
        <w:tc>
          <w:tcPr>
            <w:tcW w:w="749" w:type="dxa"/>
            <w:tcBorders>
              <w:top w:val="single" w:color="auto" w:sz="4" w:space="0"/>
              <w:left w:val="nil"/>
              <w:bottom w:val="single" w:color="auto" w:sz="4" w:space="0"/>
              <w:right w:val="single" w:color="auto" w:sz="4" w:space="0"/>
            </w:tcBorders>
            <w:shd w:val="clear" w:color="000000" w:fill="C0C0C0"/>
            <w:noWrap w:val="0"/>
            <w:vAlign w:val="bottom"/>
          </w:tcPr>
          <w:p w14:paraId="42B95166">
            <w:pPr>
              <w:jc w:val="center"/>
              <w:rPr>
                <w:rFonts w:ascii="黑体" w:hAnsi="黑体" w:eastAsia="黑体" w:cs="宋体"/>
                <w:b/>
                <w:bCs/>
                <w:kern w:val="0"/>
                <w:sz w:val="22"/>
                <w:szCs w:val="22"/>
              </w:rPr>
            </w:pPr>
            <w:r>
              <w:rPr>
                <w:rFonts w:hint="eastAsia" w:ascii="黑体" w:hAnsi="黑体" w:eastAsia="黑体" w:cs="宋体"/>
                <w:b/>
                <w:bCs/>
                <w:kern w:val="0"/>
                <w:sz w:val="22"/>
                <w:szCs w:val="22"/>
              </w:rPr>
              <w:t>单位</w:t>
            </w:r>
          </w:p>
        </w:tc>
        <w:tc>
          <w:tcPr>
            <w:tcW w:w="781" w:type="dxa"/>
            <w:tcBorders>
              <w:top w:val="single" w:color="auto" w:sz="4" w:space="0"/>
              <w:left w:val="nil"/>
              <w:bottom w:val="single" w:color="auto" w:sz="4" w:space="0"/>
              <w:right w:val="single" w:color="auto" w:sz="4" w:space="0"/>
            </w:tcBorders>
            <w:shd w:val="clear" w:color="000000" w:fill="C0C0C0"/>
            <w:noWrap w:val="0"/>
            <w:vAlign w:val="bottom"/>
          </w:tcPr>
          <w:p w14:paraId="126BC15E">
            <w:pPr>
              <w:jc w:val="center"/>
              <w:rPr>
                <w:rFonts w:ascii="黑体" w:hAnsi="黑体" w:eastAsia="黑体" w:cs="宋体"/>
                <w:b/>
                <w:bCs/>
                <w:kern w:val="0"/>
                <w:sz w:val="22"/>
                <w:szCs w:val="22"/>
              </w:rPr>
            </w:pPr>
            <w:r>
              <w:rPr>
                <w:rFonts w:hint="eastAsia" w:ascii="黑体" w:hAnsi="黑体" w:eastAsia="黑体" w:cs="宋体"/>
                <w:b/>
                <w:bCs/>
                <w:kern w:val="0"/>
                <w:sz w:val="22"/>
                <w:szCs w:val="22"/>
              </w:rPr>
              <w:t>数量</w:t>
            </w:r>
          </w:p>
        </w:tc>
        <w:tc>
          <w:tcPr>
            <w:tcW w:w="939" w:type="dxa"/>
            <w:tcBorders>
              <w:top w:val="single" w:color="auto" w:sz="4" w:space="0"/>
              <w:left w:val="nil"/>
              <w:bottom w:val="single" w:color="auto" w:sz="4" w:space="0"/>
              <w:right w:val="single" w:color="auto" w:sz="4" w:space="0"/>
            </w:tcBorders>
            <w:shd w:val="clear" w:color="000000" w:fill="C0C0C0"/>
            <w:noWrap w:val="0"/>
            <w:vAlign w:val="bottom"/>
          </w:tcPr>
          <w:p w14:paraId="0414406C">
            <w:pPr>
              <w:jc w:val="center"/>
              <w:rPr>
                <w:rFonts w:ascii="黑体" w:hAnsi="黑体" w:eastAsia="黑体" w:cs="宋体"/>
                <w:b/>
                <w:bCs/>
                <w:kern w:val="0"/>
                <w:sz w:val="22"/>
                <w:szCs w:val="22"/>
              </w:rPr>
            </w:pPr>
            <w:r>
              <w:rPr>
                <w:rFonts w:hint="eastAsia" w:ascii="黑体" w:hAnsi="黑体" w:eastAsia="黑体" w:cs="宋体"/>
                <w:b/>
                <w:bCs/>
                <w:kern w:val="0"/>
                <w:sz w:val="22"/>
                <w:szCs w:val="22"/>
              </w:rPr>
              <w:t>单价</w:t>
            </w:r>
          </w:p>
        </w:tc>
        <w:tc>
          <w:tcPr>
            <w:tcW w:w="876" w:type="dxa"/>
            <w:tcBorders>
              <w:top w:val="single" w:color="auto" w:sz="4" w:space="0"/>
              <w:left w:val="nil"/>
              <w:bottom w:val="single" w:color="auto" w:sz="4" w:space="0"/>
              <w:right w:val="single" w:color="auto" w:sz="4" w:space="0"/>
            </w:tcBorders>
            <w:shd w:val="clear" w:color="000000" w:fill="C0C0C0"/>
            <w:noWrap w:val="0"/>
            <w:vAlign w:val="bottom"/>
          </w:tcPr>
          <w:p w14:paraId="26BB4480">
            <w:pPr>
              <w:jc w:val="center"/>
              <w:rPr>
                <w:rFonts w:ascii="黑体" w:hAnsi="黑体" w:eastAsia="黑体" w:cs="宋体"/>
                <w:b/>
                <w:bCs/>
                <w:kern w:val="0"/>
                <w:sz w:val="22"/>
                <w:szCs w:val="22"/>
              </w:rPr>
            </w:pPr>
            <w:r>
              <w:rPr>
                <w:rFonts w:hint="eastAsia" w:ascii="黑体" w:hAnsi="黑体" w:eastAsia="黑体" w:cs="宋体"/>
                <w:b/>
                <w:bCs/>
                <w:kern w:val="0"/>
                <w:sz w:val="22"/>
                <w:szCs w:val="22"/>
              </w:rPr>
              <w:t>总价</w:t>
            </w:r>
          </w:p>
        </w:tc>
        <w:tc>
          <w:tcPr>
            <w:tcW w:w="1284" w:type="dxa"/>
            <w:tcBorders>
              <w:top w:val="single" w:color="auto" w:sz="4" w:space="0"/>
              <w:left w:val="nil"/>
              <w:bottom w:val="single" w:color="auto" w:sz="4" w:space="0"/>
              <w:right w:val="single" w:color="auto" w:sz="4" w:space="0"/>
            </w:tcBorders>
            <w:shd w:val="clear" w:color="000000" w:fill="C0C0C0"/>
            <w:noWrap w:val="0"/>
            <w:vAlign w:val="bottom"/>
          </w:tcPr>
          <w:p w14:paraId="133D2C94">
            <w:pPr>
              <w:jc w:val="center"/>
              <w:rPr>
                <w:rFonts w:ascii="黑体" w:hAnsi="黑体" w:eastAsia="黑体" w:cs="宋体"/>
                <w:b/>
                <w:bCs/>
                <w:kern w:val="0"/>
                <w:sz w:val="22"/>
                <w:szCs w:val="22"/>
              </w:rPr>
            </w:pPr>
            <w:r>
              <w:rPr>
                <w:rFonts w:hint="eastAsia" w:ascii="黑体" w:hAnsi="黑体" w:eastAsia="黑体" w:cs="宋体"/>
                <w:b/>
                <w:bCs/>
                <w:kern w:val="0"/>
                <w:sz w:val="22"/>
                <w:szCs w:val="22"/>
              </w:rPr>
              <w:t>备注</w:t>
            </w:r>
          </w:p>
        </w:tc>
      </w:tr>
      <w:tr w14:paraId="440511EB">
        <w:tblPrEx>
          <w:tblCellMar>
            <w:top w:w="0" w:type="dxa"/>
            <w:left w:w="108" w:type="dxa"/>
            <w:bottom w:w="0" w:type="dxa"/>
            <w:right w:w="108" w:type="dxa"/>
          </w:tblCellMar>
        </w:tblPrEx>
        <w:trPr>
          <w:trHeight w:val="660" w:hRule="atLeast"/>
        </w:trPr>
        <w:tc>
          <w:tcPr>
            <w:tcW w:w="640" w:type="dxa"/>
            <w:tcBorders>
              <w:top w:val="nil"/>
              <w:left w:val="single" w:color="auto" w:sz="4" w:space="0"/>
              <w:bottom w:val="single" w:color="auto" w:sz="4" w:space="0"/>
              <w:right w:val="single" w:color="auto" w:sz="4" w:space="0"/>
            </w:tcBorders>
            <w:noWrap/>
            <w:vAlign w:val="center"/>
          </w:tcPr>
          <w:p w14:paraId="419DE7D9">
            <w:pPr>
              <w:jc w:val="center"/>
              <w:rPr>
                <w:rFonts w:hint="eastAsia"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1</w:t>
            </w:r>
          </w:p>
        </w:tc>
        <w:tc>
          <w:tcPr>
            <w:tcW w:w="1751" w:type="dxa"/>
            <w:tcBorders>
              <w:top w:val="nil"/>
              <w:left w:val="nil"/>
              <w:bottom w:val="single" w:color="auto" w:sz="4" w:space="0"/>
              <w:right w:val="single" w:color="auto" w:sz="4" w:space="0"/>
            </w:tcBorders>
            <w:noWrap w:val="0"/>
            <w:vAlign w:val="center"/>
          </w:tcPr>
          <w:p w14:paraId="01AE721B">
            <w:pPr>
              <w:keepNext w:val="0"/>
              <w:keepLines w:val="0"/>
              <w:widowControl/>
              <w:suppressLineNumbers w:val="0"/>
              <w:jc w:val="center"/>
              <w:textAlignment w:val="center"/>
              <w:rPr>
                <w:rFonts w:hint="eastAsia" w:ascii="宋体" w:hAnsi="宋体" w:eastAsia="宋体" w:cs="宋体"/>
                <w:kern w:val="0"/>
                <w:sz w:val="22"/>
                <w:szCs w:val="22"/>
                <w:lang w:val="en-US" w:eastAsia="zh-CN"/>
              </w:rPr>
            </w:pPr>
          </w:p>
        </w:tc>
        <w:tc>
          <w:tcPr>
            <w:tcW w:w="2142" w:type="dxa"/>
            <w:tcBorders>
              <w:top w:val="nil"/>
              <w:left w:val="nil"/>
              <w:bottom w:val="single" w:color="auto" w:sz="4" w:space="0"/>
              <w:right w:val="single" w:color="auto" w:sz="4" w:space="0"/>
            </w:tcBorders>
            <w:noWrap w:val="0"/>
            <w:vAlign w:val="center"/>
          </w:tcPr>
          <w:p w14:paraId="6DBAA987">
            <w:pPr>
              <w:keepNext w:val="0"/>
              <w:keepLines w:val="0"/>
              <w:widowControl/>
              <w:suppressLineNumbers w:val="0"/>
              <w:jc w:val="center"/>
              <w:textAlignment w:val="center"/>
              <w:rPr>
                <w:rFonts w:hint="default" w:ascii="宋体" w:hAnsi="宋体" w:eastAsia="宋体" w:cs="宋体"/>
                <w:kern w:val="0"/>
                <w:sz w:val="22"/>
                <w:szCs w:val="22"/>
                <w:lang w:val="en-US" w:eastAsia="zh-CN"/>
              </w:rPr>
            </w:pPr>
          </w:p>
        </w:tc>
        <w:tc>
          <w:tcPr>
            <w:tcW w:w="918" w:type="dxa"/>
            <w:tcBorders>
              <w:top w:val="nil"/>
              <w:left w:val="nil"/>
              <w:bottom w:val="single" w:color="auto" w:sz="4" w:space="0"/>
              <w:right w:val="single" w:color="auto" w:sz="4" w:space="0"/>
            </w:tcBorders>
            <w:noWrap w:val="0"/>
            <w:vAlign w:val="center"/>
          </w:tcPr>
          <w:p w14:paraId="5729D5A6">
            <w:pPr>
              <w:keepNext w:val="0"/>
              <w:keepLines w:val="0"/>
              <w:widowControl/>
              <w:suppressLineNumbers w:val="0"/>
              <w:jc w:val="center"/>
              <w:textAlignment w:val="center"/>
              <w:rPr>
                <w:rFonts w:hint="eastAsia" w:ascii="宋体" w:hAnsi="宋体" w:eastAsia="宋体" w:cs="宋体"/>
                <w:kern w:val="0"/>
                <w:sz w:val="22"/>
                <w:szCs w:val="22"/>
                <w:lang w:val="en-US" w:eastAsia="zh-CN"/>
              </w:rPr>
            </w:pPr>
          </w:p>
        </w:tc>
        <w:tc>
          <w:tcPr>
            <w:tcW w:w="749" w:type="dxa"/>
            <w:tcBorders>
              <w:top w:val="nil"/>
              <w:left w:val="nil"/>
              <w:bottom w:val="single" w:color="auto" w:sz="4" w:space="0"/>
              <w:right w:val="single" w:color="auto" w:sz="4" w:space="0"/>
            </w:tcBorders>
            <w:noWrap w:val="0"/>
            <w:vAlign w:val="center"/>
          </w:tcPr>
          <w:p w14:paraId="69631614">
            <w:pPr>
              <w:keepNext w:val="0"/>
              <w:keepLines w:val="0"/>
              <w:widowControl/>
              <w:suppressLineNumbers w:val="0"/>
              <w:jc w:val="center"/>
              <w:textAlignment w:val="center"/>
              <w:rPr>
                <w:rFonts w:hint="eastAsia" w:ascii="宋体" w:hAnsi="宋体" w:eastAsia="宋体" w:cs="宋体"/>
                <w:kern w:val="0"/>
                <w:sz w:val="22"/>
                <w:szCs w:val="22"/>
                <w:lang w:val="en-US" w:eastAsia="zh-CN"/>
              </w:rPr>
            </w:pPr>
          </w:p>
        </w:tc>
        <w:tc>
          <w:tcPr>
            <w:tcW w:w="781" w:type="dxa"/>
            <w:tcBorders>
              <w:top w:val="nil"/>
              <w:left w:val="nil"/>
              <w:bottom w:val="single" w:color="auto" w:sz="4" w:space="0"/>
              <w:right w:val="single" w:color="auto" w:sz="4" w:space="0"/>
            </w:tcBorders>
            <w:noWrap w:val="0"/>
            <w:vAlign w:val="center"/>
          </w:tcPr>
          <w:p w14:paraId="0EDAD5B9">
            <w:pPr>
              <w:keepNext w:val="0"/>
              <w:keepLines w:val="0"/>
              <w:widowControl/>
              <w:suppressLineNumbers w:val="0"/>
              <w:jc w:val="center"/>
              <w:textAlignment w:val="center"/>
              <w:rPr>
                <w:rFonts w:hint="eastAsia" w:ascii="宋体" w:hAnsi="宋体" w:cs="宋体"/>
                <w:kern w:val="0"/>
                <w:sz w:val="22"/>
                <w:szCs w:val="22"/>
                <w:lang w:val="en-US" w:eastAsia="zh-CN"/>
              </w:rPr>
            </w:pPr>
          </w:p>
        </w:tc>
        <w:tc>
          <w:tcPr>
            <w:tcW w:w="939" w:type="dxa"/>
            <w:tcBorders>
              <w:top w:val="nil"/>
              <w:left w:val="nil"/>
              <w:bottom w:val="single" w:color="auto" w:sz="4" w:space="0"/>
              <w:right w:val="single" w:color="auto" w:sz="4" w:space="0"/>
            </w:tcBorders>
            <w:noWrap/>
            <w:vAlign w:val="center"/>
          </w:tcPr>
          <w:p w14:paraId="242C0D2B">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rPr>
            </w:pPr>
          </w:p>
        </w:tc>
        <w:tc>
          <w:tcPr>
            <w:tcW w:w="876" w:type="dxa"/>
            <w:tcBorders>
              <w:top w:val="nil"/>
              <w:left w:val="nil"/>
              <w:bottom w:val="single" w:color="auto" w:sz="4" w:space="0"/>
              <w:right w:val="single" w:color="auto" w:sz="4" w:space="0"/>
            </w:tcBorders>
            <w:noWrap/>
            <w:vAlign w:val="center"/>
          </w:tcPr>
          <w:p w14:paraId="132D1546">
            <w:pPr>
              <w:keepNext w:val="0"/>
              <w:keepLines w:val="0"/>
              <w:widowControl/>
              <w:suppressLineNumbers w:val="0"/>
              <w:jc w:val="center"/>
              <w:textAlignment w:val="center"/>
              <w:rPr>
                <w:rFonts w:hint="default" w:ascii="宋体" w:hAnsi="宋体" w:eastAsia="宋体" w:cs="宋体"/>
                <w:color w:val="auto"/>
                <w:kern w:val="0"/>
                <w:sz w:val="22"/>
                <w:szCs w:val="22"/>
                <w:lang w:val="en-US" w:eastAsia="zh-CN"/>
              </w:rPr>
            </w:pPr>
          </w:p>
        </w:tc>
        <w:tc>
          <w:tcPr>
            <w:tcW w:w="1284" w:type="dxa"/>
            <w:tcBorders>
              <w:top w:val="nil"/>
              <w:left w:val="single" w:color="auto" w:sz="4" w:space="0"/>
              <w:bottom w:val="single" w:color="auto" w:sz="4" w:space="0"/>
              <w:right w:val="single" w:color="auto" w:sz="4" w:space="0"/>
            </w:tcBorders>
            <w:noWrap w:val="0"/>
            <w:vAlign w:val="center"/>
          </w:tcPr>
          <w:p w14:paraId="5494A649">
            <w:pPr>
              <w:jc w:val="center"/>
              <w:rPr>
                <w:rFonts w:hint="eastAsia" w:ascii="宋体" w:hAnsi="宋体" w:eastAsia="宋体" w:cs="宋体"/>
                <w:kern w:val="0"/>
                <w:sz w:val="24"/>
                <w:szCs w:val="24"/>
                <w:lang w:val="en-US" w:eastAsia="zh-CN"/>
              </w:rPr>
            </w:pPr>
          </w:p>
        </w:tc>
      </w:tr>
      <w:tr w14:paraId="4A4E02B7">
        <w:tblPrEx>
          <w:tblCellMar>
            <w:top w:w="0" w:type="dxa"/>
            <w:left w:w="108" w:type="dxa"/>
            <w:bottom w:w="0" w:type="dxa"/>
            <w:right w:w="108" w:type="dxa"/>
          </w:tblCellMar>
        </w:tblPrEx>
        <w:trPr>
          <w:trHeight w:val="495" w:hRule="atLeast"/>
        </w:trPr>
        <w:tc>
          <w:tcPr>
            <w:tcW w:w="7920" w:type="dxa"/>
            <w:gridSpan w:val="7"/>
            <w:tcBorders>
              <w:top w:val="single" w:color="auto" w:sz="4" w:space="0"/>
              <w:left w:val="single" w:color="auto" w:sz="4" w:space="0"/>
              <w:bottom w:val="single" w:color="auto" w:sz="4" w:space="0"/>
              <w:right w:val="single" w:color="auto" w:sz="4" w:space="0"/>
            </w:tcBorders>
            <w:noWrap/>
            <w:vAlign w:val="center"/>
          </w:tcPr>
          <w:p w14:paraId="49B19FAE">
            <w:pPr>
              <w:jc w:val="center"/>
              <w:rPr>
                <w:rFonts w:ascii="宋体" w:hAnsi="宋体" w:cs="宋体"/>
                <w:kern w:val="0"/>
                <w:sz w:val="22"/>
                <w:szCs w:val="22"/>
              </w:rPr>
            </w:pPr>
            <w:r>
              <w:rPr>
                <w:rFonts w:hint="eastAsia" w:ascii="宋体" w:hAnsi="宋体" w:cs="宋体"/>
                <w:kern w:val="0"/>
                <w:sz w:val="22"/>
                <w:szCs w:val="22"/>
                <w:lang w:val="en-US" w:eastAsia="zh-CN"/>
              </w:rPr>
              <w:t xml:space="preserve"> </w:t>
            </w:r>
            <w:r>
              <w:rPr>
                <w:rFonts w:hint="eastAsia" w:ascii="宋体" w:hAnsi="宋体" w:cs="宋体"/>
                <w:kern w:val="0"/>
                <w:sz w:val="22"/>
                <w:szCs w:val="22"/>
              </w:rPr>
              <w:t>合计（大写）：元整</w:t>
            </w:r>
          </w:p>
        </w:tc>
        <w:tc>
          <w:tcPr>
            <w:tcW w:w="876" w:type="dxa"/>
            <w:tcBorders>
              <w:top w:val="nil"/>
              <w:left w:val="nil"/>
              <w:bottom w:val="single" w:color="auto" w:sz="4" w:space="0"/>
              <w:right w:val="single" w:color="auto" w:sz="4" w:space="0"/>
            </w:tcBorders>
            <w:noWrap/>
            <w:vAlign w:val="center"/>
          </w:tcPr>
          <w:p w14:paraId="371D5880">
            <w:pPr>
              <w:jc w:val="center"/>
              <w:rPr>
                <w:rFonts w:hint="default" w:ascii="宋体" w:hAnsi="宋体" w:eastAsia="宋体" w:cs="宋体"/>
                <w:color w:val="auto"/>
                <w:kern w:val="0"/>
                <w:sz w:val="22"/>
                <w:szCs w:val="22"/>
                <w:lang w:val="en-US" w:eastAsia="zh-CN"/>
              </w:rPr>
            </w:pPr>
          </w:p>
        </w:tc>
        <w:tc>
          <w:tcPr>
            <w:tcW w:w="1284" w:type="dxa"/>
            <w:tcBorders>
              <w:top w:val="nil"/>
              <w:left w:val="nil"/>
              <w:bottom w:val="single" w:color="auto" w:sz="4" w:space="0"/>
              <w:right w:val="single" w:color="auto" w:sz="4" w:space="0"/>
            </w:tcBorders>
            <w:noWrap/>
            <w:vAlign w:val="center"/>
          </w:tcPr>
          <w:p w14:paraId="450BD89A">
            <w:pPr>
              <w:rPr>
                <w:rFonts w:ascii="宋体" w:hAnsi="宋体" w:cs="宋体"/>
                <w:color w:val="auto"/>
                <w:kern w:val="0"/>
                <w:sz w:val="22"/>
                <w:szCs w:val="22"/>
              </w:rPr>
            </w:pPr>
            <w:r>
              <w:rPr>
                <w:rFonts w:hint="eastAsia" w:ascii="宋体" w:hAnsi="宋体" w:cs="宋体"/>
                <w:color w:val="auto"/>
                <w:kern w:val="0"/>
                <w:sz w:val="22"/>
                <w:szCs w:val="22"/>
              </w:rPr>
              <w:t>　</w:t>
            </w:r>
          </w:p>
        </w:tc>
      </w:tr>
      <w:tr w14:paraId="02DA4D45">
        <w:tblPrEx>
          <w:tblCellMar>
            <w:top w:w="0" w:type="dxa"/>
            <w:left w:w="108" w:type="dxa"/>
            <w:bottom w:w="0" w:type="dxa"/>
            <w:right w:w="108" w:type="dxa"/>
          </w:tblCellMar>
        </w:tblPrEx>
        <w:trPr>
          <w:trHeight w:val="465" w:hRule="atLeast"/>
        </w:trPr>
        <w:tc>
          <w:tcPr>
            <w:tcW w:w="10080" w:type="dxa"/>
            <w:gridSpan w:val="9"/>
            <w:tcBorders>
              <w:top w:val="single" w:color="auto" w:sz="4" w:space="0"/>
              <w:left w:val="single" w:color="auto" w:sz="4" w:space="0"/>
              <w:bottom w:val="single" w:color="auto" w:sz="4" w:space="0"/>
              <w:right w:val="single" w:color="auto" w:sz="4" w:space="0"/>
            </w:tcBorders>
            <w:noWrap/>
            <w:vAlign w:val="center"/>
          </w:tcPr>
          <w:p w14:paraId="6ABE507E">
            <w:pPr>
              <w:rPr>
                <w:rFonts w:ascii="黑体" w:hAnsi="黑体" w:eastAsia="黑体" w:cs="宋体"/>
                <w:b/>
                <w:bCs/>
                <w:kern w:val="0"/>
                <w:sz w:val="22"/>
                <w:szCs w:val="22"/>
              </w:rPr>
            </w:pPr>
            <w:r>
              <w:rPr>
                <w:rFonts w:hint="eastAsia" w:ascii="黑体" w:hAnsi="黑体" w:eastAsia="黑体" w:cs="宋体"/>
                <w:b/>
                <w:bCs/>
                <w:kern w:val="0"/>
                <w:sz w:val="22"/>
                <w:szCs w:val="22"/>
              </w:rPr>
              <w:t>含</w:t>
            </w:r>
            <w:r>
              <w:rPr>
                <w:rFonts w:hint="eastAsia" w:ascii="黑体" w:hAnsi="黑体" w:eastAsia="黑体" w:cs="宋体"/>
                <w:b/>
                <w:bCs/>
                <w:kern w:val="0"/>
                <w:sz w:val="22"/>
                <w:szCs w:val="22"/>
                <w:lang w:val="en-US" w:eastAsia="zh-CN"/>
              </w:rPr>
              <w:t>3</w:t>
            </w:r>
            <w:r>
              <w:rPr>
                <w:rFonts w:hint="eastAsia" w:ascii="黑体" w:hAnsi="黑体" w:eastAsia="黑体" w:cs="宋体"/>
                <w:b/>
                <w:bCs/>
                <w:kern w:val="0"/>
                <w:sz w:val="22"/>
                <w:szCs w:val="22"/>
              </w:rPr>
              <w:t>%增值税专用发票</w:t>
            </w:r>
            <w:r>
              <w:rPr>
                <w:rFonts w:hint="eastAsia" w:ascii="黑体" w:hAnsi="黑体" w:eastAsia="黑体" w:cs="宋体"/>
                <w:b/>
                <w:bCs/>
                <w:kern w:val="0"/>
                <w:sz w:val="22"/>
                <w:szCs w:val="22"/>
                <w:lang w:eastAsia="zh-CN"/>
              </w:rPr>
              <w:t>、调试</w:t>
            </w:r>
            <w:r>
              <w:rPr>
                <w:rFonts w:hint="eastAsia" w:ascii="黑体" w:hAnsi="黑体" w:eastAsia="黑体" w:cs="宋体"/>
                <w:b/>
                <w:bCs/>
                <w:kern w:val="0"/>
                <w:sz w:val="22"/>
                <w:szCs w:val="22"/>
              </w:rPr>
              <w:t>及运费。</w:t>
            </w:r>
          </w:p>
        </w:tc>
      </w:tr>
      <w:tr w14:paraId="3411BCD1">
        <w:tblPrEx>
          <w:tblCellMar>
            <w:top w:w="0" w:type="dxa"/>
            <w:left w:w="108" w:type="dxa"/>
            <w:bottom w:w="0" w:type="dxa"/>
            <w:right w:w="108" w:type="dxa"/>
          </w:tblCellMar>
        </w:tblPrEx>
        <w:trPr>
          <w:trHeight w:val="465" w:hRule="atLeast"/>
        </w:trPr>
        <w:tc>
          <w:tcPr>
            <w:tcW w:w="10080" w:type="dxa"/>
            <w:gridSpan w:val="9"/>
            <w:tcBorders>
              <w:top w:val="single" w:color="auto" w:sz="4" w:space="0"/>
              <w:left w:val="single" w:color="auto" w:sz="4" w:space="0"/>
              <w:bottom w:val="single" w:color="auto" w:sz="4" w:space="0"/>
              <w:right w:val="single" w:color="auto" w:sz="4" w:space="0"/>
            </w:tcBorders>
            <w:noWrap/>
            <w:vAlign w:val="center"/>
          </w:tcPr>
          <w:p w14:paraId="2225B70B">
            <w:pPr>
              <w:rPr>
                <w:rFonts w:hint="default" w:ascii="黑体" w:hAnsi="黑体" w:eastAsia="黑体" w:cs="宋体"/>
                <w:b/>
                <w:bCs/>
                <w:kern w:val="0"/>
                <w:sz w:val="22"/>
                <w:szCs w:val="22"/>
                <w:lang w:val="en-US" w:eastAsia="zh-CN"/>
              </w:rPr>
            </w:pPr>
            <w:r>
              <w:rPr>
                <w:rFonts w:hint="eastAsia" w:ascii="黑体" w:hAnsi="黑体" w:eastAsia="黑体" w:cs="宋体"/>
                <w:b/>
                <w:bCs/>
                <w:kern w:val="0"/>
                <w:sz w:val="22"/>
                <w:szCs w:val="22"/>
                <w:lang w:val="en-US" w:eastAsia="zh-CN"/>
              </w:rPr>
              <w:t>不含税金额为：元；税金为：元。</w:t>
            </w:r>
          </w:p>
        </w:tc>
      </w:tr>
    </w:tbl>
    <w:p w14:paraId="492FCACF">
      <w:pPr>
        <w:spacing w:line="360" w:lineRule="auto"/>
        <w:ind w:firstLine="482" w:firstLineChars="200"/>
        <w:rPr>
          <w:rFonts w:ascii="黑体" w:hAnsi="黑体" w:eastAsia="黑体" w:cs="Arial"/>
          <w:b/>
          <w:bCs/>
          <w:sz w:val="24"/>
          <w:szCs w:val="24"/>
        </w:rPr>
      </w:pPr>
      <w:r>
        <w:rPr>
          <w:rFonts w:hint="eastAsia" w:ascii="黑体" w:hAnsi="黑体" w:eastAsia="黑体" w:cs="Arial"/>
          <w:b/>
          <w:bCs/>
          <w:sz w:val="24"/>
          <w:szCs w:val="24"/>
        </w:rPr>
        <w:t>二、产品的质量标准</w:t>
      </w:r>
    </w:p>
    <w:p w14:paraId="2B54AA12">
      <w:pPr>
        <w:spacing w:line="360" w:lineRule="auto"/>
        <w:ind w:firstLine="480" w:firstLineChars="200"/>
        <w:rPr>
          <w:rFonts w:ascii="宋体" w:hAnsi="宋体"/>
          <w:sz w:val="24"/>
          <w:szCs w:val="24"/>
        </w:rPr>
      </w:pPr>
      <w:r>
        <w:rPr>
          <w:rFonts w:hint="eastAsia" w:ascii="宋体" w:hAnsi="宋体"/>
          <w:sz w:val="24"/>
          <w:szCs w:val="24"/>
        </w:rPr>
        <w:t>1、产品质量标准：执行最新国家及行业标准、国家和地方行政主管部门的有关规定。本合同货物用于【】</w:t>
      </w:r>
      <w:r>
        <w:rPr>
          <w:rFonts w:hint="eastAsia" w:ascii="宋体" w:hAnsi="宋体"/>
          <w:sz w:val="24"/>
          <w:szCs w:val="24"/>
          <w:lang w:val="en-US" w:eastAsia="zh-CN"/>
        </w:rPr>
        <w:t>项目，</w:t>
      </w:r>
      <w:r>
        <w:rPr>
          <w:rFonts w:hint="eastAsia" w:ascii="宋体" w:hAnsi="宋体"/>
          <w:sz w:val="24"/>
          <w:szCs w:val="24"/>
        </w:rPr>
        <w:t>甲方与</w:t>
      </w:r>
      <w:r>
        <w:rPr>
          <w:rFonts w:hint="eastAsia" w:ascii="宋体" w:hAnsi="宋体"/>
          <w:sz w:val="24"/>
          <w:szCs w:val="24"/>
          <w:lang w:val="en-US" w:eastAsia="zh-CN"/>
        </w:rPr>
        <w:t>项目</w:t>
      </w:r>
      <w:r>
        <w:rPr>
          <w:rFonts w:hint="eastAsia" w:ascii="宋体" w:hAnsi="宋体"/>
          <w:sz w:val="24"/>
          <w:szCs w:val="24"/>
        </w:rPr>
        <w:t>业主方签订的合同</w:t>
      </w:r>
      <w:r>
        <w:rPr>
          <w:rFonts w:hint="eastAsia" w:ascii="宋体" w:hAnsi="宋体"/>
          <w:sz w:val="24"/>
          <w:szCs w:val="24"/>
          <w:lang w:val="en-US" w:eastAsia="zh-CN"/>
        </w:rPr>
        <w:t>及项目招标文件</w:t>
      </w:r>
      <w:r>
        <w:rPr>
          <w:rFonts w:hint="eastAsia" w:ascii="宋体" w:hAnsi="宋体"/>
          <w:sz w:val="24"/>
          <w:szCs w:val="24"/>
        </w:rPr>
        <w:t>中的产品质量标准作为本合同附件，乙方提供的产品应能符合</w:t>
      </w:r>
      <w:r>
        <w:rPr>
          <w:rFonts w:hint="eastAsia" w:ascii="宋体" w:hAnsi="宋体"/>
          <w:sz w:val="24"/>
          <w:szCs w:val="24"/>
          <w:lang w:val="en-US" w:eastAsia="zh-CN"/>
        </w:rPr>
        <w:t>上述</w:t>
      </w:r>
      <w:r>
        <w:rPr>
          <w:rFonts w:hint="eastAsia" w:ascii="宋体" w:hAnsi="宋体"/>
          <w:sz w:val="24"/>
          <w:szCs w:val="24"/>
        </w:rPr>
        <w:t>相关质量及规格要求</w:t>
      </w:r>
      <w:r>
        <w:rPr>
          <w:rFonts w:hint="eastAsia" w:ascii="宋体" w:hAnsi="宋体"/>
          <w:sz w:val="24"/>
          <w:szCs w:val="24"/>
          <w:lang w:val="en-US" w:eastAsia="zh-CN"/>
        </w:rPr>
        <w:t>中的最高要求</w:t>
      </w:r>
      <w:r>
        <w:rPr>
          <w:rFonts w:hint="eastAsia" w:ascii="宋体" w:hAnsi="宋体"/>
          <w:sz w:val="24"/>
          <w:szCs w:val="24"/>
        </w:rPr>
        <w:t>。</w:t>
      </w:r>
    </w:p>
    <w:p w14:paraId="193D1489">
      <w:pPr>
        <w:spacing w:line="360" w:lineRule="auto"/>
        <w:ind w:firstLine="480" w:firstLineChars="200"/>
        <w:rPr>
          <w:rFonts w:ascii="宋体" w:hAnsi="宋体"/>
          <w:sz w:val="24"/>
          <w:szCs w:val="24"/>
        </w:rPr>
      </w:pPr>
      <w:r>
        <w:rPr>
          <w:rFonts w:hint="eastAsia" w:ascii="宋体" w:hAnsi="宋体"/>
          <w:sz w:val="24"/>
          <w:szCs w:val="24"/>
        </w:rPr>
        <w:t>2、乙方保证所提供的本合同标的物在设计、性能、技术和材料方面都是完备的，必须符合本合同约定的“质量标准”，且为原厂全新产品，</w:t>
      </w:r>
      <w:r>
        <w:rPr>
          <w:rFonts w:hint="eastAsia" w:ascii="宋体" w:hAnsi="宋体"/>
          <w:kern w:val="0"/>
          <w:sz w:val="24"/>
          <w:szCs w:val="24"/>
        </w:rPr>
        <w:t>达到产品各项性能指标和参数，</w:t>
      </w:r>
      <w:r>
        <w:rPr>
          <w:rFonts w:hint="eastAsia" w:ascii="宋体" w:hAnsi="宋体"/>
          <w:sz w:val="24"/>
          <w:szCs w:val="24"/>
        </w:rPr>
        <w:t>其质量符合有关的国标标准，</w:t>
      </w:r>
      <w:r>
        <w:rPr>
          <w:rFonts w:hint="eastAsia" w:ascii="宋体" w:hAnsi="宋体"/>
          <w:kern w:val="0"/>
          <w:sz w:val="24"/>
          <w:szCs w:val="24"/>
        </w:rPr>
        <w:t>并能保证工程验收合格。乙方保证所供产品自生产日至交付日的期间未超过保质期的三分之一（如产品有保质期）。</w:t>
      </w:r>
    </w:p>
    <w:p w14:paraId="0E9DB18B">
      <w:pPr>
        <w:spacing w:line="360" w:lineRule="auto"/>
        <w:ind w:firstLine="480" w:firstLineChars="200"/>
        <w:rPr>
          <w:rFonts w:hint="eastAsia" w:ascii="宋体" w:hAnsi="宋体" w:cs="Arial"/>
          <w:sz w:val="24"/>
          <w:szCs w:val="24"/>
        </w:rPr>
      </w:pPr>
      <w:r>
        <w:rPr>
          <w:rFonts w:hint="eastAsia" w:ascii="宋体" w:hAnsi="宋体" w:cs="Arial"/>
          <w:sz w:val="24"/>
          <w:szCs w:val="24"/>
        </w:rPr>
        <w:t>3、乙方提供的货物必须是正品行货，若为假冒伪劣产品，则假一罚十。</w:t>
      </w:r>
    </w:p>
    <w:p w14:paraId="2EEF9703">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4、乙方向甲方所提供的产品在质保期内发现缺陷和供应设备损坏的索赔应在质保期届满后三十天仍然有效。上述保证所包括的任何损坏，应在双方同意的时间内由乙方安排做出必要的维修或更换。在保证期后，乙方有偿向甲方提供完善的保养和维修服务以及零部件</w:t>
      </w:r>
      <w:r>
        <w:rPr>
          <w:rFonts w:hint="eastAsia" w:ascii="宋体" w:hAnsi="宋体"/>
          <w:sz w:val="24"/>
          <w:szCs w:val="24"/>
          <w:lang w:eastAsia="zh-CN"/>
        </w:rPr>
        <w:t>。乙方应</w:t>
      </w:r>
      <w:r>
        <w:rPr>
          <w:rFonts w:hint="eastAsia" w:ascii="宋体" w:hAnsi="宋体"/>
          <w:sz w:val="24"/>
          <w:szCs w:val="24"/>
          <w:lang w:val="en-US" w:eastAsia="zh-CN"/>
        </w:rPr>
        <w:t>在供应</w:t>
      </w:r>
      <w:r>
        <w:rPr>
          <w:rFonts w:hint="eastAsia" w:ascii="宋体" w:hAnsi="宋体"/>
          <w:sz w:val="24"/>
          <w:szCs w:val="24"/>
          <w:lang w:eastAsia="zh-CN"/>
        </w:rPr>
        <w:t>货物之后的10年内，备有在功能和质量上与本合同货物中所含部件实质等同且兼容可用的备品备件。</w:t>
      </w:r>
    </w:p>
    <w:p w14:paraId="3E572471">
      <w:pPr>
        <w:spacing w:line="360" w:lineRule="auto"/>
        <w:ind w:firstLine="480" w:firstLineChars="200"/>
        <w:rPr>
          <w:rFonts w:ascii="宋体" w:hAnsi="宋体"/>
          <w:sz w:val="24"/>
          <w:szCs w:val="24"/>
        </w:rPr>
      </w:pPr>
      <w:r>
        <w:rPr>
          <w:rFonts w:hint="eastAsia" w:ascii="宋体" w:hAnsi="宋体"/>
          <w:sz w:val="24"/>
          <w:szCs w:val="24"/>
        </w:rPr>
        <w:t>5、乙方随货提供相应设备的相关报验资料、检验报告、原厂证明书、合格证，进口产品需有报关证明文件，报验资料加盖乙方公司的原件章。乙方随货资料不符合要求，甲方有权拒收该批货物且乙方应赔偿因此给甲方造成的损失。</w:t>
      </w:r>
    </w:p>
    <w:p w14:paraId="2A713450">
      <w:pPr>
        <w:spacing w:line="360" w:lineRule="auto"/>
        <w:ind w:firstLine="482" w:firstLineChars="200"/>
        <w:rPr>
          <w:rFonts w:ascii="黑体" w:hAnsi="黑体" w:eastAsia="黑体" w:cs="Arial"/>
          <w:sz w:val="24"/>
          <w:szCs w:val="24"/>
        </w:rPr>
      </w:pPr>
      <w:r>
        <w:rPr>
          <w:rFonts w:hint="eastAsia" w:ascii="黑体" w:hAnsi="黑体" w:eastAsia="黑体" w:cs="Arial"/>
          <w:b/>
          <w:bCs/>
          <w:sz w:val="24"/>
          <w:szCs w:val="24"/>
        </w:rPr>
        <w:t>三、产品的包装标准</w:t>
      </w:r>
    </w:p>
    <w:p w14:paraId="57DFBA71">
      <w:pPr>
        <w:spacing w:line="360" w:lineRule="auto"/>
        <w:ind w:firstLine="480" w:firstLineChars="200"/>
        <w:rPr>
          <w:rFonts w:ascii="宋体" w:hAnsi="宋体"/>
          <w:sz w:val="24"/>
          <w:szCs w:val="24"/>
        </w:rPr>
      </w:pPr>
      <w:r>
        <w:rPr>
          <w:rFonts w:hint="eastAsia" w:ascii="宋体" w:hAnsi="宋体"/>
          <w:sz w:val="24"/>
          <w:szCs w:val="24"/>
        </w:rPr>
        <w:t>由乙方按照产品出厂包装标准包装，适合长途运输及多次搬运的坚固包装，并采取措施防止设备受潮、防漏、生锈及震动等影响，以保证设备安全抵达安装现场。乙方在</w:t>
      </w:r>
      <w:r>
        <w:rPr>
          <w:rFonts w:hint="eastAsia" w:ascii="宋体" w:hAnsi="宋体"/>
          <w:sz w:val="24"/>
          <w:szCs w:val="24"/>
          <w:lang w:val="en-US" w:eastAsia="zh-CN"/>
        </w:rPr>
        <w:t>货物</w:t>
      </w:r>
      <w:r>
        <w:rPr>
          <w:rFonts w:hint="eastAsia" w:ascii="宋体" w:hAnsi="宋体"/>
          <w:sz w:val="24"/>
          <w:szCs w:val="24"/>
        </w:rPr>
        <w:t>外包装和</w:t>
      </w:r>
      <w:r>
        <w:rPr>
          <w:rFonts w:hint="eastAsia" w:ascii="宋体" w:hAnsi="宋体"/>
          <w:sz w:val="24"/>
          <w:szCs w:val="24"/>
          <w:lang w:val="en-US" w:eastAsia="zh-CN"/>
        </w:rPr>
        <w:t>送货</w:t>
      </w:r>
      <w:r>
        <w:rPr>
          <w:rFonts w:hint="eastAsia" w:ascii="宋体" w:hAnsi="宋体"/>
          <w:sz w:val="24"/>
          <w:szCs w:val="24"/>
        </w:rPr>
        <w:t>单上必须标识清楚与实物相符的品名、品牌、规格、数量等</w:t>
      </w:r>
      <w:r>
        <w:rPr>
          <w:rFonts w:hint="eastAsia" w:ascii="宋体" w:hAnsi="宋体"/>
          <w:sz w:val="24"/>
          <w:szCs w:val="24"/>
          <w:lang w:val="en-US" w:eastAsia="zh-CN"/>
        </w:rPr>
        <w:t>信息</w:t>
      </w:r>
      <w:r>
        <w:rPr>
          <w:rFonts w:hint="eastAsia" w:ascii="宋体" w:hAnsi="宋体"/>
          <w:sz w:val="24"/>
          <w:szCs w:val="24"/>
        </w:rPr>
        <w:t>。由于包装不当而引起的损坏和损失均由乙方负责。包装符合国家法律规定的标准，产品包装不符国家法律规定时，乙方应负责返修或重新包装，并承担返修或重新包装的费用。</w:t>
      </w:r>
    </w:p>
    <w:p w14:paraId="27A5135C">
      <w:pPr>
        <w:spacing w:line="360" w:lineRule="auto"/>
        <w:ind w:firstLine="482" w:firstLineChars="200"/>
        <w:rPr>
          <w:rFonts w:hint="eastAsia" w:ascii="黑体" w:hAnsi="黑体" w:eastAsia="黑体"/>
          <w:b/>
          <w:sz w:val="24"/>
          <w:szCs w:val="24"/>
        </w:rPr>
      </w:pPr>
      <w:r>
        <w:rPr>
          <w:rFonts w:hint="eastAsia" w:ascii="黑体" w:hAnsi="黑体" w:eastAsia="黑体" w:cs="Arial"/>
          <w:b/>
          <w:bCs/>
          <w:sz w:val="24"/>
          <w:szCs w:val="24"/>
        </w:rPr>
        <w:t>四、产品的</w:t>
      </w:r>
      <w:r>
        <w:rPr>
          <w:rFonts w:hint="eastAsia" w:ascii="黑体" w:hAnsi="黑体" w:eastAsia="黑体"/>
          <w:b/>
          <w:sz w:val="24"/>
          <w:szCs w:val="24"/>
        </w:rPr>
        <w:t>交货条件</w:t>
      </w:r>
    </w:p>
    <w:p w14:paraId="27AB3EF4">
      <w:pPr>
        <w:spacing w:line="360" w:lineRule="auto"/>
        <w:ind w:firstLine="480" w:firstLineChars="200"/>
        <w:rPr>
          <w:rFonts w:hint="eastAsia" w:ascii="宋体" w:hAnsi="宋体"/>
          <w:sz w:val="24"/>
          <w:szCs w:val="24"/>
        </w:rPr>
      </w:pPr>
      <w:r>
        <w:rPr>
          <w:rFonts w:hint="eastAsia" w:ascii="宋体" w:hAnsi="宋体"/>
          <w:sz w:val="24"/>
          <w:szCs w:val="24"/>
        </w:rPr>
        <w:t xml:space="preserve">1、交货日期： </w:t>
      </w:r>
      <w:permStart w:id="7"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7"/>
      <w:r>
        <w:rPr>
          <w:rFonts w:hint="eastAsia" w:ascii="宋体" w:hAnsi="宋体"/>
          <w:sz w:val="24"/>
          <w:szCs w:val="24"/>
          <w:u w:val="single"/>
        </w:rPr>
        <w:t xml:space="preserve"> </w:t>
      </w:r>
      <w:r>
        <w:rPr>
          <w:rFonts w:hint="eastAsia" w:ascii="宋体" w:hAnsi="宋体"/>
          <w:sz w:val="24"/>
          <w:szCs w:val="24"/>
        </w:rPr>
        <w:t>。</w:t>
      </w:r>
    </w:p>
    <w:p w14:paraId="657181BA">
      <w:pPr>
        <w:spacing w:line="360" w:lineRule="auto"/>
        <w:ind w:firstLine="480" w:firstLineChars="200"/>
        <w:rPr>
          <w:rFonts w:hint="eastAsia" w:ascii="宋体" w:hAnsi="宋体"/>
          <w:sz w:val="24"/>
          <w:szCs w:val="24"/>
          <w:u w:val="single"/>
        </w:rPr>
      </w:pPr>
      <w:r>
        <w:rPr>
          <w:rFonts w:hint="eastAsia" w:ascii="宋体" w:hAnsi="宋体"/>
          <w:sz w:val="24"/>
          <w:szCs w:val="24"/>
        </w:rPr>
        <w:t>2、交货地址：</w:t>
      </w:r>
      <w:permStart w:id="8"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8"/>
      <w:r>
        <w:rPr>
          <w:rFonts w:hint="eastAsia" w:ascii="宋体" w:hAnsi="宋体"/>
          <w:sz w:val="24"/>
          <w:szCs w:val="24"/>
        </w:rPr>
        <w:t>。</w:t>
      </w:r>
    </w:p>
    <w:p w14:paraId="5FEFE657">
      <w:pPr>
        <w:spacing w:line="360" w:lineRule="auto"/>
        <w:ind w:firstLine="480" w:firstLineChars="200"/>
        <w:rPr>
          <w:rFonts w:hint="eastAsia" w:ascii="宋体" w:hAnsi="宋体"/>
          <w:sz w:val="24"/>
          <w:szCs w:val="24"/>
        </w:rPr>
      </w:pPr>
      <w:r>
        <w:rPr>
          <w:rFonts w:hint="eastAsia" w:ascii="宋体" w:hAnsi="宋体"/>
          <w:sz w:val="24"/>
          <w:szCs w:val="24"/>
        </w:rPr>
        <w:t>3、</w:t>
      </w:r>
      <w:r>
        <w:rPr>
          <w:rFonts w:hint="eastAsia" w:ascii="宋体" w:hAnsi="宋体" w:cs="Arial"/>
          <w:sz w:val="24"/>
          <w:szCs w:val="24"/>
        </w:rPr>
        <w:t>收货人：</w:t>
      </w:r>
      <w:permStart w:id="9"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9"/>
      <w:r>
        <w:rPr>
          <w:rFonts w:hint="eastAsia" w:ascii="宋体" w:hAnsi="宋体" w:cs="Arial"/>
          <w:color w:val="auto"/>
          <w:sz w:val="24"/>
          <w:szCs w:val="24"/>
          <w:u w:val="single"/>
        </w:rPr>
        <w:t xml:space="preserve"> </w:t>
      </w:r>
      <w:r>
        <w:rPr>
          <w:rFonts w:hint="eastAsia" w:ascii="宋体" w:hAnsi="宋体" w:cs="Arial"/>
          <w:color w:val="auto"/>
          <w:sz w:val="24"/>
          <w:szCs w:val="24"/>
        </w:rPr>
        <w:t xml:space="preserve"> ；联系电话：</w:t>
      </w:r>
      <w:permStart w:id="10"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ermEnd w:id="10"/>
      <w:r>
        <w:rPr>
          <w:rFonts w:hint="eastAsia" w:ascii="宋体" w:hAnsi="宋体" w:cs="Arial"/>
          <w:sz w:val="24"/>
          <w:szCs w:val="24"/>
        </w:rPr>
        <w:t>。乙方应</w:t>
      </w:r>
      <w:r>
        <w:rPr>
          <w:rFonts w:hint="eastAsia" w:ascii="宋体" w:hAnsi="宋体" w:cs="Arial"/>
          <w:sz w:val="24"/>
          <w:szCs w:val="24"/>
          <w:lang w:val="en-US" w:eastAsia="zh-CN"/>
        </w:rPr>
        <w:t>发</w:t>
      </w:r>
      <w:r>
        <w:rPr>
          <w:rFonts w:hint="eastAsia" w:ascii="宋体" w:hAnsi="宋体" w:cs="Arial"/>
          <w:sz w:val="24"/>
          <w:szCs w:val="24"/>
        </w:rPr>
        <w:t>货前</w:t>
      </w:r>
      <w:r>
        <w:rPr>
          <w:rFonts w:hint="eastAsia" w:ascii="宋体" w:hAnsi="宋体" w:cs="Arial"/>
          <w:sz w:val="24"/>
          <w:szCs w:val="24"/>
          <w:lang w:val="en-US" w:eastAsia="zh-CN"/>
        </w:rPr>
        <w:t>48小时</w:t>
      </w:r>
      <w:r>
        <w:rPr>
          <w:rFonts w:hint="eastAsia" w:ascii="宋体" w:hAnsi="宋体" w:cs="Arial"/>
          <w:sz w:val="24"/>
          <w:szCs w:val="24"/>
        </w:rPr>
        <w:t>向甲方提供</w:t>
      </w:r>
      <w:r>
        <w:rPr>
          <w:rFonts w:hint="eastAsia" w:ascii="宋体" w:hAnsi="宋体" w:cs="Arial"/>
          <w:sz w:val="24"/>
          <w:szCs w:val="24"/>
          <w:lang w:val="en-US" w:eastAsia="zh-CN"/>
        </w:rPr>
        <w:t>发货</w:t>
      </w:r>
      <w:r>
        <w:rPr>
          <w:rFonts w:hint="eastAsia" w:ascii="宋体" w:hAnsi="宋体" w:cs="Arial"/>
          <w:sz w:val="24"/>
          <w:szCs w:val="24"/>
        </w:rPr>
        <w:t>计划（内容包括：订单编号、产品名称、规格型号、数量、价格、重量和体积、拟发运的时间及其他必要的说明），</w:t>
      </w:r>
      <w:r>
        <w:rPr>
          <w:rFonts w:hint="eastAsia" w:ascii="宋体" w:hAnsi="宋体" w:cs="Arial"/>
          <w:sz w:val="24"/>
          <w:szCs w:val="24"/>
          <w:lang w:val="en-US" w:eastAsia="zh-CN"/>
        </w:rPr>
        <w:t>征得甲方同意后发货</w:t>
      </w:r>
      <w:r>
        <w:rPr>
          <w:rFonts w:hint="eastAsia" w:ascii="宋体" w:hAnsi="宋体" w:cs="Arial"/>
          <w:sz w:val="24"/>
          <w:szCs w:val="24"/>
        </w:rPr>
        <w:t>。</w:t>
      </w:r>
    </w:p>
    <w:p w14:paraId="1B3B7B8E">
      <w:pPr>
        <w:spacing w:line="360" w:lineRule="auto"/>
        <w:ind w:firstLine="480" w:firstLineChars="200"/>
        <w:rPr>
          <w:rFonts w:hint="eastAsia" w:ascii="宋体" w:hAnsi="宋体"/>
          <w:sz w:val="24"/>
          <w:szCs w:val="24"/>
        </w:rPr>
      </w:pPr>
      <w:r>
        <w:rPr>
          <w:rFonts w:hint="eastAsia" w:ascii="宋体" w:hAnsi="宋体"/>
          <w:sz w:val="24"/>
          <w:szCs w:val="24"/>
        </w:rPr>
        <w:t>4、乙方负责安排快递或是送货到甲方指定地点，其运输费、保险费、装车费、卸车费、吊装费、加固费等所有与送货相关的费用由乙方承担。</w:t>
      </w:r>
    </w:p>
    <w:p w14:paraId="1F7EAEBD">
      <w:pPr>
        <w:spacing w:line="360" w:lineRule="auto"/>
        <w:ind w:firstLine="480" w:firstLineChars="200"/>
        <w:rPr>
          <w:rFonts w:hint="eastAsia" w:ascii="宋体" w:hAnsi="宋体"/>
          <w:sz w:val="24"/>
          <w:szCs w:val="24"/>
        </w:rPr>
      </w:pPr>
      <w:r>
        <w:rPr>
          <w:rFonts w:hint="eastAsia" w:ascii="宋体" w:hAnsi="宋体"/>
          <w:sz w:val="24"/>
          <w:szCs w:val="24"/>
        </w:rPr>
        <w:t>5、分批发货：甲方如因现场施工条件等影响，需要分批发货的，乙方应配合。</w:t>
      </w:r>
    </w:p>
    <w:p w14:paraId="4619F7A7">
      <w:pPr>
        <w:spacing w:line="360" w:lineRule="auto"/>
        <w:ind w:firstLine="480" w:firstLineChars="200"/>
        <w:rPr>
          <w:rFonts w:ascii="宋体" w:hAnsi="宋体" w:cs="Arial"/>
          <w:sz w:val="24"/>
          <w:szCs w:val="24"/>
        </w:rPr>
      </w:pPr>
      <w:r>
        <w:rPr>
          <w:rFonts w:hint="eastAsia" w:ascii="宋体" w:hAnsi="宋体"/>
          <w:sz w:val="24"/>
          <w:szCs w:val="24"/>
        </w:rPr>
        <w:t>6、</w:t>
      </w:r>
      <w:r>
        <w:rPr>
          <w:rFonts w:ascii="宋体" w:hAnsi="宋体" w:cs="Arial"/>
          <w:sz w:val="24"/>
          <w:szCs w:val="24"/>
        </w:rPr>
        <w:t>非收货人签收，必须经过甲方书面授权，否则甲方可视为未收到货物。</w:t>
      </w:r>
    </w:p>
    <w:p w14:paraId="7BD85626">
      <w:pPr>
        <w:spacing w:line="360" w:lineRule="auto"/>
        <w:ind w:firstLine="480" w:firstLineChars="200"/>
        <w:rPr>
          <w:rFonts w:hint="default" w:ascii="宋体" w:hAnsi="宋体" w:eastAsia="宋体" w:cs="Arial"/>
          <w:sz w:val="24"/>
          <w:szCs w:val="24"/>
          <w:lang w:val="en-US" w:eastAsia="zh-CN"/>
        </w:rPr>
      </w:pPr>
      <w:r>
        <w:rPr>
          <w:rFonts w:hint="eastAsia" w:ascii="宋体" w:hAnsi="宋体" w:cs="Arial"/>
          <w:sz w:val="24"/>
          <w:szCs w:val="24"/>
          <w:lang w:val="en-US" w:eastAsia="zh-CN"/>
        </w:rPr>
        <w:t>7、乙方送货人员（含乙方雇佣的物流人员）应遵守收货地的安全管理制度，不得携带火种、易燃易爆等危险物品入内，前述人员违规行为造成损失的，乙方承担连带赔偿责任。</w:t>
      </w:r>
    </w:p>
    <w:p w14:paraId="23B3EAC2">
      <w:pPr>
        <w:spacing w:line="360" w:lineRule="auto"/>
        <w:ind w:firstLine="482" w:firstLineChars="200"/>
        <w:rPr>
          <w:rFonts w:ascii="黑体" w:hAnsi="黑体" w:eastAsia="黑体" w:cs="Arial"/>
          <w:b/>
          <w:sz w:val="24"/>
          <w:szCs w:val="24"/>
        </w:rPr>
      </w:pPr>
      <w:r>
        <w:rPr>
          <w:rFonts w:hint="eastAsia" w:ascii="黑体" w:hAnsi="黑体" w:eastAsia="黑体" w:cs="Arial"/>
          <w:b/>
          <w:bCs/>
          <w:sz w:val="24"/>
          <w:szCs w:val="24"/>
        </w:rPr>
        <w:t>五、货款的结算</w:t>
      </w:r>
    </w:p>
    <w:p w14:paraId="7FE4F98B">
      <w:pPr>
        <w:tabs>
          <w:tab w:val="left" w:pos="1211"/>
        </w:tabs>
        <w:spacing w:line="360" w:lineRule="auto"/>
        <w:ind w:firstLine="480" w:firstLineChars="200"/>
        <w:rPr>
          <w:rFonts w:ascii="宋体" w:hAnsi="宋体" w:cs="Arial"/>
          <w:sz w:val="24"/>
          <w:szCs w:val="24"/>
        </w:rPr>
      </w:pPr>
      <w:r>
        <w:rPr>
          <w:rFonts w:hint="eastAsia" w:ascii="宋体" w:hAnsi="宋体" w:cs="Arial"/>
          <w:sz w:val="24"/>
          <w:szCs w:val="24"/>
        </w:rPr>
        <w:t>1、合同总价：</w:t>
      </w:r>
      <w:permStart w:id="11" w:edGrp="everyone"/>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permEnd w:id="11"/>
      <w:r>
        <w:rPr>
          <w:rFonts w:hint="eastAsia" w:ascii="宋体" w:hAnsi="宋体" w:eastAsia="宋体" w:cs="宋体"/>
          <w:kern w:val="0"/>
          <w:sz w:val="22"/>
          <w:szCs w:val="22"/>
          <w:u w:val="single"/>
        </w:rPr>
        <w:t>元</w:t>
      </w:r>
      <w:r>
        <w:rPr>
          <w:rFonts w:hint="eastAsia" w:ascii="宋体" w:hAnsi="宋体" w:cs="宋体"/>
          <w:kern w:val="0"/>
          <w:sz w:val="22"/>
          <w:szCs w:val="22"/>
          <w:u w:val="single"/>
        </w:rPr>
        <w:t>整</w:t>
      </w:r>
      <w:r>
        <w:rPr>
          <w:rFonts w:hint="eastAsia" w:ascii="宋体" w:hAnsi="宋体" w:cs="Arial"/>
          <w:sz w:val="24"/>
          <w:szCs w:val="24"/>
        </w:rPr>
        <w:t>（￥</w:t>
      </w:r>
      <w:r>
        <w:rPr>
          <w:rFonts w:hint="eastAsia" w:ascii="宋体" w:hAnsi="宋体" w:cs="Arial"/>
          <w:sz w:val="24"/>
          <w:szCs w:val="24"/>
          <w:u w:val="single"/>
          <w:lang w:val="en-US" w:eastAsia="zh-CN"/>
        </w:rPr>
        <w:t xml:space="preserve">    </w:t>
      </w:r>
      <w:r>
        <w:rPr>
          <w:rFonts w:hint="eastAsia" w:ascii="宋体" w:hAnsi="宋体" w:cs="Arial"/>
          <w:sz w:val="24"/>
          <w:szCs w:val="24"/>
          <w:u w:val="single"/>
        </w:rPr>
        <w:t>元</w:t>
      </w:r>
      <w:r>
        <w:rPr>
          <w:rFonts w:hint="eastAsia" w:ascii="宋体" w:hAnsi="宋体" w:cs="Arial"/>
          <w:sz w:val="24"/>
          <w:szCs w:val="24"/>
        </w:rPr>
        <w:t>）。</w:t>
      </w:r>
    </w:p>
    <w:p w14:paraId="0DD3E814">
      <w:pPr>
        <w:spacing w:line="360" w:lineRule="auto"/>
        <w:ind w:firstLine="480" w:firstLineChars="200"/>
        <w:rPr>
          <w:rFonts w:hint="eastAsia" w:ascii="宋体" w:hAnsi="宋体" w:cs="Arial"/>
          <w:sz w:val="24"/>
          <w:szCs w:val="24"/>
        </w:rPr>
      </w:pPr>
      <w:r>
        <w:rPr>
          <w:rFonts w:hint="eastAsia" w:ascii="宋体" w:hAnsi="宋体" w:cs="Arial"/>
          <w:sz w:val="24"/>
          <w:szCs w:val="24"/>
        </w:rPr>
        <w:t>2、付款形式：</w:t>
      </w:r>
      <w:r>
        <w:rPr>
          <w:rFonts w:hint="eastAsia" w:ascii="宋体" w:hAnsi="宋体" w:cs="Arial"/>
          <w:sz w:val="24"/>
          <w:szCs w:val="24"/>
          <w:lang w:eastAsia="zh-CN"/>
        </w:rPr>
        <w:t>（</w:t>
      </w:r>
      <w:r>
        <w:rPr>
          <w:rFonts w:hint="eastAsia" w:ascii="宋体" w:hAnsi="宋体" w:cs="Arial"/>
          <w:sz w:val="24"/>
          <w:szCs w:val="24"/>
          <w:lang w:val="en-US" w:eastAsia="zh-CN"/>
        </w:rPr>
        <w:t>按双方协商实际填写）</w:t>
      </w:r>
      <w:r>
        <w:rPr>
          <w:rFonts w:hint="eastAsia" w:ascii="宋体" w:hAnsi="宋体" w:cs="Arial"/>
          <w:sz w:val="24"/>
          <w:szCs w:val="24"/>
        </w:rPr>
        <w:t xml:space="preserve">  </w:t>
      </w:r>
    </w:p>
    <w:p w14:paraId="6CB0F65D">
      <w:pPr>
        <w:spacing w:line="360" w:lineRule="auto"/>
        <w:ind w:firstLine="480" w:firstLineChars="200"/>
        <w:rPr>
          <w:rFonts w:ascii="宋体" w:hAnsi="宋体" w:cs="Arial"/>
          <w:sz w:val="24"/>
          <w:szCs w:val="24"/>
        </w:rPr>
      </w:pPr>
      <w:r>
        <w:rPr>
          <w:rFonts w:hint="eastAsia" w:ascii="宋体" w:hAnsi="宋体" w:cs="Arial"/>
          <w:sz w:val="24"/>
          <w:szCs w:val="24"/>
        </w:rPr>
        <w:t>乙方须在收款前开具相应的增值税专用发票给甲方。</w:t>
      </w:r>
    </w:p>
    <w:p w14:paraId="01EB465E">
      <w:pPr>
        <w:spacing w:line="360" w:lineRule="auto"/>
        <w:ind w:firstLine="480" w:firstLineChars="200"/>
        <w:rPr>
          <w:rFonts w:hint="eastAsia" w:ascii="宋体" w:hAnsi="宋体" w:cs="Arial"/>
          <w:sz w:val="24"/>
          <w:szCs w:val="24"/>
          <w:u w:val="single"/>
        </w:rPr>
      </w:pPr>
      <w:r>
        <w:rPr>
          <w:rFonts w:hint="eastAsia" w:ascii="宋体" w:hAnsi="宋体" w:cs="Arial"/>
          <w:sz w:val="24"/>
          <w:szCs w:val="24"/>
        </w:rPr>
        <w:t>3、支付方式：电汇、网银、现金或转账</w:t>
      </w:r>
      <w:r>
        <w:rPr>
          <w:rFonts w:hint="eastAsia" w:ascii="宋体" w:hAnsi="宋体" w:cs="Arial"/>
          <w:sz w:val="24"/>
          <w:szCs w:val="24"/>
          <w:u w:val="single"/>
        </w:rPr>
        <w:t>网银</w:t>
      </w:r>
      <w:r>
        <w:rPr>
          <w:rFonts w:hint="eastAsia" w:ascii="宋体" w:hAnsi="宋体" w:cs="Arial"/>
          <w:sz w:val="24"/>
          <w:szCs w:val="24"/>
        </w:rPr>
        <w:t>。</w:t>
      </w:r>
    </w:p>
    <w:p w14:paraId="74E6AEFE">
      <w:pPr>
        <w:spacing w:line="360" w:lineRule="auto"/>
        <w:ind w:firstLine="480" w:firstLineChars="200"/>
        <w:rPr>
          <w:rFonts w:hint="eastAsia" w:ascii="宋体" w:hAnsi="宋体" w:cs="Arial"/>
          <w:sz w:val="24"/>
          <w:szCs w:val="24"/>
          <w:u w:val="single"/>
        </w:rPr>
      </w:pPr>
      <w:r>
        <w:rPr>
          <w:rFonts w:hint="eastAsia" w:ascii="宋体" w:hAnsi="宋体" w:cs="Arial"/>
          <w:sz w:val="24"/>
          <w:szCs w:val="24"/>
        </w:rPr>
        <w:t>4、</w:t>
      </w:r>
      <w:r>
        <w:rPr>
          <w:rFonts w:hint="eastAsia" w:ascii="宋体" w:hAnsi="宋体"/>
          <w:sz w:val="24"/>
          <w:szCs w:val="24"/>
        </w:rPr>
        <w:t>如甲方因故需要取消合同，或变更合同</w:t>
      </w:r>
      <w:r>
        <w:rPr>
          <w:rFonts w:hint="eastAsia" w:ascii="宋体" w:hAnsi="宋体"/>
          <w:sz w:val="24"/>
          <w:szCs w:val="24"/>
          <w:lang w:val="en-US" w:eastAsia="zh-CN"/>
        </w:rPr>
        <w:t>部分</w:t>
      </w:r>
      <w:r>
        <w:rPr>
          <w:rFonts w:hint="eastAsia" w:ascii="宋体" w:hAnsi="宋体"/>
          <w:sz w:val="24"/>
          <w:szCs w:val="24"/>
        </w:rPr>
        <w:t>条款，</w:t>
      </w:r>
      <w:r>
        <w:rPr>
          <w:rFonts w:hint="eastAsia" w:ascii="宋体" w:hAnsi="宋体"/>
          <w:sz w:val="24"/>
          <w:szCs w:val="24"/>
          <w:lang w:val="en-US" w:eastAsia="zh-CN"/>
        </w:rPr>
        <w:t>甲方须在乙方发货前通知乙方，变更通知送达乙方后生效</w:t>
      </w:r>
      <w:r>
        <w:rPr>
          <w:rFonts w:hint="eastAsia" w:ascii="宋体" w:hAnsi="宋体"/>
          <w:sz w:val="24"/>
          <w:szCs w:val="24"/>
        </w:rPr>
        <w:t>。</w:t>
      </w:r>
    </w:p>
    <w:p w14:paraId="47F25351">
      <w:pPr>
        <w:spacing w:line="360" w:lineRule="auto"/>
        <w:ind w:firstLine="482" w:firstLineChars="200"/>
        <w:rPr>
          <w:rFonts w:ascii="黑体" w:hAnsi="黑体" w:eastAsia="黑体" w:cs="Arial"/>
          <w:b/>
          <w:bCs/>
          <w:sz w:val="24"/>
          <w:szCs w:val="24"/>
        </w:rPr>
      </w:pPr>
      <w:r>
        <w:rPr>
          <w:rFonts w:hint="eastAsia" w:ascii="黑体" w:hAnsi="黑体" w:eastAsia="黑体" w:cs="Arial"/>
          <w:b/>
          <w:bCs/>
          <w:sz w:val="24"/>
          <w:szCs w:val="24"/>
        </w:rPr>
        <w:t xml:space="preserve">六、验收方法 </w:t>
      </w:r>
    </w:p>
    <w:p w14:paraId="35FD0A4E">
      <w:pPr>
        <w:spacing w:line="360" w:lineRule="auto"/>
        <w:ind w:firstLine="480" w:firstLineChars="200"/>
        <w:rPr>
          <w:rFonts w:hint="eastAsia" w:ascii="宋体" w:hAnsi="宋体" w:cs="Arial"/>
          <w:b/>
          <w:bCs/>
          <w:sz w:val="24"/>
          <w:szCs w:val="24"/>
        </w:rPr>
      </w:pPr>
      <w:r>
        <w:rPr>
          <w:rFonts w:hint="eastAsia" w:ascii="宋体" w:hAnsi="宋体"/>
          <w:sz w:val="24"/>
          <w:szCs w:val="24"/>
        </w:rPr>
        <w:t>1、产品运抵甲方指定的地点当日，甲方应组织相关人员进行卸货及</w:t>
      </w:r>
      <w:r>
        <w:rPr>
          <w:rFonts w:hint="eastAsia" w:ascii="宋体" w:hAnsi="宋体"/>
          <w:sz w:val="24"/>
          <w:szCs w:val="24"/>
          <w:lang w:val="en-US" w:eastAsia="zh-CN"/>
        </w:rPr>
        <w:t>初验</w:t>
      </w:r>
      <w:r>
        <w:rPr>
          <w:rFonts w:hint="eastAsia" w:ascii="宋体" w:hAnsi="宋体"/>
          <w:sz w:val="24"/>
          <w:szCs w:val="24"/>
        </w:rPr>
        <w:t>，经</w:t>
      </w:r>
      <w:r>
        <w:rPr>
          <w:rFonts w:hint="eastAsia" w:ascii="宋体" w:hAnsi="宋体"/>
          <w:sz w:val="24"/>
          <w:szCs w:val="24"/>
          <w:lang w:val="en-US" w:eastAsia="zh-CN"/>
        </w:rPr>
        <w:t>初验</w:t>
      </w:r>
      <w:r>
        <w:rPr>
          <w:rFonts w:hint="eastAsia" w:ascii="宋体" w:hAnsi="宋体"/>
          <w:sz w:val="24"/>
          <w:szCs w:val="24"/>
        </w:rPr>
        <w:t>若发现数量、外观有缺损或规格型号等不符合本合同之约定应当面校验；</w:t>
      </w:r>
      <w:r>
        <w:rPr>
          <w:rFonts w:hint="eastAsia" w:ascii="宋体" w:hAnsi="宋体"/>
          <w:kern w:val="0"/>
          <w:sz w:val="24"/>
          <w:szCs w:val="24"/>
        </w:rPr>
        <w:t>乙方应在甲方提出异议后5日内无条件补足或更换，直至符合本合同及附件的约定，由此造成延期交货或安装工期延误的，按本合同有关规定处理。甲方的</w:t>
      </w:r>
      <w:r>
        <w:rPr>
          <w:rFonts w:hint="eastAsia" w:ascii="宋体" w:hAnsi="宋体"/>
          <w:kern w:val="0"/>
          <w:sz w:val="24"/>
          <w:szCs w:val="24"/>
          <w:lang w:val="en-US" w:eastAsia="zh-CN"/>
        </w:rPr>
        <w:t>初验</w:t>
      </w:r>
      <w:r>
        <w:rPr>
          <w:rFonts w:hint="eastAsia" w:ascii="宋体" w:hAnsi="宋体"/>
          <w:kern w:val="0"/>
          <w:sz w:val="24"/>
          <w:szCs w:val="24"/>
        </w:rPr>
        <w:t>不视为对产品质量和潜在瑕疵的认可。</w:t>
      </w:r>
    </w:p>
    <w:p w14:paraId="7BDB2C68">
      <w:pPr>
        <w:spacing w:line="360" w:lineRule="auto"/>
        <w:ind w:firstLine="480" w:firstLineChars="200"/>
        <w:rPr>
          <w:rFonts w:hint="eastAsia" w:ascii="宋体" w:hAnsi="宋体" w:cs="Arial"/>
          <w:b/>
          <w:bCs/>
          <w:sz w:val="24"/>
          <w:szCs w:val="24"/>
        </w:rPr>
      </w:pPr>
      <w:r>
        <w:rPr>
          <w:rFonts w:hint="eastAsia" w:ascii="宋体" w:hAnsi="宋体"/>
          <w:sz w:val="24"/>
          <w:szCs w:val="24"/>
        </w:rPr>
        <w:t>2、乙方未按合同规定的数量交货，甲方仍有需要的，应照数补交，按延期交货处理。如乙方不能达成甲方要求，甲方按货款5%向乙方收取违约金，并承担甲方相关损失。</w:t>
      </w:r>
    </w:p>
    <w:p w14:paraId="1751B51C">
      <w:pPr>
        <w:spacing w:line="360" w:lineRule="auto"/>
        <w:ind w:firstLine="480" w:firstLineChars="200"/>
        <w:rPr>
          <w:rFonts w:hint="eastAsia" w:ascii="宋体" w:hAnsi="宋体" w:eastAsia="宋体" w:cs="Arial"/>
          <w:b/>
          <w:bCs/>
          <w:sz w:val="24"/>
          <w:szCs w:val="24"/>
          <w:lang w:eastAsia="zh-CN"/>
        </w:rPr>
      </w:pPr>
      <w:r>
        <w:rPr>
          <w:rFonts w:hint="eastAsia" w:ascii="宋体" w:hAnsi="宋体" w:cs="Arial"/>
          <w:bCs/>
          <w:sz w:val="24"/>
          <w:szCs w:val="24"/>
        </w:rPr>
        <w:t>3、</w:t>
      </w:r>
      <w:r>
        <w:rPr>
          <w:rFonts w:hint="eastAsia" w:ascii="宋体" w:hAnsi="宋体"/>
          <w:sz w:val="24"/>
          <w:szCs w:val="24"/>
        </w:rPr>
        <w:t>甲方现场人员</w:t>
      </w:r>
      <w:r>
        <w:rPr>
          <w:rFonts w:hint="eastAsia" w:ascii="宋体" w:hAnsi="宋体"/>
          <w:sz w:val="24"/>
          <w:szCs w:val="24"/>
          <w:lang w:val="en-US" w:eastAsia="zh-CN"/>
        </w:rPr>
        <w:t>初验</w:t>
      </w:r>
      <w:r>
        <w:rPr>
          <w:rFonts w:hint="eastAsia" w:ascii="宋体" w:hAnsi="宋体"/>
          <w:sz w:val="24"/>
          <w:szCs w:val="24"/>
        </w:rPr>
        <w:t>仅代表对货物的数量、品种、外观、规格型号的确认，不能代表对其质量、性能的验收</w:t>
      </w:r>
      <w:r>
        <w:rPr>
          <w:rFonts w:hint="eastAsia" w:ascii="宋体" w:hAnsi="宋体"/>
          <w:sz w:val="24"/>
          <w:szCs w:val="24"/>
          <w:lang w:eastAsia="zh-CN"/>
        </w:rPr>
        <w:t>，</w:t>
      </w:r>
      <w:r>
        <w:rPr>
          <w:rFonts w:hint="eastAsia" w:ascii="宋体" w:hAnsi="宋体"/>
          <w:sz w:val="24"/>
          <w:szCs w:val="24"/>
        </w:rPr>
        <w:t>最终</w:t>
      </w:r>
      <w:r>
        <w:rPr>
          <w:rFonts w:hint="eastAsia" w:ascii="宋体" w:hAnsi="宋体"/>
          <w:sz w:val="24"/>
          <w:szCs w:val="24"/>
          <w:lang w:val="en-US" w:eastAsia="zh-CN"/>
        </w:rPr>
        <w:t>验收结论以</w:t>
      </w:r>
      <w:r>
        <w:rPr>
          <w:rFonts w:hint="eastAsia" w:ascii="宋体" w:hAnsi="宋体"/>
          <w:sz w:val="24"/>
          <w:szCs w:val="24"/>
        </w:rPr>
        <w:t>甲方</w:t>
      </w:r>
      <w:r>
        <w:rPr>
          <w:rFonts w:hint="eastAsia" w:ascii="宋体" w:hAnsi="宋体"/>
          <w:sz w:val="24"/>
          <w:szCs w:val="24"/>
          <w:lang w:val="en-US" w:eastAsia="zh-CN"/>
        </w:rPr>
        <w:t>承包项目的业主方出具的竣工验收报告为准</w:t>
      </w:r>
      <w:r>
        <w:rPr>
          <w:rFonts w:hint="eastAsia" w:ascii="宋体" w:hAnsi="宋体"/>
          <w:sz w:val="24"/>
          <w:szCs w:val="24"/>
          <w:lang w:eastAsia="zh-CN"/>
        </w:rPr>
        <w:t>。</w:t>
      </w:r>
    </w:p>
    <w:p w14:paraId="70202CD4">
      <w:pPr>
        <w:spacing w:line="360" w:lineRule="auto"/>
        <w:ind w:firstLine="480" w:firstLineChars="200"/>
        <w:rPr>
          <w:rFonts w:ascii="宋体" w:hAnsi="宋体" w:cs="Arial"/>
          <w:b/>
          <w:bCs/>
          <w:sz w:val="24"/>
          <w:szCs w:val="24"/>
        </w:rPr>
      </w:pPr>
      <w:r>
        <w:rPr>
          <w:rFonts w:hint="eastAsia" w:ascii="宋体" w:hAnsi="宋体" w:cs="Arial"/>
          <w:bCs/>
          <w:sz w:val="24"/>
          <w:szCs w:val="24"/>
        </w:rPr>
        <w:t>4、</w:t>
      </w:r>
      <w:r>
        <w:rPr>
          <w:rFonts w:hint="eastAsia" w:ascii="宋体" w:hAnsi="宋体"/>
          <w:sz w:val="24"/>
          <w:szCs w:val="24"/>
        </w:rPr>
        <w:t>甲方条件具备后，通知乙方到项目现场进行技术指导、调试、运行等。</w:t>
      </w:r>
    </w:p>
    <w:p w14:paraId="3F661466">
      <w:pPr>
        <w:spacing w:line="360" w:lineRule="auto"/>
        <w:ind w:firstLine="482" w:firstLineChars="200"/>
        <w:rPr>
          <w:rFonts w:ascii="黑体" w:hAnsi="黑体" w:eastAsia="黑体" w:cs="Arial"/>
          <w:b/>
          <w:sz w:val="24"/>
          <w:szCs w:val="24"/>
        </w:rPr>
      </w:pPr>
      <w:r>
        <w:rPr>
          <w:rFonts w:hint="eastAsia" w:ascii="黑体" w:hAnsi="黑体" w:eastAsia="黑体" w:cs="Arial"/>
          <w:b/>
          <w:bCs/>
          <w:sz w:val="24"/>
          <w:szCs w:val="24"/>
        </w:rPr>
        <w:t>七、对产品提出异议的时间和办法</w:t>
      </w:r>
    </w:p>
    <w:p w14:paraId="15920A9C">
      <w:pPr>
        <w:spacing w:line="360" w:lineRule="auto"/>
        <w:ind w:firstLine="480" w:firstLineChars="200"/>
        <w:rPr>
          <w:rFonts w:ascii="宋体" w:hAnsi="宋体" w:cs="Arial"/>
          <w:sz w:val="24"/>
          <w:szCs w:val="24"/>
        </w:rPr>
      </w:pPr>
      <w:r>
        <w:rPr>
          <w:rFonts w:hint="eastAsia" w:ascii="宋体" w:hAnsi="宋体" w:cs="Arial"/>
          <w:sz w:val="24"/>
          <w:szCs w:val="24"/>
        </w:rPr>
        <w:t>1、甲方在验收时，如发现产品的品种、型号、规格和质量不符约定，有权拒收，甲方代为保管的，乙方应承担保管费用，甲方不对非因故意或重大过失或不可抗力因素导致的产品灭失承担任何责任。</w:t>
      </w:r>
    </w:p>
    <w:p w14:paraId="20122EE9">
      <w:pPr>
        <w:spacing w:line="360" w:lineRule="auto"/>
        <w:ind w:firstLine="480" w:firstLineChars="200"/>
        <w:outlineLvl w:val="0"/>
        <w:rPr>
          <w:rFonts w:ascii="宋体" w:hAnsi="宋体" w:cs="Arial"/>
          <w:sz w:val="24"/>
          <w:szCs w:val="24"/>
        </w:rPr>
      </w:pPr>
      <w:r>
        <w:rPr>
          <w:rFonts w:hint="eastAsia" w:ascii="宋体" w:hAnsi="宋体" w:cs="Arial"/>
          <w:sz w:val="24"/>
          <w:szCs w:val="24"/>
        </w:rPr>
        <w:t>2、乙方接到甲方异议后，应在三天内即负责处理，否则，即视为默认甲方提出的异议。</w:t>
      </w:r>
    </w:p>
    <w:p w14:paraId="7777876F">
      <w:pPr>
        <w:spacing w:line="360" w:lineRule="auto"/>
        <w:ind w:firstLine="480" w:firstLineChars="200"/>
        <w:rPr>
          <w:rFonts w:ascii="宋体" w:hAnsi="宋体" w:cs="Arial"/>
          <w:sz w:val="24"/>
          <w:szCs w:val="24"/>
        </w:rPr>
      </w:pPr>
      <w:r>
        <w:rPr>
          <w:rFonts w:hint="eastAsia" w:ascii="宋体" w:hAnsi="宋体" w:cs="Arial"/>
          <w:sz w:val="24"/>
          <w:szCs w:val="24"/>
        </w:rPr>
        <w:t>3、甲方提出的异议中，应说明不符约定的情形，提出对不符合约定产品的处理意见，以便乙方及时处理。</w:t>
      </w:r>
    </w:p>
    <w:p w14:paraId="5B18ADB3">
      <w:pPr>
        <w:spacing w:line="360" w:lineRule="auto"/>
        <w:ind w:firstLine="482" w:firstLineChars="200"/>
        <w:rPr>
          <w:rFonts w:ascii="黑体" w:hAnsi="黑体" w:eastAsia="黑体" w:cs="Arial"/>
          <w:sz w:val="24"/>
          <w:szCs w:val="24"/>
        </w:rPr>
      </w:pPr>
      <w:r>
        <w:rPr>
          <w:rFonts w:hint="eastAsia" w:ascii="黑体" w:hAnsi="黑体" w:eastAsia="黑体" w:cs="Arial"/>
          <w:b/>
          <w:bCs/>
          <w:sz w:val="24"/>
          <w:szCs w:val="24"/>
        </w:rPr>
        <w:t>八、所有权及风险的转移</w:t>
      </w:r>
    </w:p>
    <w:p w14:paraId="45AA8215">
      <w:pPr>
        <w:tabs>
          <w:tab w:val="left" w:pos="720"/>
          <w:tab w:val="left" w:pos="1080"/>
        </w:tabs>
        <w:spacing w:line="360" w:lineRule="auto"/>
        <w:ind w:firstLine="480" w:firstLineChars="200"/>
        <w:rPr>
          <w:rFonts w:ascii="宋体" w:hAnsi="宋体" w:cs="Arial"/>
          <w:sz w:val="24"/>
          <w:szCs w:val="24"/>
        </w:rPr>
      </w:pPr>
      <w:r>
        <w:rPr>
          <w:rFonts w:hint="eastAsia" w:ascii="宋体" w:hAnsi="宋体" w:cs="Arial"/>
          <w:sz w:val="24"/>
          <w:szCs w:val="24"/>
        </w:rPr>
        <w:t>1、在货物交由甲方前，产品的运输风险由乙方承担。</w:t>
      </w:r>
    </w:p>
    <w:p w14:paraId="7639EB6D">
      <w:pPr>
        <w:tabs>
          <w:tab w:val="left" w:pos="1080"/>
        </w:tabs>
        <w:spacing w:line="360" w:lineRule="auto"/>
        <w:ind w:firstLine="480" w:firstLineChars="200"/>
        <w:rPr>
          <w:rFonts w:ascii="宋体" w:hAnsi="宋体" w:cs="Arial"/>
          <w:sz w:val="24"/>
          <w:szCs w:val="24"/>
        </w:rPr>
      </w:pPr>
      <w:r>
        <w:rPr>
          <w:rFonts w:hint="eastAsia" w:ascii="宋体" w:hAnsi="宋体" w:cs="Arial"/>
          <w:sz w:val="24"/>
          <w:szCs w:val="24"/>
        </w:rPr>
        <w:t>2、在甲方对产品</w:t>
      </w:r>
      <w:r>
        <w:rPr>
          <w:rFonts w:hint="eastAsia" w:ascii="宋体" w:hAnsi="宋体" w:cs="Arial"/>
          <w:sz w:val="24"/>
          <w:szCs w:val="24"/>
          <w:lang w:val="en-US" w:eastAsia="zh-CN"/>
        </w:rPr>
        <w:t>初验合格后</w:t>
      </w:r>
      <w:r>
        <w:rPr>
          <w:rFonts w:hint="eastAsia" w:ascii="宋体" w:hAnsi="宋体" w:cs="Arial"/>
          <w:sz w:val="24"/>
          <w:szCs w:val="24"/>
        </w:rPr>
        <w:t>，该产品灭失、毁损的风险转移至甲方。</w:t>
      </w:r>
    </w:p>
    <w:p w14:paraId="280B27BC">
      <w:pPr>
        <w:spacing w:line="360" w:lineRule="auto"/>
        <w:ind w:firstLine="482" w:firstLineChars="200"/>
        <w:rPr>
          <w:rFonts w:ascii="黑体" w:hAnsi="黑体" w:eastAsia="黑体" w:cs="Arial"/>
          <w:b/>
          <w:bCs/>
          <w:sz w:val="24"/>
          <w:szCs w:val="24"/>
        </w:rPr>
      </w:pPr>
      <w:r>
        <w:rPr>
          <w:rFonts w:hint="eastAsia" w:ascii="黑体" w:hAnsi="黑体" w:eastAsia="黑体" w:cs="Arial"/>
          <w:b/>
          <w:bCs/>
          <w:sz w:val="24"/>
          <w:szCs w:val="24"/>
        </w:rPr>
        <w:t>九、质保期及售后服务</w:t>
      </w:r>
    </w:p>
    <w:p w14:paraId="0B07390F">
      <w:pPr>
        <w:spacing w:line="360" w:lineRule="auto"/>
        <w:ind w:firstLine="480" w:firstLineChars="200"/>
        <w:rPr>
          <w:rFonts w:hint="default" w:ascii="宋体" w:hAnsi="宋体" w:eastAsia="宋体"/>
          <w:sz w:val="24"/>
          <w:szCs w:val="24"/>
          <w:lang w:val="en-US" w:eastAsia="zh-CN"/>
        </w:rPr>
      </w:pPr>
      <w:r>
        <w:rPr>
          <w:rFonts w:hint="eastAsia" w:ascii="宋体" w:hAnsi="宋体" w:cs="Arial"/>
          <w:sz w:val="24"/>
          <w:szCs w:val="24"/>
        </w:rPr>
        <w:t>1、</w:t>
      </w:r>
      <w:r>
        <w:rPr>
          <w:rFonts w:hint="eastAsia" w:ascii="宋体" w:hAnsi="宋体"/>
          <w:sz w:val="24"/>
          <w:szCs w:val="24"/>
        </w:rPr>
        <w:t>乙方承诺所售产品质保期为</w:t>
      </w:r>
      <w:r>
        <w:rPr>
          <w:rFonts w:hint="eastAsia" w:ascii="宋体" w:hAnsi="宋体"/>
          <w:sz w:val="24"/>
          <w:szCs w:val="24"/>
          <w:u w:val="single"/>
          <w:lang w:val="en-US" w:eastAsia="zh-CN"/>
        </w:rPr>
        <w:t xml:space="preserve">    </w:t>
      </w:r>
      <w:r>
        <w:rPr>
          <w:rFonts w:hint="eastAsia" w:ascii="宋体" w:hAnsi="宋体"/>
          <w:sz w:val="24"/>
          <w:szCs w:val="24"/>
        </w:rPr>
        <w:t>年</w:t>
      </w:r>
      <w:r>
        <w:rPr>
          <w:rFonts w:hint="eastAsia" w:ascii="宋体" w:hAnsi="宋体"/>
          <w:sz w:val="24"/>
          <w:szCs w:val="24"/>
          <w:lang w:eastAsia="zh-CN"/>
        </w:rPr>
        <w:t>，</w:t>
      </w:r>
      <w:r>
        <w:rPr>
          <w:rFonts w:hint="eastAsia" w:ascii="宋体" w:hAnsi="宋体"/>
          <w:sz w:val="24"/>
          <w:szCs w:val="24"/>
        </w:rPr>
        <w:t>质保期限从产品正式投产使用或</w:t>
      </w:r>
      <w:r>
        <w:rPr>
          <w:rFonts w:hint="eastAsia" w:ascii="宋体" w:hAnsi="宋体"/>
          <w:sz w:val="24"/>
          <w:szCs w:val="24"/>
          <w:lang w:val="en-US" w:eastAsia="zh-CN"/>
        </w:rPr>
        <w:t>甲方项目竣工</w:t>
      </w:r>
      <w:r>
        <w:rPr>
          <w:rFonts w:hint="eastAsia" w:ascii="宋体" w:hAnsi="宋体"/>
          <w:sz w:val="24"/>
          <w:szCs w:val="24"/>
        </w:rPr>
        <w:t>验收合格之日起算。</w:t>
      </w:r>
      <w:r>
        <w:rPr>
          <w:rFonts w:hint="eastAsia" w:ascii="宋体" w:hAnsi="宋体"/>
          <w:sz w:val="24"/>
          <w:szCs w:val="24"/>
          <w:lang w:val="en-US" w:eastAsia="zh-CN"/>
        </w:rPr>
        <w:t>质保期内产生的人工、配件更换、产品召回更换、运输装卸保险等一切费用均由乙方自行承担。</w:t>
      </w:r>
    </w:p>
    <w:p w14:paraId="7141A565">
      <w:pPr>
        <w:spacing w:line="360" w:lineRule="auto"/>
        <w:ind w:firstLine="480" w:firstLineChars="200"/>
        <w:rPr>
          <w:rFonts w:hint="eastAsia" w:ascii="宋体" w:hAnsi="宋体"/>
          <w:sz w:val="24"/>
          <w:szCs w:val="24"/>
        </w:rPr>
      </w:pPr>
      <w:r>
        <w:rPr>
          <w:rFonts w:hint="eastAsia" w:ascii="宋体" w:hAnsi="宋体"/>
          <w:sz w:val="24"/>
          <w:szCs w:val="24"/>
        </w:rPr>
        <w:t>2、乙方应配合甲方做好现场所供设备的调试运行任务，并针对甲方人员进行现场设备使用的说明及培训。</w:t>
      </w:r>
    </w:p>
    <w:p w14:paraId="5A05AD8E">
      <w:pPr>
        <w:spacing w:line="360" w:lineRule="auto"/>
        <w:ind w:firstLine="480" w:firstLineChars="20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乙方保证在所供产品出现质量问题，或接到甲方提出质疑或合理服务要求后</w:t>
      </w:r>
      <w:r>
        <w:rPr>
          <w:rFonts w:hint="eastAsia" w:ascii="宋体" w:hAnsi="宋体"/>
          <w:sz w:val="24"/>
          <w:szCs w:val="24"/>
          <w:lang w:eastAsia="zh-CN"/>
        </w:rPr>
        <w:t>【】</w:t>
      </w:r>
      <w:r>
        <w:rPr>
          <w:rFonts w:hint="eastAsia" w:ascii="宋体" w:hAnsi="宋体"/>
          <w:sz w:val="24"/>
          <w:szCs w:val="24"/>
        </w:rPr>
        <w:t>小时内予以答复，如甲方有要求或必要时，乙方应在接到甲方通知后，</w:t>
      </w:r>
      <w:r>
        <w:rPr>
          <w:rFonts w:hint="eastAsia" w:ascii="宋体" w:hAnsi="宋体"/>
          <w:sz w:val="24"/>
          <w:szCs w:val="24"/>
          <w:lang w:eastAsia="zh-CN"/>
        </w:rPr>
        <w:t>【】</w:t>
      </w:r>
      <w:r>
        <w:rPr>
          <w:rFonts w:hint="eastAsia" w:ascii="宋体" w:hAnsi="宋体"/>
          <w:sz w:val="24"/>
          <w:szCs w:val="24"/>
        </w:rPr>
        <w:t>小时内派人员提供现场服务，并在</w:t>
      </w:r>
      <w:r>
        <w:rPr>
          <w:rFonts w:hint="eastAsia" w:ascii="宋体" w:hAnsi="宋体"/>
          <w:sz w:val="24"/>
          <w:szCs w:val="24"/>
          <w:lang w:eastAsia="zh-CN"/>
        </w:rPr>
        <w:t>【】</w:t>
      </w:r>
      <w:r>
        <w:rPr>
          <w:rFonts w:hint="eastAsia" w:ascii="宋体" w:hAnsi="宋体"/>
          <w:sz w:val="24"/>
          <w:szCs w:val="24"/>
        </w:rPr>
        <w:t>天内完成维修、更换或退货。</w:t>
      </w:r>
    </w:p>
    <w:p w14:paraId="12B02839">
      <w:pPr>
        <w:spacing w:line="360" w:lineRule="auto"/>
        <w:ind w:firstLine="480" w:firstLineChars="20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乙方未能按合同约定履行质量保证义务，甲方有权另行委托第三方对产品进行维修或另行购买，由此产生的费用和损失由乙方承担，甲方有权在未付乙方款项中扣除。</w:t>
      </w:r>
    </w:p>
    <w:p w14:paraId="6DAFDDB4">
      <w:pPr>
        <w:spacing w:line="360" w:lineRule="auto"/>
        <w:ind w:firstLine="480" w:firstLineChars="200"/>
        <w:rPr>
          <w:rFonts w:hint="eastAsia" w:ascii="宋体" w:hAnsi="宋体" w:eastAsia="宋体"/>
          <w:sz w:val="24"/>
          <w:szCs w:val="24"/>
          <w:lang w:val="en-US" w:eastAsia="zh-CN"/>
        </w:rPr>
      </w:pPr>
      <w:r>
        <w:rPr>
          <w:rFonts w:hint="eastAsia" w:ascii="宋体" w:hAnsi="宋体"/>
          <w:sz w:val="24"/>
          <w:szCs w:val="24"/>
          <w:lang w:val="en-US" w:eastAsia="zh-CN"/>
        </w:rPr>
        <w:t>5、乙方保证所销售的产品来源合法、无任何权利瑕疵，不侵犯任何第三人的知识产权等合法权益，如遭第三方对甲方提起权利要求，其责任和损失全部由乙方承担。</w:t>
      </w:r>
    </w:p>
    <w:p w14:paraId="627ED888">
      <w:pPr>
        <w:spacing w:line="360" w:lineRule="auto"/>
        <w:ind w:firstLine="482" w:firstLineChars="200"/>
        <w:rPr>
          <w:rFonts w:ascii="黑体" w:hAnsi="黑体" w:eastAsia="黑体" w:cs="Arial"/>
          <w:b/>
          <w:bCs/>
          <w:sz w:val="24"/>
          <w:szCs w:val="24"/>
        </w:rPr>
      </w:pPr>
      <w:r>
        <w:rPr>
          <w:rFonts w:hint="eastAsia" w:ascii="黑体" w:hAnsi="黑体" w:eastAsia="黑体" w:cs="Arial"/>
          <w:b/>
          <w:bCs/>
          <w:sz w:val="24"/>
          <w:szCs w:val="24"/>
        </w:rPr>
        <w:t>十、甲方的违约责任</w:t>
      </w:r>
    </w:p>
    <w:p w14:paraId="2BE9971E">
      <w:pPr>
        <w:spacing w:line="360" w:lineRule="auto"/>
        <w:ind w:firstLine="480" w:firstLineChars="200"/>
        <w:rPr>
          <w:rFonts w:ascii="宋体" w:hAnsi="宋体" w:cs="Arial"/>
          <w:sz w:val="24"/>
          <w:szCs w:val="24"/>
        </w:rPr>
      </w:pPr>
      <w:r>
        <w:rPr>
          <w:rFonts w:hint="eastAsia" w:ascii="宋体" w:hAnsi="宋体" w:cs="Arial"/>
          <w:sz w:val="24"/>
          <w:szCs w:val="24"/>
        </w:rPr>
        <w:t>1、甲方</w:t>
      </w:r>
      <w:r>
        <w:rPr>
          <w:rFonts w:hint="eastAsia" w:ascii="宋体" w:hAnsi="宋体" w:cs="Arial"/>
          <w:sz w:val="24"/>
          <w:szCs w:val="24"/>
          <w:lang w:val="en-US" w:eastAsia="zh-CN"/>
        </w:rPr>
        <w:t>在乙方发货前</w:t>
      </w:r>
      <w:r>
        <w:rPr>
          <w:rFonts w:hint="eastAsia" w:ascii="宋体" w:hAnsi="宋体" w:cs="Arial"/>
          <w:sz w:val="24"/>
          <w:szCs w:val="24"/>
        </w:rPr>
        <w:t>取消</w:t>
      </w:r>
      <w:r>
        <w:rPr>
          <w:rFonts w:hint="eastAsia" w:ascii="宋体" w:hAnsi="宋体" w:cs="Arial"/>
          <w:sz w:val="24"/>
          <w:szCs w:val="24"/>
          <w:lang w:val="en-US" w:eastAsia="zh-CN"/>
        </w:rPr>
        <w:t>或变更</w:t>
      </w:r>
      <w:r>
        <w:rPr>
          <w:rFonts w:hint="eastAsia" w:ascii="宋体" w:hAnsi="宋体" w:cs="Arial"/>
          <w:sz w:val="24"/>
          <w:szCs w:val="24"/>
        </w:rPr>
        <w:t>合同，</w:t>
      </w:r>
      <w:r>
        <w:rPr>
          <w:rFonts w:hint="eastAsia" w:ascii="宋体" w:hAnsi="宋体" w:cs="Arial"/>
          <w:sz w:val="24"/>
          <w:szCs w:val="24"/>
          <w:lang w:val="en-US" w:eastAsia="zh-CN"/>
        </w:rPr>
        <w:t>或在乙方发货后</w:t>
      </w:r>
      <w:r>
        <w:rPr>
          <w:rFonts w:hint="eastAsia" w:ascii="宋体" w:hAnsi="宋体" w:cs="Arial"/>
          <w:sz w:val="24"/>
          <w:szCs w:val="24"/>
        </w:rPr>
        <w:t>取消和退货</w:t>
      </w:r>
      <w:r>
        <w:rPr>
          <w:rFonts w:hint="eastAsia" w:ascii="宋体" w:hAnsi="宋体" w:cs="Arial"/>
          <w:sz w:val="24"/>
          <w:szCs w:val="24"/>
          <w:lang w:val="en-US" w:eastAsia="zh-CN"/>
        </w:rPr>
        <w:t>并征得乙方同意的</w:t>
      </w:r>
      <w:r>
        <w:rPr>
          <w:rFonts w:hint="eastAsia" w:ascii="宋体" w:hAnsi="宋体" w:cs="Arial"/>
          <w:sz w:val="24"/>
          <w:szCs w:val="24"/>
        </w:rPr>
        <w:t>，不承担违约责任。</w:t>
      </w:r>
    </w:p>
    <w:p w14:paraId="3FA7F85F">
      <w:pPr>
        <w:spacing w:line="360" w:lineRule="auto"/>
        <w:ind w:firstLine="480" w:firstLineChars="200"/>
        <w:rPr>
          <w:rFonts w:ascii="宋体" w:hAnsi="宋体" w:cs="Arial"/>
          <w:sz w:val="24"/>
          <w:szCs w:val="24"/>
        </w:rPr>
      </w:pPr>
      <w:r>
        <w:rPr>
          <w:rFonts w:hint="eastAsia" w:ascii="宋体" w:hAnsi="宋体" w:cs="Arial"/>
          <w:sz w:val="24"/>
          <w:szCs w:val="24"/>
        </w:rPr>
        <w:t>2、甲方逾期付款的，向乙方偿付逾期付款部分的每日0.1%违约金，但以应付款额的10%为限。</w:t>
      </w:r>
    </w:p>
    <w:p w14:paraId="130357D6">
      <w:pPr>
        <w:spacing w:line="360" w:lineRule="auto"/>
        <w:ind w:firstLine="480" w:firstLineChars="200"/>
        <w:rPr>
          <w:rFonts w:ascii="宋体" w:hAnsi="宋体" w:cs="Arial"/>
          <w:sz w:val="24"/>
          <w:szCs w:val="24"/>
        </w:rPr>
      </w:pPr>
      <w:r>
        <w:rPr>
          <w:rFonts w:hint="eastAsia" w:ascii="宋体" w:hAnsi="宋体" w:cs="Arial"/>
          <w:sz w:val="24"/>
          <w:szCs w:val="24"/>
        </w:rPr>
        <w:t>3、甲方对自提产品未按照合同约定日期提货的，不得追究乙方的逾期交货责任，并应自己承担该批货物延期提货时间的保管、保养费用。</w:t>
      </w:r>
    </w:p>
    <w:p w14:paraId="0F97775B">
      <w:pPr>
        <w:spacing w:line="360" w:lineRule="auto"/>
        <w:ind w:firstLine="480" w:firstLineChars="200"/>
        <w:rPr>
          <w:rFonts w:ascii="宋体" w:hAnsi="宋体" w:cs="Arial"/>
          <w:sz w:val="24"/>
          <w:szCs w:val="24"/>
        </w:rPr>
      </w:pPr>
      <w:r>
        <w:rPr>
          <w:rFonts w:hint="eastAsia" w:ascii="宋体" w:hAnsi="宋体" w:cs="Arial"/>
          <w:sz w:val="24"/>
          <w:szCs w:val="24"/>
        </w:rPr>
        <w:t>4、甲方未按乙方要求及时付清款项所造成的货物延期交付应由甲方自己承担责任。</w:t>
      </w:r>
    </w:p>
    <w:p w14:paraId="37DA6400">
      <w:pPr>
        <w:spacing w:line="360" w:lineRule="auto"/>
        <w:ind w:firstLine="482" w:firstLineChars="200"/>
        <w:rPr>
          <w:rFonts w:ascii="黑体" w:hAnsi="黑体" w:eastAsia="黑体" w:cs="Arial"/>
          <w:b/>
          <w:bCs/>
          <w:sz w:val="24"/>
          <w:szCs w:val="24"/>
        </w:rPr>
      </w:pPr>
      <w:r>
        <w:rPr>
          <w:rFonts w:hint="eastAsia" w:ascii="黑体" w:hAnsi="黑体" w:eastAsia="黑体" w:cs="Arial"/>
          <w:b/>
          <w:bCs/>
          <w:sz w:val="24"/>
          <w:szCs w:val="24"/>
        </w:rPr>
        <w:t>十一、乙方的违约责任</w:t>
      </w:r>
    </w:p>
    <w:p w14:paraId="6FF5B4C7">
      <w:pPr>
        <w:tabs>
          <w:tab w:val="left" w:pos="1320"/>
        </w:tabs>
        <w:spacing w:line="360" w:lineRule="auto"/>
        <w:ind w:firstLine="480" w:firstLineChars="200"/>
        <w:rPr>
          <w:rFonts w:ascii="宋体" w:hAnsi="宋体" w:cs="Arial"/>
          <w:sz w:val="24"/>
          <w:szCs w:val="24"/>
        </w:rPr>
      </w:pPr>
      <w:r>
        <w:rPr>
          <w:rFonts w:hint="eastAsia" w:ascii="宋体" w:hAnsi="宋体" w:cs="Arial"/>
          <w:sz w:val="24"/>
          <w:szCs w:val="24"/>
        </w:rPr>
        <w:t>1、乙方逾期交货的，应按照逾期交货部分的总额，向甲方承担每日0.3%的违约金；该费用包括但不限于价格波动损失以及甲方因此需向第三人所承担的违约金等</w:t>
      </w:r>
      <w:r>
        <w:rPr>
          <w:rFonts w:hint="eastAsia" w:ascii="宋体" w:hAnsi="宋体" w:cs="Arial"/>
          <w:sz w:val="24"/>
          <w:szCs w:val="24"/>
          <w:lang w:eastAsia="zh-CN"/>
        </w:rPr>
        <w:t>。</w:t>
      </w:r>
      <w:r>
        <w:rPr>
          <w:rFonts w:hint="eastAsia" w:ascii="宋体" w:hAnsi="宋体" w:cs="Arial"/>
          <w:sz w:val="24"/>
          <w:szCs w:val="24"/>
        </w:rPr>
        <w:t>逾期交货超过十日，视为无法交货</w:t>
      </w:r>
      <w:r>
        <w:rPr>
          <w:rFonts w:hint="eastAsia" w:ascii="宋体" w:hAnsi="宋体" w:cs="Arial"/>
          <w:sz w:val="24"/>
          <w:szCs w:val="24"/>
          <w:lang w:eastAsia="zh-CN"/>
        </w:rPr>
        <w:t>，</w:t>
      </w:r>
      <w:r>
        <w:rPr>
          <w:rFonts w:hint="eastAsia" w:ascii="宋体" w:hAnsi="宋体" w:cs="Arial"/>
          <w:sz w:val="24"/>
          <w:szCs w:val="24"/>
          <w:lang w:val="en-US" w:eastAsia="zh-CN"/>
        </w:rPr>
        <w:t>甲方有权解除合同</w:t>
      </w:r>
      <w:r>
        <w:rPr>
          <w:rFonts w:hint="eastAsia" w:ascii="宋体" w:hAnsi="宋体" w:cs="Arial"/>
          <w:sz w:val="24"/>
          <w:szCs w:val="24"/>
        </w:rPr>
        <w:t>。乙方无法交货的，应向甲方偿付不超过不能交货部分货款10%的违约金，如该违约金不足以弥补甲方与第三方签订的工程合同的损失金额的，除该违约金外，乙方还需要承担因此给甲方造成的一切损失，损失无法或不易计算衡量的，按照甲方与第三方签订的工程合同的合同金额的10%计算损失金额。</w:t>
      </w:r>
    </w:p>
    <w:p w14:paraId="6EDF3DEA">
      <w:pPr>
        <w:tabs>
          <w:tab w:val="left" w:pos="1320"/>
        </w:tabs>
        <w:spacing w:line="360" w:lineRule="auto"/>
        <w:ind w:firstLine="480" w:firstLineChars="200"/>
        <w:rPr>
          <w:rFonts w:ascii="宋体" w:hAnsi="宋体"/>
          <w:sz w:val="24"/>
          <w:szCs w:val="24"/>
        </w:rPr>
      </w:pPr>
      <w:r>
        <w:rPr>
          <w:rFonts w:hint="eastAsia" w:ascii="宋体" w:hAnsi="宋体" w:cs="Arial"/>
          <w:sz w:val="24"/>
          <w:szCs w:val="24"/>
        </w:rPr>
        <w:t>2、乙方所交货物的品种、型号、规格、质量等不符合约定的，应由甲方视具体情况决定重新按质论价、修理、调换或退货。因此导致直接损失由乙方承担，损失无法或不易计算衡量的，按照甲方与第三方签订的工程合同的合同金额的10%计算损失金额。</w:t>
      </w:r>
    </w:p>
    <w:p w14:paraId="20A2EE0D">
      <w:pPr>
        <w:tabs>
          <w:tab w:val="left" w:pos="1320"/>
        </w:tabs>
        <w:spacing w:line="360" w:lineRule="auto"/>
        <w:ind w:firstLine="480" w:firstLineChars="200"/>
        <w:rPr>
          <w:rFonts w:hint="eastAsia" w:ascii="宋体" w:hAnsi="宋体" w:cs="Arial"/>
          <w:sz w:val="24"/>
          <w:szCs w:val="24"/>
        </w:rPr>
      </w:pPr>
      <w:r>
        <w:rPr>
          <w:rFonts w:hint="eastAsia" w:ascii="宋体" w:hAnsi="宋体" w:cs="Arial"/>
          <w:sz w:val="24"/>
          <w:szCs w:val="24"/>
          <w:lang w:val="en-US" w:eastAsia="zh-CN"/>
        </w:rPr>
        <w:t>3</w:t>
      </w:r>
      <w:r>
        <w:rPr>
          <w:rFonts w:hint="eastAsia" w:ascii="宋体" w:hAnsi="宋体" w:cs="Arial"/>
          <w:sz w:val="24"/>
          <w:szCs w:val="24"/>
        </w:rPr>
        <w:t>、货物错发到货地点或接货人的，乙方除应负责运交指定地点和交货人外，还应承担甲方因此多支付的一切费用和承担逾期交货的责任。</w:t>
      </w:r>
    </w:p>
    <w:p w14:paraId="6A335A5D">
      <w:pPr>
        <w:tabs>
          <w:tab w:val="left" w:pos="1320"/>
        </w:tabs>
        <w:spacing w:line="360" w:lineRule="auto"/>
        <w:ind w:firstLine="480" w:firstLineChars="200"/>
        <w:rPr>
          <w:rFonts w:hint="eastAsia" w:ascii="宋体" w:hAnsi="宋体" w:cs="Arial"/>
          <w:sz w:val="24"/>
          <w:szCs w:val="24"/>
        </w:rPr>
      </w:pPr>
      <w:r>
        <w:rPr>
          <w:rFonts w:hint="eastAsia" w:ascii="宋体" w:hAnsi="宋体" w:cs="Arial"/>
          <w:sz w:val="24"/>
          <w:szCs w:val="24"/>
          <w:lang w:val="en-US" w:eastAsia="zh-CN"/>
        </w:rPr>
        <w:t>4</w:t>
      </w:r>
      <w:r>
        <w:rPr>
          <w:rFonts w:hint="eastAsia" w:ascii="宋体" w:hAnsi="宋体" w:cs="Arial"/>
          <w:sz w:val="24"/>
          <w:szCs w:val="24"/>
        </w:rPr>
        <w:t>、乙方逾期交货的，在发货前应与甲方协商，甲方仍需要的，乙方应如数补交，并负责逾期交货责任；甲方不再需要的，应当在接到乙方通知后十日内告知乙方，甲方有权办理合同解除手续。</w:t>
      </w:r>
    </w:p>
    <w:p w14:paraId="33A9FFAF">
      <w:pPr>
        <w:tabs>
          <w:tab w:val="left" w:pos="1320"/>
        </w:tabs>
        <w:spacing w:line="360" w:lineRule="auto"/>
        <w:ind w:firstLine="480" w:firstLineChars="200"/>
        <w:rPr>
          <w:rFonts w:hint="eastAsia" w:ascii="宋体" w:hAnsi="宋体" w:eastAsia="宋体" w:cs="Arial"/>
          <w:sz w:val="24"/>
          <w:szCs w:val="24"/>
          <w:lang w:val="en-US" w:eastAsia="zh-CN"/>
        </w:rPr>
      </w:pPr>
      <w:r>
        <w:rPr>
          <w:rFonts w:hint="eastAsia" w:ascii="宋体" w:hAnsi="宋体" w:cs="Arial"/>
          <w:sz w:val="24"/>
          <w:szCs w:val="24"/>
          <w:lang w:val="en-US" w:eastAsia="zh-CN"/>
        </w:rPr>
        <w:t>5、本合同所称损失，含直接损失和间接损失、预期利益损失、惩罚性损失，含为维权支付的诉讼费用、律师费、评估鉴定费、调查费、保险费、执行费、差旅费等。</w:t>
      </w:r>
    </w:p>
    <w:p w14:paraId="192B1274">
      <w:pPr>
        <w:spacing w:line="360" w:lineRule="auto"/>
        <w:ind w:firstLine="482" w:firstLineChars="200"/>
        <w:rPr>
          <w:rFonts w:ascii="黑体" w:hAnsi="黑体" w:eastAsia="黑体" w:cs="Arial"/>
          <w:sz w:val="24"/>
          <w:szCs w:val="24"/>
        </w:rPr>
      </w:pPr>
      <w:r>
        <w:rPr>
          <w:rFonts w:hint="eastAsia" w:ascii="黑体" w:hAnsi="黑体" w:eastAsia="黑体" w:cs="Arial"/>
          <w:b/>
          <w:bCs/>
          <w:sz w:val="24"/>
          <w:szCs w:val="24"/>
        </w:rPr>
        <w:t>十二、</w:t>
      </w:r>
      <w:r>
        <w:rPr>
          <w:rFonts w:hint="eastAsia" w:ascii="黑体" w:hAnsi="黑体" w:eastAsia="黑体" w:cs="Arial"/>
          <w:b/>
          <w:bCs/>
          <w:sz w:val="24"/>
          <w:szCs w:val="24"/>
          <w:lang w:val="en-US" w:eastAsia="zh-CN"/>
        </w:rPr>
        <w:t>保密及</w:t>
      </w:r>
      <w:r>
        <w:rPr>
          <w:rFonts w:hint="eastAsia" w:ascii="黑体" w:hAnsi="黑体" w:eastAsia="黑体" w:cs="Arial"/>
          <w:b/>
          <w:bCs/>
          <w:sz w:val="24"/>
          <w:szCs w:val="24"/>
        </w:rPr>
        <w:t>不可抗力</w:t>
      </w:r>
    </w:p>
    <w:p w14:paraId="21072573">
      <w:pPr>
        <w:spacing w:line="360" w:lineRule="auto"/>
        <w:ind w:firstLine="480" w:firstLineChars="200"/>
        <w:rPr>
          <w:rFonts w:hint="eastAsia" w:ascii="宋体" w:hAnsi="宋体" w:cs="Arial"/>
          <w:sz w:val="24"/>
          <w:szCs w:val="24"/>
        </w:rPr>
      </w:pPr>
      <w:r>
        <w:rPr>
          <w:rFonts w:hint="eastAsia" w:ascii="宋体" w:hAnsi="宋体" w:cs="Arial"/>
          <w:sz w:val="24"/>
          <w:szCs w:val="24"/>
          <w:lang w:val="en-US" w:eastAsia="zh-CN"/>
        </w:rPr>
        <w:t>1、</w:t>
      </w:r>
      <w:r>
        <w:rPr>
          <w:rFonts w:hint="eastAsia" w:ascii="宋体" w:hAnsi="宋体" w:cs="Arial"/>
          <w:sz w:val="24"/>
          <w:szCs w:val="24"/>
        </w:rPr>
        <w:t>本协议签订及履行过程中，乙方知悉的甲方人员信息、采购需求、相关项目情况、工作安排、甲方提供的技术资料、产品目录、样品、图纸及与货物有关的价格、数量、质量信息及甲方的客户信息及本合同相关内容均属于保密信息，乙方应承担保密义务。未经甲方事先书面确认，乙方不得将保密信息以任何形式披露给第三方，或用于本合同以外的目的。若乙方行为违反上述保密条款，应向甲方支付</w:t>
      </w:r>
      <w:r>
        <w:rPr>
          <w:rFonts w:hint="eastAsia" w:ascii="宋体" w:hAnsi="宋体" w:cs="Arial"/>
          <w:sz w:val="24"/>
          <w:szCs w:val="24"/>
          <w:lang w:val="en-US" w:eastAsia="zh-CN"/>
        </w:rPr>
        <w:t>50万元</w:t>
      </w:r>
      <w:r>
        <w:rPr>
          <w:rFonts w:hint="eastAsia" w:ascii="宋体" w:hAnsi="宋体" w:cs="Arial"/>
          <w:sz w:val="24"/>
          <w:szCs w:val="24"/>
        </w:rPr>
        <w:t>违约金，违约金不足以弥补甲方损失的，还应赔偿甲方损失。</w:t>
      </w:r>
    </w:p>
    <w:p w14:paraId="185EAC8C">
      <w:pPr>
        <w:spacing w:line="360" w:lineRule="auto"/>
        <w:ind w:firstLine="480" w:firstLineChars="200"/>
        <w:rPr>
          <w:rFonts w:ascii="宋体" w:hAnsi="宋体" w:cs="Arial"/>
          <w:sz w:val="24"/>
          <w:szCs w:val="24"/>
        </w:rPr>
      </w:pPr>
      <w:r>
        <w:rPr>
          <w:rFonts w:hint="eastAsia" w:ascii="宋体" w:hAnsi="宋体" w:cs="Arial"/>
          <w:sz w:val="24"/>
          <w:szCs w:val="24"/>
          <w:lang w:val="en-US" w:eastAsia="zh-CN"/>
        </w:rPr>
        <w:t>2、</w:t>
      </w:r>
      <w:r>
        <w:rPr>
          <w:rFonts w:hint="eastAsia" w:ascii="宋体" w:hAnsi="宋体" w:cs="Arial"/>
          <w:sz w:val="24"/>
          <w:szCs w:val="24"/>
        </w:rPr>
        <w:t>甲乙双方由于不可抗力的原因不能履行合同时，应及时向对方通报理由并取得有关证明，对方应根据情况给予免除或部分免除另一方的违约责任。本条款所指的不可抗力为天灾、战争、政府行为等不可预见、不可避免及不能克服的事件。</w:t>
      </w:r>
    </w:p>
    <w:p w14:paraId="70059575">
      <w:pPr>
        <w:spacing w:line="360" w:lineRule="auto"/>
        <w:ind w:firstLine="482" w:firstLineChars="200"/>
        <w:rPr>
          <w:rFonts w:ascii="黑体" w:hAnsi="黑体" w:eastAsia="黑体" w:cs="Arial"/>
          <w:sz w:val="24"/>
          <w:szCs w:val="24"/>
        </w:rPr>
      </w:pPr>
      <w:r>
        <w:rPr>
          <w:rFonts w:hint="eastAsia" w:ascii="黑体" w:hAnsi="黑体" w:eastAsia="黑体" w:cs="Arial"/>
          <w:b/>
          <w:bCs/>
          <w:sz w:val="24"/>
          <w:szCs w:val="24"/>
        </w:rPr>
        <w:t>十三、争议解决方式</w:t>
      </w:r>
    </w:p>
    <w:p w14:paraId="7AFF9B93">
      <w:pPr>
        <w:spacing w:line="360" w:lineRule="auto"/>
        <w:ind w:firstLine="480" w:firstLineChars="200"/>
        <w:rPr>
          <w:rFonts w:ascii="宋体" w:hAnsi="宋体" w:cs="Arial"/>
          <w:sz w:val="24"/>
          <w:szCs w:val="24"/>
        </w:rPr>
      </w:pPr>
      <w:r>
        <w:rPr>
          <w:rFonts w:hint="eastAsia" w:ascii="宋体" w:hAnsi="宋体" w:cs="Arial"/>
          <w:sz w:val="24"/>
          <w:szCs w:val="24"/>
        </w:rPr>
        <w:t>因本合同所发生的争议，双方应尽量协商解决。协商不成，任何一方均有权将争议提交起甲方住所所在地人民法院解决。</w:t>
      </w:r>
    </w:p>
    <w:p w14:paraId="6DF27CEE">
      <w:pPr>
        <w:spacing w:line="360" w:lineRule="auto"/>
        <w:ind w:left="1136" w:leftChars="200" w:hanging="716" w:hangingChars="297"/>
        <w:rPr>
          <w:rFonts w:ascii="黑体" w:hAnsi="黑体" w:eastAsia="黑体" w:cs="Arial"/>
          <w:b/>
          <w:bCs/>
          <w:sz w:val="24"/>
          <w:szCs w:val="24"/>
        </w:rPr>
      </w:pPr>
      <w:r>
        <w:rPr>
          <w:rFonts w:hint="eastAsia" w:ascii="黑体" w:hAnsi="黑体" w:eastAsia="黑体" w:cs="Arial"/>
          <w:b/>
          <w:bCs/>
          <w:sz w:val="24"/>
          <w:szCs w:val="24"/>
        </w:rPr>
        <w:t>十四、合同生效</w:t>
      </w:r>
    </w:p>
    <w:p w14:paraId="0015AB60">
      <w:pPr>
        <w:spacing w:line="360" w:lineRule="auto"/>
        <w:rPr>
          <w:rFonts w:hint="default" w:ascii="黑体" w:hAnsi="黑体" w:eastAsia="黑体"/>
          <w:b/>
          <w:bCs/>
          <w:sz w:val="24"/>
          <w:szCs w:val="24"/>
          <w:lang w:val="en-US" w:eastAsia="zh-CN"/>
        </w:rPr>
      </w:pPr>
      <w:r>
        <w:rPr>
          <w:rFonts w:hint="eastAsia" w:ascii="宋体" w:hAnsi="宋体" w:cs="Arial"/>
          <w:sz w:val="24"/>
          <w:szCs w:val="24"/>
        </w:rPr>
        <w:t>本合同自甲乙双方签字、盖章之日起生效。</w:t>
      </w:r>
      <w:r>
        <w:rPr>
          <w:rFonts w:hint="eastAsia" w:ascii="宋体" w:hAnsi="宋体" w:cs="Arial"/>
          <w:sz w:val="24"/>
          <w:szCs w:val="24"/>
          <w:lang w:val="en-US" w:eastAsia="zh-CN"/>
        </w:rPr>
        <w:t>合</w:t>
      </w:r>
      <w:r>
        <w:rPr>
          <w:rFonts w:hint="eastAsia" w:ascii="宋体" w:hAnsi="宋体" w:cs="宋体"/>
          <w:szCs w:val="21"/>
        </w:rPr>
        <w:t>同一式</w:t>
      </w:r>
      <w:permStart w:id="12" w:edGrp="everyone"/>
      <w:r>
        <w:rPr>
          <w:rFonts w:hint="eastAsia" w:ascii="宋体" w:hAnsi="宋体" w:cs="宋体"/>
          <w:szCs w:val="21"/>
          <w:u w:val="single"/>
        </w:rPr>
        <w:t xml:space="preserve"> </w:t>
      </w:r>
      <w:r>
        <w:rPr>
          <w:rFonts w:hint="eastAsia" w:ascii="宋体" w:hAnsi="宋体" w:cs="宋体"/>
          <w:szCs w:val="21"/>
          <w:u w:val="single"/>
          <w:lang w:val="en-US" w:eastAsia="zh-CN"/>
        </w:rPr>
        <w:t>叁</w:t>
      </w:r>
      <w:r>
        <w:rPr>
          <w:rFonts w:hint="eastAsia" w:ascii="宋体" w:hAnsi="宋体" w:cs="宋体"/>
          <w:szCs w:val="21"/>
          <w:u w:val="single"/>
        </w:rPr>
        <w:t xml:space="preserve"> </w:t>
      </w:r>
      <w:permEnd w:id="12"/>
      <w:r>
        <w:rPr>
          <w:rFonts w:hint="eastAsia" w:ascii="宋体" w:hAnsi="宋体" w:cs="宋体"/>
          <w:szCs w:val="21"/>
        </w:rPr>
        <w:t>份，甲方执</w:t>
      </w:r>
      <w:permStart w:id="13" w:edGrp="everyone"/>
      <w:r>
        <w:rPr>
          <w:rFonts w:hint="eastAsia" w:ascii="宋体" w:hAnsi="宋体" w:cs="宋体"/>
          <w:szCs w:val="21"/>
          <w:u w:val="single"/>
        </w:rPr>
        <w:t xml:space="preserve"> </w:t>
      </w:r>
      <w:r>
        <w:rPr>
          <w:rFonts w:hint="eastAsia" w:ascii="宋体" w:hAnsi="宋体" w:cs="宋体"/>
          <w:szCs w:val="21"/>
          <w:u w:val="single"/>
          <w:lang w:val="en-US" w:eastAsia="zh-CN"/>
        </w:rPr>
        <w:t>壹</w:t>
      </w:r>
      <w:r>
        <w:rPr>
          <w:rFonts w:hint="eastAsia" w:ascii="宋体" w:hAnsi="宋体" w:cs="宋体"/>
          <w:szCs w:val="21"/>
          <w:u w:val="single"/>
        </w:rPr>
        <w:t xml:space="preserve"> </w:t>
      </w:r>
      <w:permEnd w:id="13"/>
      <w:r>
        <w:rPr>
          <w:rFonts w:hint="eastAsia" w:ascii="宋体" w:hAnsi="宋体" w:cs="宋体"/>
          <w:szCs w:val="21"/>
        </w:rPr>
        <w:t>份，乙方执</w:t>
      </w:r>
      <w:permStart w:id="14" w:edGrp="everyone"/>
      <w:r>
        <w:rPr>
          <w:rFonts w:hint="eastAsia" w:ascii="宋体" w:hAnsi="宋体" w:cs="宋体"/>
          <w:szCs w:val="21"/>
          <w:u w:val="single"/>
        </w:rPr>
        <w:t xml:space="preserve"> 贰 </w:t>
      </w:r>
      <w:permEnd w:id="14"/>
      <w:r>
        <w:rPr>
          <w:rFonts w:hint="eastAsia" w:ascii="宋体" w:hAnsi="宋体" w:cs="宋体"/>
          <w:szCs w:val="21"/>
        </w:rPr>
        <w:t>份，每份具有同等法律效力。</w:t>
      </w:r>
    </w:p>
    <w:tbl>
      <w:tblPr>
        <w:tblStyle w:val="10"/>
        <w:tblW w:w="0" w:type="auto"/>
        <w:tblInd w:w="-176" w:type="dxa"/>
        <w:tblLayout w:type="autofit"/>
        <w:tblCellMar>
          <w:top w:w="0" w:type="dxa"/>
          <w:left w:w="108" w:type="dxa"/>
          <w:bottom w:w="0" w:type="dxa"/>
          <w:right w:w="108" w:type="dxa"/>
        </w:tblCellMar>
      </w:tblPr>
      <w:tblGrid>
        <w:gridCol w:w="5019"/>
        <w:gridCol w:w="4795"/>
      </w:tblGrid>
      <w:tr w14:paraId="77855AA8">
        <w:tblPrEx>
          <w:tblCellMar>
            <w:top w:w="0" w:type="dxa"/>
            <w:left w:w="108" w:type="dxa"/>
            <w:bottom w:w="0" w:type="dxa"/>
            <w:right w:w="108" w:type="dxa"/>
          </w:tblCellMar>
        </w:tblPrEx>
        <w:tc>
          <w:tcPr>
            <w:tcW w:w="5103" w:type="dxa"/>
            <w:noWrap w:val="0"/>
            <w:vAlign w:val="top"/>
          </w:tcPr>
          <w:p w14:paraId="093F67D3">
            <w:pPr>
              <w:spacing w:line="360" w:lineRule="auto"/>
              <w:rPr>
                <w:rFonts w:hint="eastAsia" w:ascii="宋体" w:hAnsi="宋体"/>
                <w:bCs/>
                <w:sz w:val="24"/>
                <w:szCs w:val="24"/>
              </w:rPr>
            </w:pPr>
            <w:r>
              <w:rPr>
                <w:rFonts w:hint="eastAsia" w:ascii="黑体" w:hAnsi="黑体" w:eastAsia="黑体" w:cs="Arial"/>
                <w:b/>
                <w:bCs/>
                <w:sz w:val="24"/>
                <w:szCs w:val="24"/>
              </w:rPr>
              <w:t>甲  方：</w:t>
            </w:r>
            <w:r>
              <w:rPr>
                <w:rFonts w:hint="eastAsia" w:ascii="黑体" w:hAnsi="黑体" w:eastAsia="黑体"/>
                <w:b/>
                <w:sz w:val="24"/>
                <w:szCs w:val="24"/>
                <w:u w:val="single"/>
              </w:rPr>
              <w:t>南京禄口国际机场空港科技有限公司</w:t>
            </w:r>
          </w:p>
        </w:tc>
        <w:tc>
          <w:tcPr>
            <w:tcW w:w="4927" w:type="dxa"/>
            <w:noWrap w:val="0"/>
            <w:vAlign w:val="top"/>
          </w:tcPr>
          <w:p w14:paraId="1A4DF1BF">
            <w:pPr>
              <w:spacing w:line="360" w:lineRule="auto"/>
              <w:rPr>
                <w:rFonts w:hint="eastAsia" w:ascii="宋体" w:hAnsi="宋体"/>
                <w:bCs/>
                <w:sz w:val="24"/>
                <w:szCs w:val="24"/>
              </w:rPr>
            </w:pPr>
            <w:r>
              <w:rPr>
                <w:rFonts w:hint="eastAsia" w:ascii="黑体" w:hAnsi="黑体" w:eastAsia="黑体" w:cs="Arial"/>
                <w:b/>
                <w:bCs/>
                <w:sz w:val="24"/>
                <w:szCs w:val="24"/>
              </w:rPr>
              <w:t>乙 方:</w:t>
            </w:r>
            <w:r>
              <w:rPr>
                <w:rFonts w:hint="eastAsia"/>
                <w:b/>
                <w:bCs/>
                <w:sz w:val="24"/>
                <w:szCs w:val="24"/>
              </w:rPr>
              <w:t xml:space="preserve"> </w:t>
            </w:r>
            <w:r>
              <w:rPr>
                <w:rFonts w:hint="eastAsia" w:ascii="黑体" w:hAnsi="黑体" w:eastAsia="黑体" w:cs="Arial"/>
                <w:b/>
                <w:sz w:val="24"/>
                <w:szCs w:val="24"/>
                <w:u w:val="single"/>
              </w:rPr>
              <w:t xml:space="preserve">       </w:t>
            </w:r>
          </w:p>
        </w:tc>
      </w:tr>
      <w:tr w14:paraId="269E3369">
        <w:tblPrEx>
          <w:tblCellMar>
            <w:top w:w="0" w:type="dxa"/>
            <w:left w:w="108" w:type="dxa"/>
            <w:bottom w:w="0" w:type="dxa"/>
            <w:right w:w="108" w:type="dxa"/>
          </w:tblCellMar>
        </w:tblPrEx>
        <w:tc>
          <w:tcPr>
            <w:tcW w:w="5103" w:type="dxa"/>
            <w:noWrap w:val="0"/>
            <w:vAlign w:val="top"/>
          </w:tcPr>
          <w:p w14:paraId="573747CC">
            <w:pPr>
              <w:spacing w:line="360" w:lineRule="auto"/>
              <w:rPr>
                <w:rFonts w:hint="eastAsia" w:ascii="宋体" w:hAnsi="宋体"/>
                <w:bCs/>
                <w:sz w:val="24"/>
                <w:szCs w:val="24"/>
              </w:rPr>
            </w:pPr>
            <w:r>
              <w:rPr>
                <w:rFonts w:hint="eastAsia" w:ascii="黑体" w:hAnsi="黑体" w:eastAsia="黑体" w:cs="Arial"/>
                <w:b/>
                <w:bCs/>
                <w:sz w:val="24"/>
                <w:szCs w:val="24"/>
              </w:rPr>
              <w:t>代表人：</w:t>
            </w:r>
            <w:r>
              <w:rPr>
                <w:rFonts w:hint="eastAsia" w:ascii="黑体" w:hAnsi="黑体" w:eastAsia="黑体" w:cs="Arial"/>
                <w:b/>
                <w:bCs/>
                <w:sz w:val="24"/>
                <w:szCs w:val="24"/>
                <w:u w:val="single"/>
              </w:rPr>
              <w:t xml:space="preserve">      </w:t>
            </w:r>
          </w:p>
        </w:tc>
        <w:tc>
          <w:tcPr>
            <w:tcW w:w="4927" w:type="dxa"/>
            <w:noWrap w:val="0"/>
            <w:vAlign w:val="top"/>
          </w:tcPr>
          <w:p w14:paraId="3C8D0C18">
            <w:pPr>
              <w:spacing w:line="360" w:lineRule="auto"/>
              <w:rPr>
                <w:rFonts w:hint="eastAsia" w:ascii="宋体" w:hAnsi="宋体"/>
                <w:bCs/>
                <w:sz w:val="24"/>
                <w:szCs w:val="24"/>
              </w:rPr>
            </w:pPr>
            <w:r>
              <w:rPr>
                <w:rFonts w:hint="eastAsia" w:ascii="黑体" w:hAnsi="黑体" w:eastAsia="黑体" w:cs="Arial"/>
                <w:b/>
                <w:bCs/>
                <w:sz w:val="24"/>
                <w:szCs w:val="24"/>
              </w:rPr>
              <w:t>代表人：</w:t>
            </w:r>
            <w:r>
              <w:rPr>
                <w:rFonts w:hint="eastAsia" w:ascii="黑体" w:hAnsi="黑体" w:eastAsia="黑体" w:cs="Arial"/>
                <w:b/>
                <w:sz w:val="24"/>
                <w:szCs w:val="24"/>
                <w:u w:val="single"/>
              </w:rPr>
              <w:t xml:space="preserve">          </w:t>
            </w:r>
          </w:p>
        </w:tc>
      </w:tr>
      <w:tr w14:paraId="3D6EDFD4">
        <w:tblPrEx>
          <w:tblCellMar>
            <w:top w:w="0" w:type="dxa"/>
            <w:left w:w="108" w:type="dxa"/>
            <w:bottom w:w="0" w:type="dxa"/>
            <w:right w:w="108" w:type="dxa"/>
          </w:tblCellMar>
        </w:tblPrEx>
        <w:tc>
          <w:tcPr>
            <w:tcW w:w="5103" w:type="dxa"/>
            <w:noWrap w:val="0"/>
            <w:vAlign w:val="top"/>
          </w:tcPr>
          <w:p w14:paraId="225AFB6F">
            <w:pPr>
              <w:spacing w:line="360" w:lineRule="auto"/>
              <w:rPr>
                <w:rFonts w:hint="eastAsia" w:ascii="宋体" w:hAnsi="宋体"/>
                <w:bCs/>
                <w:sz w:val="24"/>
                <w:szCs w:val="24"/>
              </w:rPr>
            </w:pPr>
            <w:r>
              <w:rPr>
                <w:rFonts w:hint="eastAsia" w:ascii="黑体" w:hAnsi="黑体" w:eastAsia="黑体" w:cs="Arial"/>
                <w:b/>
                <w:bCs/>
                <w:sz w:val="24"/>
                <w:szCs w:val="24"/>
              </w:rPr>
              <w:t>地  址：</w:t>
            </w:r>
            <w:r>
              <w:rPr>
                <w:rFonts w:hint="eastAsia" w:ascii="黑体" w:hAnsi="黑体" w:eastAsia="黑体" w:cs="Times New Roman"/>
                <w:b/>
                <w:sz w:val="24"/>
                <w:szCs w:val="24"/>
                <w:u w:val="single"/>
              </w:rPr>
              <w:t>南京市江宁区秣陵街道天元西路199号东部机场集团10楼</w:t>
            </w:r>
          </w:p>
        </w:tc>
        <w:tc>
          <w:tcPr>
            <w:tcW w:w="4927" w:type="dxa"/>
            <w:noWrap w:val="0"/>
            <w:vAlign w:val="top"/>
          </w:tcPr>
          <w:p w14:paraId="4A7C98C0">
            <w:pPr>
              <w:spacing w:line="360" w:lineRule="auto"/>
              <w:rPr>
                <w:rFonts w:hint="eastAsia" w:ascii="宋体" w:hAnsi="宋体"/>
                <w:bCs/>
                <w:sz w:val="24"/>
                <w:szCs w:val="24"/>
              </w:rPr>
            </w:pPr>
            <w:r>
              <w:rPr>
                <w:rFonts w:hint="eastAsia" w:ascii="黑体" w:hAnsi="黑体" w:eastAsia="黑体" w:cs="Arial"/>
                <w:b/>
                <w:bCs/>
                <w:sz w:val="24"/>
                <w:szCs w:val="24"/>
              </w:rPr>
              <w:t>地  址：</w:t>
            </w:r>
            <w:r>
              <w:rPr>
                <w:rFonts w:hint="eastAsia" w:ascii="黑体" w:hAnsi="黑体" w:eastAsia="黑体" w:cs="Arial"/>
                <w:b/>
                <w:sz w:val="24"/>
                <w:szCs w:val="24"/>
                <w:u w:val="single"/>
              </w:rPr>
              <w:t xml:space="preserve">       </w:t>
            </w:r>
          </w:p>
        </w:tc>
      </w:tr>
      <w:tr w14:paraId="0B81D098">
        <w:tblPrEx>
          <w:tblCellMar>
            <w:top w:w="0" w:type="dxa"/>
            <w:left w:w="108" w:type="dxa"/>
            <w:bottom w:w="0" w:type="dxa"/>
            <w:right w:w="108" w:type="dxa"/>
          </w:tblCellMar>
        </w:tblPrEx>
        <w:tc>
          <w:tcPr>
            <w:tcW w:w="5103" w:type="dxa"/>
            <w:noWrap w:val="0"/>
            <w:vAlign w:val="top"/>
          </w:tcPr>
          <w:p w14:paraId="126B0890">
            <w:pPr>
              <w:spacing w:line="360" w:lineRule="auto"/>
              <w:rPr>
                <w:rFonts w:hint="eastAsia" w:ascii="宋体" w:hAnsi="宋体"/>
                <w:bCs/>
                <w:sz w:val="24"/>
                <w:szCs w:val="24"/>
              </w:rPr>
            </w:pPr>
            <w:r>
              <w:rPr>
                <w:rFonts w:hint="eastAsia" w:ascii="黑体" w:hAnsi="黑体" w:eastAsia="黑体" w:cs="Arial"/>
                <w:b/>
                <w:bCs/>
                <w:sz w:val="24"/>
                <w:szCs w:val="24"/>
              </w:rPr>
              <w:t>电  话：</w:t>
            </w:r>
            <w:r>
              <w:rPr>
                <w:rFonts w:ascii="黑体" w:hAnsi="黑体" w:eastAsia="黑体" w:cs="Arial"/>
                <w:b/>
                <w:bCs/>
                <w:sz w:val="24"/>
                <w:szCs w:val="24"/>
                <w:u w:val="single"/>
              </w:rPr>
              <w:t>025-69820630</w:t>
            </w:r>
            <w:r>
              <w:rPr>
                <w:rFonts w:hint="eastAsia" w:ascii="黑体" w:hAnsi="黑体" w:eastAsia="黑体" w:cs="Arial"/>
                <w:b/>
                <w:bCs/>
                <w:sz w:val="24"/>
                <w:szCs w:val="24"/>
                <w:u w:val="single"/>
              </w:rPr>
              <w:t xml:space="preserve">                </w:t>
            </w:r>
          </w:p>
        </w:tc>
        <w:tc>
          <w:tcPr>
            <w:tcW w:w="4927" w:type="dxa"/>
            <w:noWrap w:val="0"/>
            <w:vAlign w:val="top"/>
          </w:tcPr>
          <w:p w14:paraId="035B2494">
            <w:pPr>
              <w:spacing w:line="360" w:lineRule="auto"/>
              <w:rPr>
                <w:rFonts w:hint="eastAsia" w:ascii="宋体" w:hAnsi="宋体"/>
                <w:bCs/>
                <w:sz w:val="24"/>
                <w:szCs w:val="24"/>
              </w:rPr>
            </w:pPr>
            <w:r>
              <w:rPr>
                <w:rFonts w:hint="eastAsia" w:ascii="黑体" w:hAnsi="黑体" w:eastAsia="黑体" w:cs="Arial"/>
                <w:b/>
                <w:bCs/>
                <w:sz w:val="24"/>
                <w:szCs w:val="24"/>
              </w:rPr>
              <w:t>电  话：</w:t>
            </w:r>
            <w:r>
              <w:rPr>
                <w:rFonts w:hint="eastAsia" w:ascii="黑体" w:hAnsi="黑体" w:eastAsia="黑体"/>
                <w:b/>
                <w:sz w:val="24"/>
                <w:szCs w:val="24"/>
                <w:u w:val="single"/>
              </w:rPr>
              <w:t xml:space="preserve"> </w:t>
            </w:r>
            <w:r>
              <w:rPr>
                <w:rFonts w:hint="eastAsia" w:ascii="黑体" w:hAnsi="黑体" w:eastAsia="黑体" w:cs="Arial"/>
                <w:b/>
                <w:sz w:val="24"/>
                <w:szCs w:val="24"/>
                <w:u w:val="single"/>
              </w:rPr>
              <w:t xml:space="preserve">       </w:t>
            </w:r>
          </w:p>
        </w:tc>
      </w:tr>
      <w:tr w14:paraId="16A9879E">
        <w:tblPrEx>
          <w:tblCellMar>
            <w:top w:w="0" w:type="dxa"/>
            <w:left w:w="108" w:type="dxa"/>
            <w:bottom w:w="0" w:type="dxa"/>
            <w:right w:w="108" w:type="dxa"/>
          </w:tblCellMar>
        </w:tblPrEx>
        <w:tc>
          <w:tcPr>
            <w:tcW w:w="5103" w:type="dxa"/>
            <w:noWrap w:val="0"/>
            <w:vAlign w:val="top"/>
          </w:tcPr>
          <w:p w14:paraId="64DB3414">
            <w:pPr>
              <w:spacing w:line="360" w:lineRule="auto"/>
              <w:rPr>
                <w:rFonts w:hint="eastAsia" w:ascii="黑体" w:hAnsi="黑体" w:eastAsia="黑体" w:cs="Arial"/>
                <w:b/>
                <w:bCs/>
                <w:sz w:val="24"/>
                <w:szCs w:val="24"/>
                <w:u w:val="single"/>
              </w:rPr>
            </w:pPr>
            <w:r>
              <w:rPr>
                <w:rFonts w:hint="eastAsia" w:ascii="黑体" w:hAnsi="黑体" w:eastAsia="黑体" w:cs="Arial"/>
                <w:b/>
                <w:bCs/>
                <w:sz w:val="24"/>
                <w:szCs w:val="24"/>
              </w:rPr>
              <w:t>开户行：</w:t>
            </w:r>
            <w:r>
              <w:rPr>
                <w:rFonts w:hint="eastAsia" w:ascii="黑体" w:hAnsi="黑体" w:eastAsia="黑体" w:cs="Arial"/>
                <w:b/>
                <w:bCs/>
                <w:sz w:val="24"/>
                <w:szCs w:val="24"/>
                <w:u w:val="single"/>
              </w:rPr>
              <w:t>中国银行南京禄口机场支行</w:t>
            </w:r>
          </w:p>
          <w:p w14:paraId="300D39D7">
            <w:pPr>
              <w:spacing w:line="360" w:lineRule="auto"/>
              <w:rPr>
                <w:rFonts w:hint="eastAsia" w:ascii="宋体" w:hAnsi="宋体"/>
                <w:bCs/>
                <w:sz w:val="24"/>
                <w:szCs w:val="24"/>
              </w:rPr>
            </w:pPr>
            <w:r>
              <w:rPr>
                <w:rFonts w:hint="eastAsia" w:ascii="黑体" w:hAnsi="黑体" w:eastAsia="黑体" w:cs="Arial"/>
                <w:b/>
                <w:bCs/>
                <w:sz w:val="24"/>
                <w:szCs w:val="24"/>
              </w:rPr>
              <w:t>开户行帐号：</w:t>
            </w:r>
            <w:r>
              <w:rPr>
                <w:rFonts w:ascii="黑体" w:hAnsi="黑体" w:eastAsia="黑体" w:cs="Arial"/>
                <w:b/>
                <w:bCs/>
                <w:sz w:val="24"/>
                <w:szCs w:val="24"/>
                <w:u w:val="single"/>
              </w:rPr>
              <w:t>553470001259</w:t>
            </w:r>
          </w:p>
        </w:tc>
        <w:tc>
          <w:tcPr>
            <w:tcW w:w="4927" w:type="dxa"/>
            <w:noWrap w:val="0"/>
            <w:vAlign w:val="top"/>
          </w:tcPr>
          <w:p w14:paraId="1C8F9E34">
            <w:pPr>
              <w:spacing w:line="360" w:lineRule="auto"/>
              <w:rPr>
                <w:rFonts w:hint="eastAsia" w:ascii="黑体" w:hAnsi="黑体" w:eastAsia="黑体" w:cs="Arial"/>
                <w:b/>
                <w:bCs/>
                <w:sz w:val="24"/>
                <w:szCs w:val="24"/>
                <w:u w:val="single"/>
              </w:rPr>
            </w:pPr>
            <w:r>
              <w:rPr>
                <w:rFonts w:hint="eastAsia" w:ascii="黑体" w:hAnsi="黑体" w:eastAsia="黑体" w:cs="Arial"/>
                <w:b/>
                <w:bCs/>
                <w:sz w:val="24"/>
                <w:szCs w:val="24"/>
              </w:rPr>
              <w:t>开户行：</w:t>
            </w:r>
            <w:r>
              <w:rPr>
                <w:rFonts w:hint="eastAsia" w:ascii="黑体" w:hAnsi="黑体" w:eastAsia="黑体" w:cs="Arial"/>
                <w:b/>
                <w:sz w:val="24"/>
                <w:szCs w:val="24"/>
                <w:u w:val="single"/>
              </w:rPr>
              <w:t xml:space="preserve">       </w:t>
            </w:r>
          </w:p>
          <w:p w14:paraId="3490D5EA">
            <w:pPr>
              <w:spacing w:line="360" w:lineRule="auto"/>
              <w:rPr>
                <w:rFonts w:hint="eastAsia" w:ascii="宋体" w:hAnsi="宋体"/>
                <w:bCs/>
                <w:sz w:val="24"/>
                <w:szCs w:val="24"/>
              </w:rPr>
            </w:pPr>
            <w:r>
              <w:rPr>
                <w:rFonts w:hint="eastAsia" w:ascii="黑体" w:hAnsi="黑体" w:eastAsia="黑体" w:cs="Arial"/>
                <w:b/>
                <w:bCs/>
                <w:sz w:val="24"/>
                <w:szCs w:val="24"/>
              </w:rPr>
              <w:t>开户行帐号：</w:t>
            </w:r>
            <w:r>
              <w:rPr>
                <w:rFonts w:hint="eastAsia" w:ascii="黑体" w:hAnsi="黑体" w:eastAsia="黑体" w:cs="Arial"/>
                <w:b/>
                <w:sz w:val="24"/>
                <w:szCs w:val="24"/>
                <w:u w:val="single"/>
              </w:rPr>
              <w:t xml:space="preserve">       </w:t>
            </w:r>
          </w:p>
        </w:tc>
      </w:tr>
      <w:tr w14:paraId="767BB011">
        <w:tblPrEx>
          <w:tblCellMar>
            <w:top w:w="0" w:type="dxa"/>
            <w:left w:w="108" w:type="dxa"/>
            <w:bottom w:w="0" w:type="dxa"/>
            <w:right w:w="108" w:type="dxa"/>
          </w:tblCellMar>
        </w:tblPrEx>
        <w:tc>
          <w:tcPr>
            <w:tcW w:w="5103" w:type="dxa"/>
            <w:noWrap w:val="0"/>
            <w:vAlign w:val="top"/>
          </w:tcPr>
          <w:p w14:paraId="18A4EBBE">
            <w:pPr>
              <w:spacing w:line="360" w:lineRule="auto"/>
              <w:rPr>
                <w:rFonts w:hint="eastAsia" w:ascii="宋体" w:hAnsi="宋体"/>
                <w:bCs/>
                <w:sz w:val="24"/>
                <w:szCs w:val="24"/>
              </w:rPr>
            </w:pPr>
            <w:r>
              <w:rPr>
                <w:rFonts w:hint="eastAsia" w:ascii="黑体" w:hAnsi="黑体" w:eastAsia="黑体"/>
                <w:b/>
                <w:sz w:val="24"/>
                <w:szCs w:val="24"/>
              </w:rPr>
              <w:t>纳税人识别号：</w:t>
            </w:r>
            <w:r>
              <w:rPr>
                <w:rFonts w:ascii="黑体" w:hAnsi="黑体" w:eastAsia="黑体"/>
                <w:b/>
                <w:sz w:val="24"/>
                <w:szCs w:val="24"/>
                <w:u w:val="single"/>
              </w:rPr>
              <w:t>913200007140930345</w:t>
            </w:r>
          </w:p>
        </w:tc>
        <w:tc>
          <w:tcPr>
            <w:tcW w:w="4927" w:type="dxa"/>
            <w:noWrap w:val="0"/>
            <w:vAlign w:val="top"/>
          </w:tcPr>
          <w:p w14:paraId="311682D6">
            <w:pPr>
              <w:spacing w:line="360" w:lineRule="auto"/>
              <w:rPr>
                <w:rFonts w:hint="eastAsia" w:ascii="宋体" w:hAnsi="宋体"/>
                <w:bCs/>
                <w:sz w:val="24"/>
                <w:szCs w:val="24"/>
              </w:rPr>
            </w:pPr>
            <w:r>
              <w:rPr>
                <w:rFonts w:hint="eastAsia" w:ascii="黑体" w:hAnsi="黑体" w:eastAsia="黑体"/>
                <w:b/>
                <w:sz w:val="24"/>
                <w:szCs w:val="24"/>
              </w:rPr>
              <w:t>纳税人识别号：</w:t>
            </w:r>
            <w:r>
              <w:rPr>
                <w:rFonts w:hint="eastAsia" w:ascii="黑体" w:hAnsi="黑体" w:eastAsia="黑体" w:cs="Arial"/>
                <w:b/>
                <w:sz w:val="24"/>
                <w:szCs w:val="24"/>
                <w:u w:val="single"/>
              </w:rPr>
              <w:t xml:space="preserve">       </w:t>
            </w:r>
            <w:r>
              <w:rPr>
                <w:rFonts w:hint="eastAsia" w:ascii="黑体" w:hAnsi="黑体" w:eastAsia="黑体"/>
                <w:b/>
                <w:sz w:val="24"/>
                <w:szCs w:val="24"/>
              </w:rPr>
              <w:t xml:space="preserve"> </w:t>
            </w:r>
          </w:p>
        </w:tc>
      </w:tr>
    </w:tbl>
    <w:p w14:paraId="400CFD7F">
      <w:pPr>
        <w:spacing w:line="360" w:lineRule="auto"/>
        <w:rPr>
          <w:rFonts w:ascii="宋体" w:hAnsi="宋体" w:cs="Arial"/>
          <w:b/>
          <w:bCs/>
          <w:sz w:val="24"/>
          <w:szCs w:val="24"/>
        </w:rPr>
      </w:pPr>
    </w:p>
    <w:p w14:paraId="287A0E8F">
      <w:pPr>
        <w:rPr>
          <w:rFonts w:hint="eastAsia"/>
          <w:lang w:val="en-US" w:eastAsia="zh-CN"/>
        </w:rPr>
      </w:pPr>
    </w:p>
    <w:sectPr>
      <w:headerReference r:id="rId4" w:type="default"/>
      <w:footerReference r:id="rId5" w:type="default"/>
      <w:pgSz w:w="11906" w:h="16838"/>
      <w:pgMar w:top="737" w:right="1134" w:bottom="737" w:left="1134" w:header="851" w:footer="720" w:gutter="0"/>
      <w:pgNumType w:start="1"/>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137B803-F8A9-4BF2-9339-D65708CFCDE1}"/>
  </w:font>
  <w:font w:name="黑体">
    <w:panose1 w:val="02010609060101010101"/>
    <w:charset w:val="86"/>
    <w:family w:val="auto"/>
    <w:pitch w:val="default"/>
    <w:sig w:usb0="800002BF" w:usb1="38CF7CFA" w:usb2="00000016" w:usb3="00000000" w:csb0="00040001" w:csb1="00000000"/>
    <w:embedRegular r:id="rId2" w:fontKey="{4292C275-E01D-429F-BCC4-72457EB434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0E8A4BC1-80FF-4153-8DCE-791CFE8C124C}"/>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embedRegular r:id="rId4" w:fontKey="{478B15BF-0DA8-4931-BBBB-4A5E4A300FC0}"/>
  </w:font>
  <w:font w:name="仿宋_GB2312">
    <w:altName w:val="仿宋"/>
    <w:panose1 w:val="02010609030101010101"/>
    <w:charset w:val="86"/>
    <w:family w:val="modern"/>
    <w:pitch w:val="default"/>
    <w:sig w:usb0="00000000" w:usb1="00000000" w:usb2="00000000" w:usb3="00000000" w:csb0="00040000" w:csb1="00000000"/>
    <w:embedRegular r:id="rId5" w:fontKey="{1171B681-8B5F-4637-96FE-AADD3AE974FC}"/>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embedRegular r:id="rId6" w:fontKey="{23215425-EF95-4F29-BF31-938E936FFC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0598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EA41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CEA41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21463">
    <w:pPr>
      <w:pStyle w:val="5"/>
      <w:jc w:val="center"/>
      <w:rPr>
        <w:rFonts w:eastAsia="宋体"/>
        <w:sz w:val="15"/>
        <w:szCs w:val="15"/>
      </w:rPr>
    </w:pPr>
    <w:r>
      <w:rPr>
        <w:rFonts w:hint="eastAsia" w:eastAsia="宋体"/>
      </w:rPr>
      <w:t xml:space="preserve">                                           </w:t>
    </w:r>
    <w:r>
      <w:fldChar w:fldCharType="begin"/>
    </w:r>
    <w:r>
      <w:instrText xml:space="preserve">PAGE   \* MERGEFORMAT</w:instrText>
    </w:r>
    <w:r>
      <w:fldChar w:fldCharType="separate"/>
    </w:r>
    <w:r>
      <w:rPr>
        <w:lang w:val="zh-CN"/>
      </w:rPr>
      <w:t>3</w:t>
    </w:r>
    <w:r>
      <w:rPr>
        <w:lang w:val="zh-CN"/>
      </w:rPr>
      <w:fldChar w:fldCharType="end"/>
    </w:r>
    <w:r>
      <w:rPr>
        <w:rFonts w:hint="eastAsia" w:eastAsia="宋体"/>
      </w:rPr>
      <w:t xml:space="preserve">                    </w:t>
    </w:r>
    <w:r>
      <w:rPr>
        <w:rFonts w:hint="eastAsia" w:eastAsia="宋体"/>
        <w:sz w:val="15"/>
        <w:szCs w:val="15"/>
      </w:rPr>
      <w:t>南京禄口国际机场空港科技有限公司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FA969">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01045"/>
    <w:multiLevelType w:val="singleLevel"/>
    <w:tmpl w:val="57E0104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2NTY1YzJkY2EzM2RjMzRkZWQzNWE1ZGE3NDY3NWUifQ=="/>
  </w:docVars>
  <w:rsids>
    <w:rsidRoot w:val="002B10A7"/>
    <w:rsid w:val="002B10A7"/>
    <w:rsid w:val="0054437A"/>
    <w:rsid w:val="00626977"/>
    <w:rsid w:val="009A4DEA"/>
    <w:rsid w:val="00B161F1"/>
    <w:rsid w:val="00BC3B05"/>
    <w:rsid w:val="00E367B4"/>
    <w:rsid w:val="00FA294D"/>
    <w:rsid w:val="00FB179F"/>
    <w:rsid w:val="00FC22FE"/>
    <w:rsid w:val="012944F0"/>
    <w:rsid w:val="014C7CE8"/>
    <w:rsid w:val="01635C49"/>
    <w:rsid w:val="017E696D"/>
    <w:rsid w:val="02145195"/>
    <w:rsid w:val="02301FCF"/>
    <w:rsid w:val="0278078C"/>
    <w:rsid w:val="02E50728"/>
    <w:rsid w:val="078F69E9"/>
    <w:rsid w:val="08E150F4"/>
    <w:rsid w:val="09006483"/>
    <w:rsid w:val="09377006"/>
    <w:rsid w:val="09EB0BED"/>
    <w:rsid w:val="0AC534D0"/>
    <w:rsid w:val="0ACC0D02"/>
    <w:rsid w:val="0AED4AF2"/>
    <w:rsid w:val="0B0C55A3"/>
    <w:rsid w:val="0B41349E"/>
    <w:rsid w:val="0C6A07D3"/>
    <w:rsid w:val="0D7B4129"/>
    <w:rsid w:val="0E5350E3"/>
    <w:rsid w:val="0F0942D3"/>
    <w:rsid w:val="0F5D5730"/>
    <w:rsid w:val="10234F21"/>
    <w:rsid w:val="103575C1"/>
    <w:rsid w:val="115D0906"/>
    <w:rsid w:val="11DA5AB3"/>
    <w:rsid w:val="121F524D"/>
    <w:rsid w:val="134A2256"/>
    <w:rsid w:val="16041350"/>
    <w:rsid w:val="168E1562"/>
    <w:rsid w:val="19511B58"/>
    <w:rsid w:val="19E03E83"/>
    <w:rsid w:val="1A24794A"/>
    <w:rsid w:val="1B023455"/>
    <w:rsid w:val="1B28788F"/>
    <w:rsid w:val="1CE4012E"/>
    <w:rsid w:val="1D8138E1"/>
    <w:rsid w:val="1F7A2683"/>
    <w:rsid w:val="20DD321B"/>
    <w:rsid w:val="21BF73DA"/>
    <w:rsid w:val="21C61BB0"/>
    <w:rsid w:val="22243E0C"/>
    <w:rsid w:val="22250FCC"/>
    <w:rsid w:val="2406098A"/>
    <w:rsid w:val="24AD59F2"/>
    <w:rsid w:val="260C00C4"/>
    <w:rsid w:val="282E28F9"/>
    <w:rsid w:val="28BF2A3E"/>
    <w:rsid w:val="28D510D6"/>
    <w:rsid w:val="294C2226"/>
    <w:rsid w:val="294C32E2"/>
    <w:rsid w:val="29581C87"/>
    <w:rsid w:val="2A316D5D"/>
    <w:rsid w:val="2AE9690F"/>
    <w:rsid w:val="2B9920E3"/>
    <w:rsid w:val="2B9F0C5F"/>
    <w:rsid w:val="2E0B7092"/>
    <w:rsid w:val="2E3210E4"/>
    <w:rsid w:val="2E6D02C7"/>
    <w:rsid w:val="2E7554EA"/>
    <w:rsid w:val="2EA6515C"/>
    <w:rsid w:val="2FB120F1"/>
    <w:rsid w:val="30947E24"/>
    <w:rsid w:val="30E821AF"/>
    <w:rsid w:val="3104623F"/>
    <w:rsid w:val="322A2FB9"/>
    <w:rsid w:val="32DC0FAC"/>
    <w:rsid w:val="331F412B"/>
    <w:rsid w:val="33E175A0"/>
    <w:rsid w:val="34A92764"/>
    <w:rsid w:val="35851A01"/>
    <w:rsid w:val="365C5659"/>
    <w:rsid w:val="37096EB0"/>
    <w:rsid w:val="370E7563"/>
    <w:rsid w:val="37294C63"/>
    <w:rsid w:val="377F0AA2"/>
    <w:rsid w:val="37E33064"/>
    <w:rsid w:val="37E6017D"/>
    <w:rsid w:val="37F01A66"/>
    <w:rsid w:val="38133FA2"/>
    <w:rsid w:val="39276F80"/>
    <w:rsid w:val="39F41558"/>
    <w:rsid w:val="3A7D6FCD"/>
    <w:rsid w:val="3A971EE4"/>
    <w:rsid w:val="3B060054"/>
    <w:rsid w:val="3BB93C18"/>
    <w:rsid w:val="3C5A59AB"/>
    <w:rsid w:val="3D85630A"/>
    <w:rsid w:val="3EC70206"/>
    <w:rsid w:val="3FCC120A"/>
    <w:rsid w:val="41B11ADD"/>
    <w:rsid w:val="42880842"/>
    <w:rsid w:val="43B9431B"/>
    <w:rsid w:val="43CB2FA9"/>
    <w:rsid w:val="43CC51CD"/>
    <w:rsid w:val="46382D6C"/>
    <w:rsid w:val="46B1043E"/>
    <w:rsid w:val="48C70BD8"/>
    <w:rsid w:val="49487872"/>
    <w:rsid w:val="499B6B7C"/>
    <w:rsid w:val="4A2D016F"/>
    <w:rsid w:val="4A3D6149"/>
    <w:rsid w:val="4AF41787"/>
    <w:rsid w:val="4B893CA5"/>
    <w:rsid w:val="4BC81014"/>
    <w:rsid w:val="4BF83138"/>
    <w:rsid w:val="4C3346A1"/>
    <w:rsid w:val="4E4640FD"/>
    <w:rsid w:val="50CF3963"/>
    <w:rsid w:val="50EC0254"/>
    <w:rsid w:val="51AF590D"/>
    <w:rsid w:val="532E1C99"/>
    <w:rsid w:val="53446DA8"/>
    <w:rsid w:val="53CA1C02"/>
    <w:rsid w:val="541E59ED"/>
    <w:rsid w:val="54AD25D8"/>
    <w:rsid w:val="54F90545"/>
    <w:rsid w:val="55D25BB9"/>
    <w:rsid w:val="56FA497A"/>
    <w:rsid w:val="576141A2"/>
    <w:rsid w:val="58964825"/>
    <w:rsid w:val="5A2E46EA"/>
    <w:rsid w:val="5AEB3E5A"/>
    <w:rsid w:val="5B512FA9"/>
    <w:rsid w:val="5C626C78"/>
    <w:rsid w:val="5C88775A"/>
    <w:rsid w:val="5CB343B5"/>
    <w:rsid w:val="5D264449"/>
    <w:rsid w:val="5D27671A"/>
    <w:rsid w:val="5D3F04F0"/>
    <w:rsid w:val="5D793204"/>
    <w:rsid w:val="5E1E3CAF"/>
    <w:rsid w:val="5E3653EC"/>
    <w:rsid w:val="5F421E8D"/>
    <w:rsid w:val="602837E7"/>
    <w:rsid w:val="607664FC"/>
    <w:rsid w:val="60B60EA5"/>
    <w:rsid w:val="60BB5D97"/>
    <w:rsid w:val="614926BE"/>
    <w:rsid w:val="61DC10EB"/>
    <w:rsid w:val="620F53D7"/>
    <w:rsid w:val="640C3B9C"/>
    <w:rsid w:val="64AB30F0"/>
    <w:rsid w:val="656478DF"/>
    <w:rsid w:val="662D5327"/>
    <w:rsid w:val="66D46B5D"/>
    <w:rsid w:val="69792EBA"/>
    <w:rsid w:val="6BE836E6"/>
    <w:rsid w:val="6C6967BA"/>
    <w:rsid w:val="6C6C22EE"/>
    <w:rsid w:val="6C9A3FDC"/>
    <w:rsid w:val="6D480C98"/>
    <w:rsid w:val="6D5E1A98"/>
    <w:rsid w:val="6D9A17B5"/>
    <w:rsid w:val="6DE914DF"/>
    <w:rsid w:val="6E1A1EB5"/>
    <w:rsid w:val="6E1D0C30"/>
    <w:rsid w:val="6E4F5D6D"/>
    <w:rsid w:val="709A197D"/>
    <w:rsid w:val="70B86084"/>
    <w:rsid w:val="71381023"/>
    <w:rsid w:val="71A22BDE"/>
    <w:rsid w:val="721B7E4A"/>
    <w:rsid w:val="72C75245"/>
    <w:rsid w:val="72F76BD8"/>
    <w:rsid w:val="74574432"/>
    <w:rsid w:val="74A82012"/>
    <w:rsid w:val="759568B3"/>
    <w:rsid w:val="760F4515"/>
    <w:rsid w:val="76CE28B3"/>
    <w:rsid w:val="78743147"/>
    <w:rsid w:val="796B643A"/>
    <w:rsid w:val="797A3F30"/>
    <w:rsid w:val="7C896BD7"/>
    <w:rsid w:val="7C98515D"/>
    <w:rsid w:val="7D99449F"/>
    <w:rsid w:val="7EB13F5A"/>
    <w:rsid w:val="7F361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lang w:val="zh-CN"/>
    </w:rPr>
  </w:style>
  <w:style w:type="paragraph" w:styleId="4">
    <w:name w:val="Body Text Indent 2"/>
    <w:basedOn w:val="1"/>
    <w:qFormat/>
    <w:uiPriority w:val="0"/>
    <w:pPr>
      <w:spacing w:after="120" w:line="480" w:lineRule="auto"/>
      <w:ind w:left="42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tabs>
        <w:tab w:val="center" w:pos="4153"/>
        <w:tab w:val="right" w:pos="8306"/>
      </w:tabs>
      <w:snapToGrid w:val="0"/>
      <w:jc w:val="center"/>
    </w:pPr>
    <w:rPr>
      <w:sz w:val="18"/>
      <w:szCs w:val="18"/>
    </w:rPr>
  </w:style>
  <w:style w:type="paragraph" w:styleId="7">
    <w:name w:val="Normal (Web)"/>
    <w:basedOn w:val="1"/>
    <w:qFormat/>
    <w:uiPriority w:val="99"/>
    <w:pPr>
      <w:spacing w:beforeAutospacing="1" w:afterAutospacing="1"/>
      <w:jc w:val="left"/>
    </w:pPr>
    <w:rPr>
      <w:rFonts w:cs="Times New Roman"/>
      <w:kern w:val="0"/>
      <w:sz w:val="24"/>
    </w:rPr>
  </w:style>
  <w:style w:type="paragraph" w:styleId="8">
    <w:name w:val="Title"/>
    <w:basedOn w:val="1"/>
    <w:next w:val="1"/>
    <w:qFormat/>
    <w:uiPriority w:val="0"/>
    <w:pPr>
      <w:widowControl w:val="0"/>
      <w:spacing w:before="240" w:after="60"/>
      <w:jc w:val="center"/>
      <w:outlineLvl w:val="0"/>
    </w:pPr>
    <w:rPr>
      <w:rFonts w:ascii="Cambria" w:hAnsi="Cambria"/>
      <w:b/>
      <w:bCs/>
      <w:color w:val="auto"/>
      <w:kern w:val="2"/>
      <w:sz w:val="32"/>
      <w:szCs w:val="32"/>
    </w:rPr>
  </w:style>
  <w:style w:type="paragraph" w:styleId="9">
    <w:name w:val="Body Text First Indent"/>
    <w:basedOn w:val="1"/>
    <w:unhideWhenUsed/>
    <w:qFormat/>
    <w:uiPriority w:val="0"/>
    <w:pPr>
      <w:ind w:firstLine="420" w:firstLineChars="100"/>
    </w:pPr>
  </w:style>
  <w:style w:type="character" w:customStyle="1" w:styleId="12">
    <w:name w:val="页眉 字符"/>
    <w:basedOn w:val="11"/>
    <w:link w:val="6"/>
    <w:qFormat/>
    <w:uiPriority w:val="99"/>
    <w:rPr>
      <w:sz w:val="18"/>
      <w:szCs w:val="18"/>
    </w:rPr>
  </w:style>
  <w:style w:type="character" w:customStyle="1" w:styleId="13">
    <w:name w:val="页脚 字符"/>
    <w:basedOn w:val="11"/>
    <w:link w:val="5"/>
    <w:qFormat/>
    <w:uiPriority w:val="99"/>
    <w:rPr>
      <w:sz w:val="18"/>
      <w:szCs w:val="18"/>
    </w:rPr>
  </w:style>
  <w:style w:type="paragraph" w:customStyle="1" w:styleId="14">
    <w:name w:val="Table Paragraph"/>
    <w:basedOn w:val="1"/>
    <w:qFormat/>
    <w:uiPriority w:val="1"/>
    <w:rPr>
      <w:rFonts w:ascii="宋体" w:hAnsi="宋体" w:eastAsia="宋体" w:cs="宋体"/>
    </w:rPr>
  </w:style>
  <w:style w:type="character" w:customStyle="1" w:styleId="15">
    <w:name w:val="标题 1 字符"/>
    <w:basedOn w:val="11"/>
    <w:link w:val="2"/>
    <w:qFormat/>
    <w:uiPriority w:val="9"/>
    <w:rPr>
      <w:b/>
      <w:bCs/>
      <w:kern w:val="44"/>
      <w:sz w:val="44"/>
      <w:szCs w:val="44"/>
    </w:rPr>
  </w:style>
  <w:style w:type="character" w:customStyle="1" w:styleId="16">
    <w:name w:val="font41"/>
    <w:basedOn w:val="11"/>
    <w:qFormat/>
    <w:uiPriority w:val="0"/>
    <w:rPr>
      <w:rFonts w:hint="eastAsia" w:ascii="宋体" w:hAnsi="宋体" w:eastAsia="宋体" w:cs="宋体"/>
      <w:color w:val="000000"/>
      <w:sz w:val="20"/>
      <w:szCs w:val="20"/>
      <w:u w:val="none"/>
    </w:rPr>
  </w:style>
  <w:style w:type="paragraph" w:styleId="17">
    <w:name w:val="No Spacing"/>
    <w:qFormat/>
    <w:uiPriority w:val="1"/>
    <w:rPr>
      <w:rFonts w:ascii="Times New Roman" w:hAnsi="Times New Roman" w:eastAsia="宋体" w:cs="Times New Roman"/>
      <w:color w:val="000000"/>
      <w:kern w:val="1"/>
      <w:sz w:val="21"/>
      <w:lang w:val="en-US" w:eastAsia="zh-CN" w:bidi="ar-SA"/>
    </w:rPr>
  </w:style>
  <w:style w:type="character" w:customStyle="1" w:styleId="18">
    <w:name w:val="font21"/>
    <w:basedOn w:val="11"/>
    <w:qFormat/>
    <w:uiPriority w:val="0"/>
    <w:rPr>
      <w:rFonts w:hint="eastAsia" w:ascii="微软雅黑" w:hAnsi="微软雅黑" w:eastAsia="微软雅黑" w:cs="微软雅黑"/>
      <w:b/>
      <w:bCs/>
      <w:color w:val="000000"/>
      <w:sz w:val="18"/>
      <w:szCs w:val="18"/>
      <w:u w:val="none"/>
    </w:rPr>
  </w:style>
  <w:style w:type="character" w:customStyle="1" w:styleId="19">
    <w:name w:val="font51"/>
    <w:basedOn w:val="11"/>
    <w:qFormat/>
    <w:uiPriority w:val="0"/>
    <w:rPr>
      <w:rFonts w:hint="eastAsia" w:ascii="微软雅黑" w:hAnsi="微软雅黑" w:eastAsia="微软雅黑" w:cs="微软雅黑"/>
      <w:b/>
      <w:bCs/>
      <w:color w:val="000000"/>
      <w:sz w:val="18"/>
      <w:szCs w:val="18"/>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 w:type="character" w:customStyle="1" w:styleId="21">
    <w:name w:val="font31"/>
    <w:basedOn w:val="11"/>
    <w:qFormat/>
    <w:uiPriority w:val="0"/>
    <w:rPr>
      <w:rFonts w:hint="eastAsia" w:ascii="宋体" w:hAnsi="宋体" w:eastAsia="宋体" w:cs="宋体"/>
      <w:color w:val="000000"/>
      <w:sz w:val="24"/>
      <w:szCs w:val="24"/>
      <w:u w:val="none"/>
    </w:rPr>
  </w:style>
  <w:style w:type="paragraph" w:customStyle="1" w:styleId="22">
    <w:name w:val="列出段落1"/>
    <w:basedOn w:val="1"/>
    <w:qFormat/>
    <w:uiPriority w:val="99"/>
    <w:pPr>
      <w:spacing w:line="240" w:lineRule="auto"/>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2030</Words>
  <Characters>2158</Characters>
  <Lines>14</Lines>
  <Paragraphs>4</Paragraphs>
  <TotalTime>37</TotalTime>
  <ScaleCrop>false</ScaleCrop>
  <LinksUpToDate>false</LinksUpToDate>
  <CharactersWithSpaces>2440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2023-08-09T08:19:00Z</dcterms:created>
  <dc:creator>cong wang</dc:creator>
  <cp:lastModifiedBy>张智斌</cp:lastModifiedBy>
  <cp:lastPrinted>2026-08-24T00:57:00Z</cp:lastPrinted>
  <dcterms:modified xsi:type="dcterms:W3CDTF">2026-09-03T00:32:16Z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C283F2A8DC314AD59BDA1B22D235942E_13</vt:lpwstr>
  </property>
  <property fmtid="{D5CDD505-2E9C-101B-9397-08002B2CF9AE}" pid="4" name="KSOTemplateDocerSaveRecord">
    <vt:lpwstr>eyJoZGlkIjoiMjgzOTVjYWYxZmRiMjRhODY1M2Q1OWZkZjNkYzhhOTIiLCJ1c2VySWQiOiIyODk4MzgzMDEifQ==</vt:lpwstr>
  </property>
</Properties>
</file>